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Microsoft_Visio___1.vsdx" ContentType="application/vnd.ms-visio.drawing"/>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CFE0DB">
      <w:pPr>
        <w:rPr>
          <w:rFonts w:hint="eastAsia" w:ascii="仿宋_GB2312" w:hAnsi="仿宋_GB2312" w:eastAsia="仿宋_GB2312" w:cs="仿宋_GB2312"/>
          <w:sz w:val="36"/>
          <w:szCs w:val="36"/>
        </w:rPr>
      </w:pPr>
      <w:r>
        <w:rPr>
          <w:rFonts w:hint="eastAsia" w:ascii="楷体" w:hAnsi="楷体" w:eastAsia="楷体"/>
          <w:sz w:val="36"/>
          <w:szCs w:val="36"/>
        </w:rPr>
        <w:drawing>
          <wp:anchor distT="0" distB="0" distL="114300" distR="114300" simplePos="0" relativeHeight="251659264" behindDoc="0" locked="0" layoutInCell="1" allowOverlap="1">
            <wp:simplePos x="0" y="0"/>
            <wp:positionH relativeFrom="column">
              <wp:posOffset>-848360</wp:posOffset>
            </wp:positionH>
            <wp:positionV relativeFrom="paragraph">
              <wp:posOffset>-1080135</wp:posOffset>
            </wp:positionV>
            <wp:extent cx="7172325" cy="10138410"/>
            <wp:effectExtent l="0" t="0" r="9525" b="0"/>
            <wp:wrapNone/>
            <wp:docPr id="170966927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669279" name="图片 1"/>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7172325" cy="10138410"/>
                    </a:xfrm>
                    <a:prstGeom prst="rect">
                      <a:avLst/>
                    </a:prstGeom>
                  </pic:spPr>
                </pic:pic>
              </a:graphicData>
            </a:graphic>
          </wp:anchor>
        </w:drawing>
      </w:r>
      <w:r>
        <w:t xml:space="preserve">     </w:t>
      </w:r>
    </w:p>
    <w:p w14:paraId="4BF1EB54">
      <w:pPr>
        <w:rPr>
          <w:rFonts w:hint="eastAsia" w:ascii="仿宋_GB2312" w:hAnsi="仿宋_GB2312" w:eastAsia="仿宋_GB2312" w:cs="仿宋_GB2312"/>
          <w:sz w:val="36"/>
          <w:szCs w:val="36"/>
        </w:rPr>
      </w:pPr>
    </w:p>
    <w:p w14:paraId="1ADDD115">
      <w:pPr>
        <w:rPr>
          <w:rFonts w:hint="eastAsia" w:ascii="仿宋_GB2312" w:hAnsi="仿宋_GB2312" w:eastAsia="仿宋_GB2312" w:cs="仿宋_GB2312"/>
          <w:sz w:val="36"/>
          <w:szCs w:val="36"/>
        </w:rPr>
      </w:pPr>
    </w:p>
    <w:p w14:paraId="4AAAC4C1">
      <w:pPr>
        <w:rPr>
          <w:rFonts w:hint="eastAsia" w:ascii="仿宋_GB2312" w:hAnsi="仿宋_GB2312" w:eastAsia="仿宋_GB2312" w:cs="仿宋_GB2312"/>
          <w:sz w:val="36"/>
          <w:szCs w:val="36"/>
        </w:rPr>
      </w:pPr>
    </w:p>
    <w:p w14:paraId="144B0DD0">
      <w:pPr>
        <w:rPr>
          <w:rFonts w:hint="eastAsia" w:ascii="仿宋_GB2312" w:hAnsi="仿宋_GB2312" w:eastAsia="仿宋_GB2312" w:cs="仿宋_GB2312"/>
          <w:sz w:val="36"/>
          <w:szCs w:val="36"/>
        </w:rPr>
      </w:pPr>
    </w:p>
    <w:p w14:paraId="1E5D950B">
      <w:pPr>
        <w:adjustRightInd w:val="0"/>
        <w:snapToGrid w:val="0"/>
        <w:jc w:val="center"/>
        <w:rPr>
          <w:rFonts w:hint="eastAsia" w:ascii="宋体" w:hAnsi="宋体"/>
          <w:bCs/>
          <w:sz w:val="72"/>
          <w:szCs w:val="72"/>
        </w:rPr>
      </w:pPr>
      <w:r>
        <w:rPr>
          <w:rFonts w:hint="eastAsia" w:ascii="宋体" w:hAnsi="宋体"/>
          <w:bCs/>
          <w:sz w:val="72"/>
          <w:szCs w:val="72"/>
        </w:rPr>
        <w:t>建设项目环境影响报告表</w:t>
      </w:r>
    </w:p>
    <w:p w14:paraId="072B8E7B">
      <w:pPr>
        <w:adjustRightInd w:val="0"/>
        <w:snapToGrid w:val="0"/>
        <w:spacing w:before="192" w:beforeLines="80"/>
        <w:jc w:val="center"/>
        <w:rPr>
          <w:rFonts w:hint="eastAsia" w:ascii="楷体" w:hAnsi="楷体" w:eastAsia="楷体"/>
          <w:bCs/>
          <w:sz w:val="48"/>
          <w:szCs w:val="48"/>
        </w:rPr>
      </w:pPr>
      <w:r>
        <w:rPr>
          <w:rFonts w:hint="eastAsia" w:ascii="楷体" w:hAnsi="楷体" w:eastAsia="楷体"/>
          <w:bCs/>
          <w:sz w:val="48"/>
          <w:szCs w:val="48"/>
        </w:rPr>
        <w:t>（污染影响类）</w:t>
      </w:r>
    </w:p>
    <w:p w14:paraId="2D05C31A">
      <w:pPr>
        <w:adjustRightInd w:val="0"/>
        <w:snapToGrid w:val="0"/>
        <w:spacing w:line="288" w:lineRule="auto"/>
        <w:jc w:val="center"/>
        <w:rPr>
          <w:rFonts w:hint="eastAsia" w:ascii="华文仿宋" w:hAnsi="华文仿宋" w:eastAsia="华文仿宋" w:cs="华文仿宋"/>
          <w:kern w:val="44"/>
          <w:sz w:val="44"/>
          <w:szCs w:val="44"/>
        </w:rPr>
      </w:pPr>
    </w:p>
    <w:p w14:paraId="511A7BAF">
      <w:pPr>
        <w:jc w:val="center"/>
        <w:rPr>
          <w:rFonts w:eastAsia="仿宋"/>
          <w:sz w:val="52"/>
          <w:szCs w:val="52"/>
        </w:rPr>
      </w:pPr>
    </w:p>
    <w:p w14:paraId="0007CE1B">
      <w:pPr>
        <w:ind w:firstLine="1040"/>
        <w:rPr>
          <w:rFonts w:eastAsia="仿宋"/>
          <w:sz w:val="44"/>
          <w:szCs w:val="44"/>
        </w:rPr>
      </w:pPr>
    </w:p>
    <w:p w14:paraId="467A9A01">
      <w:pPr>
        <w:ind w:firstLine="1040"/>
        <w:rPr>
          <w:rFonts w:eastAsia="仿宋"/>
          <w:sz w:val="44"/>
          <w:szCs w:val="44"/>
        </w:rPr>
      </w:pPr>
    </w:p>
    <w:p w14:paraId="6872FB0B">
      <w:pPr>
        <w:ind w:firstLine="1040"/>
        <w:rPr>
          <w:rFonts w:eastAsia="仿宋"/>
          <w:sz w:val="44"/>
          <w:szCs w:val="44"/>
        </w:rPr>
      </w:pPr>
    </w:p>
    <w:p w14:paraId="1E15C4F1">
      <w:pPr>
        <w:ind w:firstLine="1040"/>
        <w:rPr>
          <w:rFonts w:eastAsia="仿宋"/>
          <w:sz w:val="44"/>
          <w:szCs w:val="44"/>
        </w:rPr>
      </w:pPr>
    </w:p>
    <w:p w14:paraId="50377FBA">
      <w:pPr>
        <w:adjustRightInd w:val="0"/>
        <w:snapToGrid w:val="0"/>
        <w:spacing w:line="288" w:lineRule="auto"/>
        <w:ind w:left="1800" w:hanging="1800" w:hangingChars="500"/>
        <w:jc w:val="distribute"/>
        <w:rPr>
          <w:rFonts w:hint="eastAsia" w:ascii="仿宋" w:hAnsi="仿宋" w:eastAsia="仿宋"/>
          <w:sz w:val="36"/>
          <w:szCs w:val="36"/>
          <w:u w:val="single"/>
        </w:rPr>
      </w:pPr>
      <w:r>
        <w:rPr>
          <w:rFonts w:hint="eastAsia" w:ascii="仿宋" w:hAnsi="仿宋" w:eastAsia="仿宋"/>
          <w:sz w:val="36"/>
          <w:szCs w:val="36"/>
        </w:rPr>
        <w:t>项目名称：</w:t>
      </w:r>
      <w:r>
        <w:rPr>
          <w:rFonts w:hint="eastAsia" w:ascii="仿宋" w:hAnsi="仿宋" w:eastAsia="仿宋"/>
          <w:sz w:val="36"/>
          <w:szCs w:val="36"/>
          <w:u w:val="single"/>
        </w:rPr>
        <w:t>杭锦旗聚能能源有限公司</w:t>
      </w:r>
    </w:p>
    <w:p w14:paraId="29BCD6A5">
      <w:pPr>
        <w:adjustRightInd w:val="0"/>
        <w:snapToGrid w:val="0"/>
        <w:spacing w:line="288" w:lineRule="auto"/>
        <w:ind w:left="1800" w:hanging="1800" w:hangingChars="500"/>
        <w:jc w:val="distribute"/>
        <w:rPr>
          <w:rFonts w:hint="eastAsia" w:ascii="仿宋" w:hAnsi="仿宋" w:eastAsia="仿宋"/>
          <w:sz w:val="36"/>
          <w:szCs w:val="36"/>
          <w:u w:val="single"/>
        </w:rPr>
      </w:pPr>
      <w:r>
        <w:rPr>
          <w:rFonts w:hint="eastAsia" w:ascii="仿宋" w:hAnsi="仿宋" w:eastAsia="仿宋"/>
          <w:sz w:val="36"/>
          <w:szCs w:val="36"/>
        </w:rPr>
        <w:t xml:space="preserve">                </w:t>
      </w:r>
      <w:r>
        <w:rPr>
          <w:rFonts w:hint="eastAsia" w:ascii="仿宋" w:hAnsi="仿宋" w:eastAsia="仿宋"/>
          <w:sz w:val="36"/>
          <w:szCs w:val="36"/>
          <w:u w:val="single"/>
        </w:rPr>
        <w:t xml:space="preserve">油房壕煤矿燃煤锅炉项目 </w:t>
      </w:r>
      <w:r>
        <w:rPr>
          <w:rFonts w:ascii="仿宋" w:hAnsi="仿宋" w:eastAsia="仿宋"/>
          <w:sz w:val="36"/>
          <w:szCs w:val="36"/>
          <w:u w:val="single"/>
        </w:rPr>
        <w:t xml:space="preserve">                           </w:t>
      </w:r>
    </w:p>
    <w:p w14:paraId="4C834198">
      <w:pPr>
        <w:adjustRightInd w:val="0"/>
        <w:snapToGrid w:val="0"/>
        <w:spacing w:line="288" w:lineRule="auto"/>
        <w:jc w:val="distribute"/>
        <w:rPr>
          <w:rFonts w:hint="eastAsia" w:ascii="仿宋" w:hAnsi="仿宋" w:eastAsia="仿宋"/>
          <w:sz w:val="36"/>
          <w:szCs w:val="36"/>
          <w:u w:val="single"/>
        </w:rPr>
      </w:pPr>
      <w:r>
        <w:rPr>
          <w:rFonts w:hint="eastAsia" w:ascii="仿宋" w:hAnsi="仿宋" w:eastAsia="仿宋"/>
          <w:sz w:val="36"/>
          <w:szCs w:val="36"/>
        </w:rPr>
        <w:t>建设单位（盖章）：</w:t>
      </w:r>
      <w:r>
        <w:rPr>
          <w:rFonts w:hint="eastAsia" w:ascii="仿宋" w:hAnsi="仿宋" w:eastAsia="仿宋"/>
          <w:sz w:val="36"/>
          <w:szCs w:val="36"/>
          <w:u w:val="single"/>
        </w:rPr>
        <w:t>杭锦旗聚能能源有限公司</w:t>
      </w:r>
      <w:r>
        <w:rPr>
          <w:rFonts w:ascii="仿宋" w:hAnsi="仿宋" w:eastAsia="仿宋"/>
          <w:sz w:val="36"/>
          <w:szCs w:val="36"/>
          <w:u w:val="single"/>
        </w:rPr>
        <w:t xml:space="preserve">     </w:t>
      </w:r>
      <w:r>
        <w:rPr>
          <w:rFonts w:hint="eastAsia" w:ascii="仿宋" w:hAnsi="仿宋" w:eastAsia="仿宋"/>
          <w:sz w:val="36"/>
          <w:szCs w:val="36"/>
          <w:u w:val="single"/>
        </w:rPr>
        <w:t xml:space="preserve"> </w:t>
      </w:r>
    </w:p>
    <w:p w14:paraId="62785343">
      <w:pPr>
        <w:adjustRightInd w:val="0"/>
        <w:snapToGrid w:val="0"/>
        <w:spacing w:line="288" w:lineRule="auto"/>
        <w:rPr>
          <w:rFonts w:hint="eastAsia" w:ascii="仿宋" w:hAnsi="仿宋" w:eastAsia="仿宋"/>
          <w:sz w:val="36"/>
          <w:szCs w:val="36"/>
          <w:u w:val="single"/>
        </w:rPr>
      </w:pPr>
      <w:r>
        <w:rPr>
          <w:rFonts w:hint="eastAsia" w:ascii="仿宋" w:hAnsi="仿宋" w:eastAsia="仿宋"/>
          <w:sz w:val="36"/>
          <w:szCs w:val="36"/>
        </w:rPr>
        <w:t>编制日期：</w:t>
      </w:r>
      <w:r>
        <w:rPr>
          <w:rFonts w:hint="eastAsia" w:ascii="仿宋" w:hAnsi="仿宋" w:eastAsia="仿宋"/>
          <w:sz w:val="36"/>
          <w:szCs w:val="36"/>
          <w:u w:val="single"/>
        </w:rPr>
        <w:t xml:space="preserve"> </w:t>
      </w:r>
      <w:r>
        <w:rPr>
          <w:rFonts w:ascii="仿宋" w:hAnsi="仿宋" w:eastAsia="仿宋"/>
          <w:sz w:val="36"/>
          <w:szCs w:val="36"/>
          <w:u w:val="single"/>
        </w:rPr>
        <w:t xml:space="preserve">       </w:t>
      </w:r>
      <w:r>
        <w:rPr>
          <w:rFonts w:hint="eastAsia" w:ascii="仿宋" w:hAnsi="仿宋" w:eastAsia="仿宋"/>
          <w:sz w:val="36"/>
          <w:szCs w:val="36"/>
          <w:u w:val="single"/>
        </w:rPr>
        <w:t>二零二五年八月</w:t>
      </w:r>
      <w:r>
        <w:rPr>
          <w:rFonts w:ascii="仿宋" w:hAnsi="仿宋" w:eastAsia="仿宋"/>
          <w:sz w:val="36"/>
          <w:szCs w:val="36"/>
          <w:u w:val="single"/>
        </w:rPr>
        <w:t xml:space="preserve"> </w:t>
      </w:r>
      <w:r>
        <w:rPr>
          <w:rFonts w:hint="eastAsia" w:ascii="仿宋" w:hAnsi="仿宋" w:eastAsia="仿宋"/>
          <w:sz w:val="36"/>
          <w:szCs w:val="36"/>
          <w:u w:val="single"/>
        </w:rPr>
        <w:t xml:space="preserve">   </w:t>
      </w:r>
      <w:r>
        <w:rPr>
          <w:rFonts w:ascii="仿宋" w:hAnsi="仿宋" w:eastAsia="仿宋"/>
          <w:sz w:val="36"/>
          <w:szCs w:val="36"/>
          <w:u w:val="single"/>
        </w:rPr>
        <w:t xml:space="preserve">             </w:t>
      </w:r>
    </w:p>
    <w:p w14:paraId="3D1F1286">
      <w:pPr>
        <w:adjustRightInd w:val="0"/>
        <w:snapToGrid w:val="0"/>
        <w:spacing w:line="288" w:lineRule="auto"/>
        <w:ind w:firstLine="1040"/>
        <w:rPr>
          <w:rFonts w:ascii="仿宋_GB2312" w:eastAsia="仿宋_GB2312"/>
          <w:sz w:val="36"/>
          <w:szCs w:val="36"/>
          <w:u w:val="single"/>
        </w:rPr>
      </w:pPr>
      <w:bookmarkStart w:id="0" w:name="_Hlk57884087"/>
    </w:p>
    <w:p w14:paraId="6C1668B5">
      <w:pPr>
        <w:adjustRightInd w:val="0"/>
        <w:snapToGrid w:val="0"/>
        <w:spacing w:line="288" w:lineRule="auto"/>
        <w:ind w:firstLine="1040"/>
        <w:rPr>
          <w:rFonts w:ascii="仿宋_GB2312" w:eastAsia="仿宋_GB2312"/>
          <w:sz w:val="36"/>
          <w:szCs w:val="36"/>
        </w:rPr>
      </w:pPr>
    </w:p>
    <w:p w14:paraId="32BBD347">
      <w:pPr>
        <w:adjustRightInd w:val="0"/>
        <w:snapToGrid w:val="0"/>
        <w:spacing w:line="288" w:lineRule="auto"/>
        <w:ind w:firstLine="1040"/>
        <w:rPr>
          <w:rFonts w:ascii="仿宋_GB2312" w:eastAsia="仿宋_GB2312"/>
          <w:sz w:val="36"/>
          <w:szCs w:val="36"/>
        </w:rPr>
      </w:pPr>
    </w:p>
    <w:bookmarkEnd w:id="0"/>
    <w:p w14:paraId="6AA51771">
      <w:pPr>
        <w:adjustRightInd w:val="0"/>
        <w:snapToGrid w:val="0"/>
        <w:spacing w:line="288" w:lineRule="auto"/>
        <w:jc w:val="center"/>
        <w:rPr>
          <w:rFonts w:hint="eastAsia" w:ascii="楷体" w:hAnsi="楷体" w:eastAsia="楷体"/>
          <w:sz w:val="36"/>
          <w:szCs w:val="36"/>
        </w:rPr>
      </w:pPr>
      <w:r>
        <w:rPr>
          <w:rFonts w:hint="eastAsia" w:ascii="楷体" w:hAnsi="楷体" w:eastAsia="楷体"/>
          <w:sz w:val="36"/>
          <w:szCs w:val="36"/>
        </w:rPr>
        <w:t>中华人民共和国生态环境部制</w:t>
      </w:r>
    </w:p>
    <w:p w14:paraId="789FE068">
      <w:pPr>
        <w:adjustRightInd w:val="0"/>
        <w:snapToGrid w:val="0"/>
        <w:spacing w:line="288" w:lineRule="auto"/>
        <w:jc w:val="center"/>
        <w:rPr>
          <w:rFonts w:hint="eastAsia" w:ascii="楷体" w:hAnsi="楷体" w:eastAsia="楷体"/>
          <w:sz w:val="36"/>
          <w:szCs w:val="36"/>
        </w:rPr>
      </w:pPr>
    </w:p>
    <w:p w14:paraId="398AE553">
      <w:pPr>
        <w:adjustRightInd w:val="0"/>
        <w:snapToGrid w:val="0"/>
        <w:jc w:val="center"/>
        <w:rPr>
          <w:rFonts w:ascii="仿宋_GB2312" w:eastAsia="仿宋_GB2312"/>
          <w:sz w:val="36"/>
          <w:szCs w:val="36"/>
        </w:rPr>
        <w:sectPr>
          <w:footerReference r:id="rId3" w:type="default"/>
          <w:footerReference r:id="rId4" w:type="even"/>
          <w:pgSz w:w="11906" w:h="16838"/>
          <w:pgMar w:top="1701" w:right="1531" w:bottom="1701" w:left="1531" w:header="851" w:footer="1077" w:gutter="0"/>
          <w:pgNumType w:start="3"/>
          <w:cols w:space="720" w:num="1"/>
          <w:docGrid w:linePitch="312" w:charSpace="0"/>
        </w:sectPr>
      </w:pPr>
    </w:p>
    <w:p w14:paraId="2870E101">
      <w:pPr>
        <w:adjustRightInd w:val="0"/>
        <w:snapToGrid w:val="0"/>
        <w:jc w:val="center"/>
        <w:rPr>
          <w:rFonts w:ascii="仿宋_GB2312" w:eastAsia="仿宋_GB2312"/>
          <w:sz w:val="36"/>
          <w:szCs w:val="36"/>
        </w:rPr>
      </w:pPr>
      <w:r>
        <w:rPr>
          <w:rFonts w:ascii="仿宋_GB2312" w:eastAsia="仿宋_GB2312"/>
          <w:sz w:val="36"/>
          <w:szCs w:val="36"/>
        </w:rPr>
        <w:drawing>
          <wp:anchor distT="0" distB="0" distL="114300" distR="114300" simplePos="0" relativeHeight="251660288" behindDoc="0" locked="0" layoutInCell="1" allowOverlap="1">
            <wp:simplePos x="0" y="0"/>
            <wp:positionH relativeFrom="column">
              <wp:posOffset>-734060</wp:posOffset>
            </wp:positionH>
            <wp:positionV relativeFrom="paragraph">
              <wp:posOffset>-1022985</wp:posOffset>
            </wp:positionV>
            <wp:extent cx="6972300" cy="9664065"/>
            <wp:effectExtent l="0" t="0" r="0" b="0"/>
            <wp:wrapNone/>
            <wp:docPr id="1094387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438737" name="图片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972300" cy="9664308"/>
                    </a:xfrm>
                    <a:prstGeom prst="rect">
                      <a:avLst/>
                    </a:prstGeom>
                  </pic:spPr>
                </pic:pic>
              </a:graphicData>
            </a:graphic>
          </wp:anchor>
        </w:drawing>
      </w:r>
    </w:p>
    <w:p w14:paraId="2BA5BDC2">
      <w:pPr>
        <w:adjustRightInd w:val="0"/>
        <w:snapToGrid w:val="0"/>
        <w:rPr>
          <w:rFonts w:ascii="仿宋_GB2312" w:eastAsia="仿宋_GB2312"/>
          <w:sz w:val="36"/>
          <w:szCs w:val="36"/>
        </w:rPr>
      </w:pPr>
    </w:p>
    <w:p w14:paraId="5BCB6E47">
      <w:pPr>
        <w:adjustRightInd w:val="0"/>
        <w:snapToGrid w:val="0"/>
        <w:rPr>
          <w:rFonts w:ascii="仿宋_GB2312" w:eastAsia="仿宋_GB2312"/>
          <w:sz w:val="36"/>
          <w:szCs w:val="36"/>
        </w:rPr>
      </w:pPr>
    </w:p>
    <w:p w14:paraId="603DD2B9">
      <w:pPr>
        <w:adjustRightInd w:val="0"/>
        <w:snapToGrid w:val="0"/>
        <w:rPr>
          <w:rFonts w:ascii="仿宋_GB2312" w:eastAsia="仿宋_GB2312"/>
          <w:sz w:val="36"/>
          <w:szCs w:val="36"/>
        </w:rPr>
        <w:sectPr>
          <w:pgSz w:w="11906" w:h="16838"/>
          <w:pgMar w:top="1701" w:right="1531" w:bottom="1701" w:left="1531" w:header="851" w:footer="1077" w:gutter="0"/>
          <w:pgNumType w:start="3"/>
          <w:cols w:space="720" w:num="1"/>
          <w:docGrid w:linePitch="312" w:charSpace="0"/>
        </w:sectPr>
      </w:pPr>
    </w:p>
    <w:p w14:paraId="297C0EE7">
      <w:pPr>
        <w:pStyle w:val="27"/>
        <w:jc w:val="center"/>
        <w:outlineLvl w:val="0"/>
        <w:rPr>
          <w:rFonts w:hint="eastAsia" w:ascii="黑体" w:hAnsi="黑体" w:eastAsia="黑体"/>
          <w:snapToGrid w:val="0"/>
          <w:sz w:val="30"/>
          <w:szCs w:val="30"/>
        </w:rPr>
      </w:pPr>
      <w:bookmarkStart w:id="1" w:name="_Toc173761969"/>
      <w:bookmarkStart w:id="2" w:name="_Toc172642148"/>
      <w:bookmarkStart w:id="3" w:name="_Hlk127723383"/>
      <w:r>
        <w:rPr>
          <w:rFonts w:hint="eastAsia" w:ascii="黑体" w:hAnsi="黑体" w:eastAsia="黑体"/>
          <w:snapToGrid w:val="0"/>
          <w:sz w:val="30"/>
          <w:szCs w:val="30"/>
        </w:rPr>
        <w:t>一、建设项目基本情况</w:t>
      </w:r>
      <w:bookmarkEnd w:id="1"/>
      <w:bookmarkEnd w:id="2"/>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1828"/>
        <w:gridCol w:w="2268"/>
        <w:gridCol w:w="1844"/>
        <w:gridCol w:w="2935"/>
      </w:tblGrid>
      <w:tr w14:paraId="2DE138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30" w:type="pct"/>
            <w:tcMar>
              <w:top w:w="16" w:type="dxa"/>
              <w:left w:w="16" w:type="dxa"/>
              <w:right w:w="16" w:type="dxa"/>
            </w:tcMar>
            <w:vAlign w:val="center"/>
          </w:tcPr>
          <w:p w14:paraId="17547BDA">
            <w:pPr>
              <w:adjustRightInd w:val="0"/>
              <w:snapToGrid w:val="0"/>
              <w:jc w:val="center"/>
              <w:rPr>
                <w:sz w:val="24"/>
              </w:rPr>
            </w:pPr>
            <w:r>
              <w:rPr>
                <w:sz w:val="24"/>
              </w:rPr>
              <w:t>建设项目名称</w:t>
            </w:r>
          </w:p>
        </w:tc>
        <w:tc>
          <w:tcPr>
            <w:tcW w:w="3970" w:type="pct"/>
            <w:gridSpan w:val="3"/>
            <w:vAlign w:val="center"/>
          </w:tcPr>
          <w:p w14:paraId="1F201C0F">
            <w:pPr>
              <w:adjustRightInd w:val="0"/>
              <w:snapToGrid w:val="0"/>
              <w:jc w:val="center"/>
              <w:rPr>
                <w:sz w:val="24"/>
              </w:rPr>
            </w:pPr>
            <w:r>
              <w:rPr>
                <w:rFonts w:hint="eastAsia"/>
                <w:sz w:val="24"/>
              </w:rPr>
              <w:t>杭锦旗聚能能源有限公司油房壕煤矿燃煤锅炉项目</w:t>
            </w:r>
          </w:p>
        </w:tc>
      </w:tr>
      <w:tr w14:paraId="132132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30" w:type="pct"/>
            <w:tcMar>
              <w:top w:w="16" w:type="dxa"/>
              <w:left w:w="16" w:type="dxa"/>
              <w:right w:w="16" w:type="dxa"/>
            </w:tcMar>
            <w:vAlign w:val="center"/>
          </w:tcPr>
          <w:p w14:paraId="343AAFEE">
            <w:pPr>
              <w:adjustRightInd w:val="0"/>
              <w:snapToGrid w:val="0"/>
              <w:jc w:val="center"/>
              <w:rPr>
                <w:sz w:val="24"/>
              </w:rPr>
            </w:pPr>
            <w:r>
              <w:rPr>
                <w:sz w:val="24"/>
              </w:rPr>
              <w:t>项目代码</w:t>
            </w:r>
          </w:p>
        </w:tc>
        <w:tc>
          <w:tcPr>
            <w:tcW w:w="3970" w:type="pct"/>
            <w:gridSpan w:val="3"/>
            <w:vAlign w:val="center"/>
          </w:tcPr>
          <w:p w14:paraId="4A7C06E4">
            <w:pPr>
              <w:adjustRightInd w:val="0"/>
              <w:snapToGrid w:val="0"/>
              <w:jc w:val="center"/>
              <w:rPr>
                <w:sz w:val="24"/>
              </w:rPr>
            </w:pPr>
            <w:r>
              <w:rPr>
                <w:rFonts w:hint="eastAsia"/>
                <w:sz w:val="24"/>
              </w:rPr>
              <w:t>/</w:t>
            </w:r>
          </w:p>
        </w:tc>
      </w:tr>
      <w:tr w14:paraId="5F66E6D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30" w:type="pct"/>
            <w:tcMar>
              <w:top w:w="16" w:type="dxa"/>
              <w:left w:w="16" w:type="dxa"/>
              <w:right w:w="16" w:type="dxa"/>
            </w:tcMar>
            <w:vAlign w:val="center"/>
          </w:tcPr>
          <w:p w14:paraId="7BAD1B46">
            <w:pPr>
              <w:adjustRightInd w:val="0"/>
              <w:snapToGrid w:val="0"/>
              <w:jc w:val="center"/>
              <w:rPr>
                <w:sz w:val="24"/>
              </w:rPr>
            </w:pPr>
            <w:r>
              <w:rPr>
                <w:sz w:val="24"/>
              </w:rPr>
              <w:t>建设单位联系人</w:t>
            </w:r>
          </w:p>
        </w:tc>
        <w:tc>
          <w:tcPr>
            <w:tcW w:w="1278" w:type="pct"/>
            <w:vAlign w:val="center"/>
          </w:tcPr>
          <w:p w14:paraId="3AFC3BB3">
            <w:pPr>
              <w:adjustRightInd w:val="0"/>
              <w:snapToGrid w:val="0"/>
              <w:jc w:val="center"/>
              <w:rPr>
                <w:sz w:val="24"/>
              </w:rPr>
            </w:pPr>
            <w:r>
              <w:rPr>
                <w:rFonts w:hint="eastAsia"/>
                <w:sz w:val="24"/>
              </w:rPr>
              <w:t>张钊</w:t>
            </w:r>
          </w:p>
        </w:tc>
        <w:tc>
          <w:tcPr>
            <w:tcW w:w="1039" w:type="pct"/>
            <w:vAlign w:val="center"/>
          </w:tcPr>
          <w:p w14:paraId="798B11D3">
            <w:pPr>
              <w:adjustRightInd w:val="0"/>
              <w:snapToGrid w:val="0"/>
              <w:jc w:val="center"/>
              <w:rPr>
                <w:sz w:val="24"/>
              </w:rPr>
            </w:pPr>
            <w:r>
              <w:rPr>
                <w:sz w:val="24"/>
              </w:rPr>
              <w:t>建设单位联系人</w:t>
            </w:r>
          </w:p>
        </w:tc>
        <w:tc>
          <w:tcPr>
            <w:tcW w:w="1653" w:type="pct"/>
            <w:vAlign w:val="center"/>
          </w:tcPr>
          <w:p w14:paraId="6737B6A6">
            <w:pPr>
              <w:adjustRightInd w:val="0"/>
              <w:snapToGrid w:val="0"/>
              <w:jc w:val="center"/>
              <w:rPr>
                <w:sz w:val="24"/>
              </w:rPr>
            </w:pPr>
            <w:r>
              <w:rPr>
                <w:sz w:val="24"/>
              </w:rPr>
              <w:t>15554765017</w:t>
            </w:r>
          </w:p>
        </w:tc>
      </w:tr>
      <w:tr w14:paraId="74F8C4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30" w:type="pct"/>
            <w:tcMar>
              <w:top w:w="16" w:type="dxa"/>
              <w:left w:w="16" w:type="dxa"/>
              <w:right w:w="16" w:type="dxa"/>
            </w:tcMar>
            <w:vAlign w:val="center"/>
          </w:tcPr>
          <w:p w14:paraId="09B23BC5">
            <w:pPr>
              <w:adjustRightInd w:val="0"/>
              <w:snapToGrid w:val="0"/>
              <w:jc w:val="center"/>
              <w:rPr>
                <w:sz w:val="24"/>
              </w:rPr>
            </w:pPr>
            <w:r>
              <w:rPr>
                <w:sz w:val="24"/>
              </w:rPr>
              <w:t>建设地点</w:t>
            </w:r>
          </w:p>
        </w:tc>
        <w:tc>
          <w:tcPr>
            <w:tcW w:w="3970" w:type="pct"/>
            <w:gridSpan w:val="3"/>
            <w:vAlign w:val="center"/>
          </w:tcPr>
          <w:p w14:paraId="15ABA57F">
            <w:pPr>
              <w:adjustRightInd w:val="0"/>
              <w:snapToGrid w:val="0"/>
              <w:jc w:val="center"/>
              <w:rPr>
                <w:sz w:val="24"/>
              </w:rPr>
            </w:pPr>
            <w:r>
              <w:rPr>
                <w:rFonts w:hint="eastAsia"/>
                <w:kern w:val="0"/>
                <w:sz w:val="24"/>
              </w:rPr>
              <w:t>内蒙古自治区鄂尔多斯市东胜区泊尔江海子镇杭锦旗聚能能源有限公司油房壕煤矿工业场地范围内</w:t>
            </w:r>
          </w:p>
        </w:tc>
      </w:tr>
      <w:tr w14:paraId="0F9B32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30" w:type="pct"/>
            <w:tcMar>
              <w:top w:w="16" w:type="dxa"/>
              <w:left w:w="16" w:type="dxa"/>
              <w:right w:w="16" w:type="dxa"/>
            </w:tcMar>
            <w:vAlign w:val="center"/>
          </w:tcPr>
          <w:p w14:paraId="06868C3B">
            <w:pPr>
              <w:adjustRightInd w:val="0"/>
              <w:snapToGrid w:val="0"/>
              <w:jc w:val="center"/>
              <w:rPr>
                <w:sz w:val="24"/>
              </w:rPr>
            </w:pPr>
            <w:r>
              <w:rPr>
                <w:sz w:val="24"/>
              </w:rPr>
              <w:t>地理坐标</w:t>
            </w:r>
          </w:p>
        </w:tc>
        <w:tc>
          <w:tcPr>
            <w:tcW w:w="3970" w:type="pct"/>
            <w:gridSpan w:val="3"/>
            <w:vAlign w:val="center"/>
          </w:tcPr>
          <w:p w14:paraId="72BE74FE">
            <w:pPr>
              <w:jc w:val="center"/>
              <w:rPr>
                <w:sz w:val="24"/>
              </w:rPr>
            </w:pPr>
            <w:r>
              <w:rPr>
                <w:sz w:val="24"/>
              </w:rPr>
              <w:t>北纬</w:t>
            </w:r>
            <w:r>
              <w:rPr>
                <w:rFonts w:hint="eastAsia"/>
                <w:sz w:val="24"/>
              </w:rPr>
              <w:t>39</w:t>
            </w:r>
            <w:r>
              <w:rPr>
                <w:sz w:val="24"/>
              </w:rPr>
              <w:t>度</w:t>
            </w:r>
            <w:r>
              <w:rPr>
                <w:rFonts w:hint="eastAsia"/>
                <w:sz w:val="24"/>
              </w:rPr>
              <w:t>54</w:t>
            </w:r>
            <w:r>
              <w:rPr>
                <w:sz w:val="24"/>
              </w:rPr>
              <w:t>分</w:t>
            </w:r>
            <w:r>
              <w:rPr>
                <w:rFonts w:hint="eastAsia"/>
                <w:sz w:val="24"/>
              </w:rPr>
              <w:t>11.013</w:t>
            </w:r>
            <w:r>
              <w:rPr>
                <w:sz w:val="24"/>
              </w:rPr>
              <w:t>秒，东经</w:t>
            </w:r>
            <w:r>
              <w:rPr>
                <w:rFonts w:hint="eastAsia"/>
                <w:sz w:val="24"/>
              </w:rPr>
              <w:t>109</w:t>
            </w:r>
            <w:r>
              <w:rPr>
                <w:sz w:val="24"/>
              </w:rPr>
              <w:t>度</w:t>
            </w:r>
            <w:r>
              <w:rPr>
                <w:rFonts w:hint="eastAsia"/>
                <w:sz w:val="24"/>
              </w:rPr>
              <w:t>21</w:t>
            </w:r>
            <w:r>
              <w:rPr>
                <w:sz w:val="24"/>
              </w:rPr>
              <w:t>分</w:t>
            </w:r>
            <w:r>
              <w:rPr>
                <w:rFonts w:hint="eastAsia"/>
                <w:sz w:val="24"/>
              </w:rPr>
              <w:t>52.505</w:t>
            </w:r>
            <w:r>
              <w:rPr>
                <w:sz w:val="24"/>
              </w:rPr>
              <w:t>秒</w:t>
            </w:r>
          </w:p>
        </w:tc>
      </w:tr>
      <w:tr w14:paraId="1A4DA7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030" w:type="pct"/>
            <w:tcMar>
              <w:top w:w="16" w:type="dxa"/>
              <w:left w:w="16" w:type="dxa"/>
              <w:right w:w="16" w:type="dxa"/>
            </w:tcMar>
            <w:vAlign w:val="center"/>
          </w:tcPr>
          <w:p w14:paraId="4FDA2269">
            <w:pPr>
              <w:adjustRightInd w:val="0"/>
              <w:snapToGrid w:val="0"/>
              <w:jc w:val="center"/>
              <w:rPr>
                <w:sz w:val="24"/>
              </w:rPr>
            </w:pPr>
            <w:r>
              <w:rPr>
                <w:sz w:val="24"/>
              </w:rPr>
              <w:t>国民经济</w:t>
            </w:r>
          </w:p>
          <w:p w14:paraId="7E66EC02">
            <w:pPr>
              <w:adjustRightInd w:val="0"/>
              <w:snapToGrid w:val="0"/>
              <w:jc w:val="center"/>
              <w:rPr>
                <w:sz w:val="24"/>
              </w:rPr>
            </w:pPr>
            <w:r>
              <w:rPr>
                <w:sz w:val="24"/>
              </w:rPr>
              <w:t>行业类别</w:t>
            </w:r>
          </w:p>
        </w:tc>
        <w:tc>
          <w:tcPr>
            <w:tcW w:w="1278" w:type="pct"/>
            <w:vAlign w:val="center"/>
          </w:tcPr>
          <w:p w14:paraId="4D790F13">
            <w:pPr>
              <w:adjustRightInd w:val="0"/>
              <w:snapToGrid w:val="0"/>
              <w:jc w:val="center"/>
              <w:rPr>
                <w:sz w:val="24"/>
              </w:rPr>
            </w:pPr>
            <w:r>
              <w:rPr>
                <w:rFonts w:hint="eastAsia"/>
                <w:sz w:val="24"/>
              </w:rPr>
              <w:t>D4430 热力生产和供应</w:t>
            </w:r>
          </w:p>
        </w:tc>
        <w:tc>
          <w:tcPr>
            <w:tcW w:w="1039" w:type="pct"/>
            <w:vAlign w:val="center"/>
          </w:tcPr>
          <w:p w14:paraId="3844199B">
            <w:pPr>
              <w:adjustRightInd w:val="0"/>
              <w:snapToGrid w:val="0"/>
              <w:jc w:val="center"/>
              <w:rPr>
                <w:sz w:val="24"/>
              </w:rPr>
            </w:pPr>
            <w:bookmarkStart w:id="4" w:name="_Hlk49843745"/>
            <w:r>
              <w:rPr>
                <w:sz w:val="24"/>
              </w:rPr>
              <w:t>建设项目</w:t>
            </w:r>
          </w:p>
          <w:p w14:paraId="279710A6">
            <w:pPr>
              <w:adjustRightInd w:val="0"/>
              <w:snapToGrid w:val="0"/>
              <w:jc w:val="center"/>
              <w:rPr>
                <w:sz w:val="24"/>
              </w:rPr>
            </w:pPr>
            <w:r>
              <w:rPr>
                <w:sz w:val="24"/>
              </w:rPr>
              <w:t>行业类别</w:t>
            </w:r>
            <w:bookmarkEnd w:id="4"/>
          </w:p>
        </w:tc>
        <w:tc>
          <w:tcPr>
            <w:tcW w:w="1653" w:type="pct"/>
            <w:vAlign w:val="center"/>
          </w:tcPr>
          <w:p w14:paraId="696672C4">
            <w:pPr>
              <w:adjustRightInd w:val="0"/>
              <w:snapToGrid w:val="0"/>
              <w:rPr>
                <w:sz w:val="24"/>
              </w:rPr>
            </w:pPr>
            <w:r>
              <w:rPr>
                <w:rFonts w:hint="eastAsia"/>
                <w:sz w:val="24"/>
              </w:rPr>
              <w:t>四十一、电力、热力生产和供应业-91 热力生产和供应工程（包括建设单位自建自用的供热工程）-燃煤、燃油锅炉总容量65吨/小时（45.5兆瓦）及以下的</w:t>
            </w:r>
          </w:p>
        </w:tc>
      </w:tr>
      <w:tr w14:paraId="7799DF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030" w:type="pct"/>
            <w:tcMar>
              <w:top w:w="16" w:type="dxa"/>
              <w:left w:w="16" w:type="dxa"/>
              <w:right w:w="16" w:type="dxa"/>
            </w:tcMar>
            <w:vAlign w:val="center"/>
          </w:tcPr>
          <w:p w14:paraId="301E470A">
            <w:pPr>
              <w:adjustRightInd w:val="0"/>
              <w:snapToGrid w:val="0"/>
              <w:jc w:val="center"/>
              <w:rPr>
                <w:sz w:val="24"/>
              </w:rPr>
            </w:pPr>
            <w:r>
              <w:rPr>
                <w:sz w:val="24"/>
              </w:rPr>
              <w:t>建设性质</w:t>
            </w:r>
          </w:p>
        </w:tc>
        <w:tc>
          <w:tcPr>
            <w:tcW w:w="1278" w:type="pct"/>
            <w:vAlign w:val="center"/>
          </w:tcPr>
          <w:p w14:paraId="14981710">
            <w:pPr>
              <w:jc w:val="left"/>
              <w:rPr>
                <w:rFonts w:hint="eastAsia" w:ascii="宋体" w:hAnsi="宋体"/>
                <w:sz w:val="24"/>
              </w:rPr>
            </w:pPr>
            <w:r>
              <w:rPr>
                <w:rFonts w:hint="eastAsia" w:ascii="宋体" w:hAnsi="宋体"/>
                <w:sz w:val="24"/>
              </w:rPr>
              <w:t>□</w:t>
            </w:r>
            <w:r>
              <w:rPr>
                <w:rFonts w:ascii="宋体" w:hAnsi="宋体"/>
                <w:sz w:val="24"/>
              </w:rPr>
              <w:t>新建（迁建）</w:t>
            </w:r>
          </w:p>
          <w:p w14:paraId="29B97EC8">
            <w:pPr>
              <w:jc w:val="left"/>
              <w:rPr>
                <w:rFonts w:hint="eastAsia" w:ascii="宋体" w:hAnsi="宋体"/>
                <w:sz w:val="24"/>
              </w:rPr>
            </w:pPr>
            <w:r>
              <w:rPr>
                <w:rFonts w:ascii="宋体" w:hAnsi="宋体"/>
                <w:sz w:val="24"/>
              </w:rPr>
              <w:sym w:font="Wingdings" w:char="F0FE"/>
            </w:r>
            <w:r>
              <w:rPr>
                <w:rFonts w:ascii="宋体" w:hAnsi="宋体"/>
                <w:sz w:val="24"/>
              </w:rPr>
              <w:t>改建</w:t>
            </w:r>
          </w:p>
          <w:p w14:paraId="4C417A73">
            <w:pPr>
              <w:jc w:val="left"/>
              <w:rPr>
                <w:rFonts w:hint="eastAsia" w:ascii="宋体" w:hAnsi="宋体"/>
                <w:sz w:val="24"/>
              </w:rPr>
            </w:pPr>
            <w:r>
              <w:rPr>
                <w:rFonts w:ascii="宋体" w:hAnsi="宋体"/>
                <w:sz w:val="24"/>
              </w:rPr>
              <w:sym w:font="Wingdings" w:char="F0FE"/>
            </w:r>
            <w:r>
              <w:rPr>
                <w:rFonts w:ascii="宋体" w:hAnsi="宋体"/>
                <w:sz w:val="24"/>
              </w:rPr>
              <w:t>扩建</w:t>
            </w:r>
          </w:p>
          <w:p w14:paraId="070365AC">
            <w:pPr>
              <w:jc w:val="left"/>
              <w:rPr>
                <w:sz w:val="24"/>
              </w:rPr>
            </w:pPr>
            <w:r>
              <w:rPr>
                <w:rFonts w:hint="eastAsia" w:ascii="宋体" w:hAnsi="宋体"/>
                <w:sz w:val="24"/>
              </w:rPr>
              <w:t>□</w:t>
            </w:r>
            <w:r>
              <w:rPr>
                <w:rFonts w:ascii="宋体" w:hAnsi="宋体"/>
                <w:sz w:val="24"/>
              </w:rPr>
              <w:t>技术改造</w:t>
            </w:r>
          </w:p>
        </w:tc>
        <w:tc>
          <w:tcPr>
            <w:tcW w:w="1039" w:type="pct"/>
            <w:vAlign w:val="center"/>
          </w:tcPr>
          <w:p w14:paraId="28602D6F">
            <w:pPr>
              <w:adjustRightInd w:val="0"/>
              <w:snapToGrid w:val="0"/>
              <w:jc w:val="center"/>
              <w:rPr>
                <w:sz w:val="24"/>
              </w:rPr>
            </w:pPr>
            <w:r>
              <w:rPr>
                <w:sz w:val="24"/>
              </w:rPr>
              <w:t>建设项目</w:t>
            </w:r>
          </w:p>
          <w:p w14:paraId="0CBBCCC6">
            <w:pPr>
              <w:adjustRightInd w:val="0"/>
              <w:snapToGrid w:val="0"/>
              <w:jc w:val="center"/>
              <w:rPr>
                <w:sz w:val="24"/>
              </w:rPr>
            </w:pPr>
            <w:r>
              <w:rPr>
                <w:sz w:val="24"/>
              </w:rPr>
              <w:t>申报情形</w:t>
            </w:r>
          </w:p>
        </w:tc>
        <w:tc>
          <w:tcPr>
            <w:tcW w:w="1653" w:type="pct"/>
            <w:vAlign w:val="center"/>
          </w:tcPr>
          <w:p w14:paraId="1BAB8C6B">
            <w:pPr>
              <w:jc w:val="left"/>
              <w:rPr>
                <w:rFonts w:hint="eastAsia" w:ascii="宋体" w:hAnsi="宋体"/>
                <w:sz w:val="24"/>
              </w:rPr>
            </w:pPr>
            <w:r>
              <w:rPr>
                <w:rFonts w:ascii="宋体" w:hAnsi="宋体"/>
                <w:sz w:val="24"/>
              </w:rPr>
              <w:sym w:font="Wingdings" w:char="F0FE"/>
            </w:r>
            <w:r>
              <w:rPr>
                <w:rFonts w:ascii="宋体" w:hAnsi="宋体"/>
                <w:sz w:val="24"/>
              </w:rPr>
              <w:t>首次申报项目</w:t>
            </w:r>
          </w:p>
          <w:p w14:paraId="1F369919">
            <w:pPr>
              <w:jc w:val="left"/>
              <w:rPr>
                <w:rFonts w:hint="eastAsia" w:ascii="宋体" w:hAnsi="宋体"/>
                <w:sz w:val="24"/>
              </w:rPr>
            </w:pPr>
            <w:r>
              <w:rPr>
                <w:rFonts w:ascii="宋体" w:hAnsi="宋体"/>
                <w:sz w:val="24"/>
              </w:rPr>
              <w:t>□不予批准后再次申报项目</w:t>
            </w:r>
          </w:p>
          <w:p w14:paraId="0C9C1EB7">
            <w:pPr>
              <w:jc w:val="left"/>
              <w:rPr>
                <w:rFonts w:hint="eastAsia" w:ascii="宋体" w:hAnsi="宋体"/>
                <w:sz w:val="24"/>
              </w:rPr>
            </w:pPr>
            <w:r>
              <w:rPr>
                <w:rFonts w:ascii="宋体" w:hAnsi="宋体"/>
                <w:sz w:val="24"/>
              </w:rPr>
              <w:sym w:font="Wingdings 2" w:char="00A3"/>
            </w:r>
            <w:r>
              <w:rPr>
                <w:rFonts w:ascii="宋体" w:hAnsi="宋体"/>
                <w:sz w:val="24"/>
              </w:rPr>
              <w:t>超五年重新审核项目</w:t>
            </w:r>
          </w:p>
          <w:p w14:paraId="5C5302A8">
            <w:pPr>
              <w:jc w:val="left"/>
              <w:rPr>
                <w:sz w:val="24"/>
              </w:rPr>
            </w:pPr>
            <w:r>
              <w:rPr>
                <w:rFonts w:ascii="宋体" w:hAnsi="宋体"/>
                <w:sz w:val="24"/>
              </w:rPr>
              <w:t>□重大变动重新报批项目</w:t>
            </w:r>
          </w:p>
        </w:tc>
      </w:tr>
      <w:tr w14:paraId="630844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030" w:type="pct"/>
            <w:tcMar>
              <w:top w:w="16" w:type="dxa"/>
              <w:left w:w="16" w:type="dxa"/>
              <w:right w:w="16" w:type="dxa"/>
            </w:tcMar>
            <w:vAlign w:val="center"/>
          </w:tcPr>
          <w:p w14:paraId="651AE80C">
            <w:pPr>
              <w:adjustRightInd w:val="0"/>
              <w:snapToGrid w:val="0"/>
              <w:jc w:val="center"/>
              <w:rPr>
                <w:sz w:val="24"/>
              </w:rPr>
            </w:pPr>
            <w:r>
              <w:rPr>
                <w:sz w:val="24"/>
              </w:rPr>
              <w:t>项目审批（核准/备案）部门（选填）</w:t>
            </w:r>
          </w:p>
        </w:tc>
        <w:tc>
          <w:tcPr>
            <w:tcW w:w="1278" w:type="pct"/>
            <w:vAlign w:val="center"/>
          </w:tcPr>
          <w:p w14:paraId="5444F88A">
            <w:pPr>
              <w:adjustRightInd w:val="0"/>
              <w:snapToGrid w:val="0"/>
              <w:jc w:val="center"/>
              <w:rPr>
                <w:sz w:val="24"/>
              </w:rPr>
            </w:pPr>
            <w:r>
              <w:rPr>
                <w:rFonts w:hint="eastAsia"/>
                <w:sz w:val="24"/>
              </w:rPr>
              <w:t>/</w:t>
            </w:r>
          </w:p>
        </w:tc>
        <w:tc>
          <w:tcPr>
            <w:tcW w:w="1039" w:type="pct"/>
            <w:vAlign w:val="center"/>
          </w:tcPr>
          <w:p w14:paraId="74FF9A59">
            <w:pPr>
              <w:adjustRightInd w:val="0"/>
              <w:snapToGrid w:val="0"/>
              <w:jc w:val="center"/>
              <w:rPr>
                <w:sz w:val="24"/>
              </w:rPr>
            </w:pPr>
            <w:r>
              <w:rPr>
                <w:sz w:val="24"/>
              </w:rPr>
              <w:t>项目审批（核准/</w:t>
            </w:r>
          </w:p>
          <w:p w14:paraId="0CD14ED5">
            <w:pPr>
              <w:adjustRightInd w:val="0"/>
              <w:snapToGrid w:val="0"/>
              <w:jc w:val="center"/>
              <w:rPr>
                <w:sz w:val="24"/>
              </w:rPr>
            </w:pPr>
            <w:r>
              <w:rPr>
                <w:sz w:val="24"/>
              </w:rPr>
              <w:t>备案）文号（选填）</w:t>
            </w:r>
          </w:p>
        </w:tc>
        <w:tc>
          <w:tcPr>
            <w:tcW w:w="1653" w:type="pct"/>
            <w:vAlign w:val="center"/>
          </w:tcPr>
          <w:p w14:paraId="54C9F6A7">
            <w:pPr>
              <w:adjustRightInd w:val="0"/>
              <w:snapToGrid w:val="0"/>
              <w:jc w:val="center"/>
              <w:rPr>
                <w:sz w:val="24"/>
              </w:rPr>
            </w:pPr>
            <w:r>
              <w:rPr>
                <w:rFonts w:hint="eastAsia"/>
                <w:sz w:val="24"/>
              </w:rPr>
              <w:t>/</w:t>
            </w:r>
          </w:p>
        </w:tc>
      </w:tr>
      <w:tr w14:paraId="4E36E5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30" w:type="pct"/>
            <w:tcMar>
              <w:top w:w="16" w:type="dxa"/>
              <w:left w:w="16" w:type="dxa"/>
              <w:right w:w="16" w:type="dxa"/>
            </w:tcMar>
            <w:vAlign w:val="center"/>
          </w:tcPr>
          <w:p w14:paraId="4F2A6933">
            <w:pPr>
              <w:adjustRightInd w:val="0"/>
              <w:snapToGrid w:val="0"/>
              <w:jc w:val="center"/>
              <w:rPr>
                <w:sz w:val="24"/>
              </w:rPr>
            </w:pPr>
            <w:r>
              <w:rPr>
                <w:sz w:val="24"/>
              </w:rPr>
              <w:t>总投资（万元）</w:t>
            </w:r>
          </w:p>
        </w:tc>
        <w:tc>
          <w:tcPr>
            <w:tcW w:w="1278" w:type="pct"/>
            <w:vAlign w:val="center"/>
          </w:tcPr>
          <w:p w14:paraId="2912A0BF">
            <w:pPr>
              <w:adjustRightInd w:val="0"/>
              <w:snapToGrid w:val="0"/>
              <w:jc w:val="center"/>
              <w:rPr>
                <w:sz w:val="24"/>
              </w:rPr>
            </w:pPr>
            <w:r>
              <w:rPr>
                <w:rFonts w:hint="eastAsia"/>
                <w:sz w:val="24"/>
              </w:rPr>
              <w:t>4000</w:t>
            </w:r>
          </w:p>
        </w:tc>
        <w:tc>
          <w:tcPr>
            <w:tcW w:w="1039" w:type="pct"/>
            <w:tcMar>
              <w:top w:w="16" w:type="dxa"/>
              <w:left w:w="16" w:type="dxa"/>
              <w:right w:w="16" w:type="dxa"/>
            </w:tcMar>
            <w:vAlign w:val="center"/>
          </w:tcPr>
          <w:p w14:paraId="4AAD8359">
            <w:pPr>
              <w:adjustRightInd w:val="0"/>
              <w:snapToGrid w:val="0"/>
              <w:jc w:val="center"/>
              <w:rPr>
                <w:sz w:val="24"/>
              </w:rPr>
            </w:pPr>
            <w:r>
              <w:rPr>
                <w:sz w:val="24"/>
              </w:rPr>
              <w:t>环保投资（万元）</w:t>
            </w:r>
          </w:p>
        </w:tc>
        <w:tc>
          <w:tcPr>
            <w:tcW w:w="1653" w:type="pct"/>
            <w:vAlign w:val="center"/>
          </w:tcPr>
          <w:p w14:paraId="7D94BD80">
            <w:pPr>
              <w:adjustRightInd w:val="0"/>
              <w:snapToGrid w:val="0"/>
              <w:jc w:val="center"/>
              <w:rPr>
                <w:sz w:val="24"/>
              </w:rPr>
            </w:pPr>
            <w:r>
              <w:rPr>
                <w:rFonts w:hint="eastAsia"/>
                <w:sz w:val="24"/>
              </w:rPr>
              <w:t>455</w:t>
            </w:r>
          </w:p>
        </w:tc>
      </w:tr>
      <w:tr w14:paraId="5C363E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30" w:type="pct"/>
            <w:tcMar>
              <w:top w:w="16" w:type="dxa"/>
              <w:left w:w="16" w:type="dxa"/>
              <w:right w:w="16" w:type="dxa"/>
            </w:tcMar>
            <w:vAlign w:val="center"/>
          </w:tcPr>
          <w:p w14:paraId="2B090E9A">
            <w:pPr>
              <w:adjustRightInd w:val="0"/>
              <w:snapToGrid w:val="0"/>
              <w:jc w:val="center"/>
              <w:rPr>
                <w:sz w:val="24"/>
              </w:rPr>
            </w:pPr>
            <w:r>
              <w:rPr>
                <w:sz w:val="24"/>
              </w:rPr>
              <w:t>环保投资占比（%）</w:t>
            </w:r>
          </w:p>
        </w:tc>
        <w:tc>
          <w:tcPr>
            <w:tcW w:w="1278" w:type="pct"/>
            <w:vAlign w:val="center"/>
          </w:tcPr>
          <w:p w14:paraId="1581F52D">
            <w:pPr>
              <w:adjustRightInd w:val="0"/>
              <w:snapToGrid w:val="0"/>
              <w:jc w:val="center"/>
              <w:rPr>
                <w:sz w:val="24"/>
              </w:rPr>
            </w:pPr>
            <w:r>
              <w:rPr>
                <w:rFonts w:hint="eastAsia"/>
                <w:sz w:val="24"/>
              </w:rPr>
              <w:t>11.37</w:t>
            </w:r>
          </w:p>
        </w:tc>
        <w:tc>
          <w:tcPr>
            <w:tcW w:w="1039" w:type="pct"/>
            <w:tcMar>
              <w:top w:w="16" w:type="dxa"/>
              <w:left w:w="16" w:type="dxa"/>
              <w:right w:w="16" w:type="dxa"/>
            </w:tcMar>
            <w:vAlign w:val="center"/>
          </w:tcPr>
          <w:p w14:paraId="35A780E9">
            <w:pPr>
              <w:adjustRightInd w:val="0"/>
              <w:snapToGrid w:val="0"/>
              <w:jc w:val="center"/>
              <w:rPr>
                <w:sz w:val="24"/>
              </w:rPr>
            </w:pPr>
            <w:r>
              <w:rPr>
                <w:sz w:val="24"/>
              </w:rPr>
              <w:t>施工工期</w:t>
            </w:r>
          </w:p>
        </w:tc>
        <w:tc>
          <w:tcPr>
            <w:tcW w:w="1653" w:type="pct"/>
            <w:vAlign w:val="center"/>
          </w:tcPr>
          <w:p w14:paraId="76094202">
            <w:pPr>
              <w:adjustRightInd w:val="0"/>
              <w:snapToGrid w:val="0"/>
              <w:jc w:val="center"/>
              <w:rPr>
                <w:sz w:val="24"/>
              </w:rPr>
            </w:pPr>
            <w:r>
              <w:rPr>
                <w:rFonts w:hint="eastAsia"/>
                <w:sz w:val="24"/>
              </w:rPr>
              <w:t>6个月</w:t>
            </w:r>
          </w:p>
        </w:tc>
      </w:tr>
      <w:tr w14:paraId="25DE97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030" w:type="pct"/>
            <w:tcMar>
              <w:top w:w="16" w:type="dxa"/>
              <w:left w:w="16" w:type="dxa"/>
              <w:right w:w="16" w:type="dxa"/>
            </w:tcMar>
            <w:vAlign w:val="center"/>
          </w:tcPr>
          <w:p w14:paraId="281B37EB">
            <w:pPr>
              <w:adjustRightInd w:val="0"/>
              <w:snapToGrid w:val="0"/>
              <w:jc w:val="center"/>
              <w:rPr>
                <w:sz w:val="24"/>
              </w:rPr>
            </w:pPr>
            <w:r>
              <w:rPr>
                <w:sz w:val="24"/>
              </w:rPr>
              <w:t>是否开工建设</w:t>
            </w:r>
          </w:p>
        </w:tc>
        <w:tc>
          <w:tcPr>
            <w:tcW w:w="1278" w:type="pct"/>
            <w:vAlign w:val="center"/>
          </w:tcPr>
          <w:p w14:paraId="373CFB34">
            <w:pPr>
              <w:adjustRightInd w:val="0"/>
              <w:snapToGrid w:val="0"/>
              <w:rPr>
                <w:sz w:val="24"/>
              </w:rPr>
            </w:pPr>
            <w:r>
              <w:rPr>
                <w:rFonts w:ascii="宋体" w:hAnsi="宋体"/>
                <w:sz w:val="24"/>
              </w:rPr>
              <w:sym w:font="Wingdings" w:char="F0FE"/>
            </w:r>
            <w:r>
              <w:rPr>
                <w:sz w:val="24"/>
              </w:rPr>
              <w:t>否</w:t>
            </w:r>
          </w:p>
          <w:p w14:paraId="397DC2A6">
            <w:pPr>
              <w:adjustRightInd w:val="0"/>
              <w:snapToGrid w:val="0"/>
              <w:rPr>
                <w:sz w:val="24"/>
              </w:rPr>
            </w:pPr>
            <w:r>
              <w:rPr>
                <w:sz w:val="24"/>
              </w:rPr>
              <w:sym w:font="Wingdings 2" w:char="00A3"/>
            </w:r>
            <w:r>
              <w:rPr>
                <w:sz w:val="24"/>
              </w:rPr>
              <w:t>是：</w:t>
            </w:r>
            <w:r>
              <w:rPr>
                <w:sz w:val="24"/>
                <w:u w:val="single"/>
              </w:rPr>
              <w:t xml:space="preserve">            </w:t>
            </w:r>
          </w:p>
        </w:tc>
        <w:tc>
          <w:tcPr>
            <w:tcW w:w="1039" w:type="pct"/>
            <w:tcMar>
              <w:top w:w="16" w:type="dxa"/>
              <w:left w:w="16" w:type="dxa"/>
              <w:right w:w="16" w:type="dxa"/>
            </w:tcMar>
            <w:vAlign w:val="center"/>
          </w:tcPr>
          <w:p w14:paraId="28A11C18">
            <w:pPr>
              <w:adjustRightInd w:val="0"/>
              <w:snapToGrid w:val="0"/>
              <w:jc w:val="center"/>
              <w:rPr>
                <w:spacing w:val="-6"/>
                <w:sz w:val="24"/>
              </w:rPr>
            </w:pPr>
            <w:r>
              <w:rPr>
                <w:spacing w:val="-6"/>
                <w:sz w:val="24"/>
              </w:rPr>
              <w:t>用地</w:t>
            </w:r>
          </w:p>
          <w:p w14:paraId="47BF8AA0">
            <w:pPr>
              <w:adjustRightInd w:val="0"/>
              <w:snapToGrid w:val="0"/>
              <w:jc w:val="center"/>
              <w:rPr>
                <w:sz w:val="24"/>
              </w:rPr>
            </w:pPr>
            <w:r>
              <w:rPr>
                <w:spacing w:val="-6"/>
                <w:sz w:val="24"/>
              </w:rPr>
              <w:t>面积（</w:t>
            </w:r>
            <w:bookmarkStart w:id="5" w:name="_Hlk113972340"/>
            <w:r>
              <w:rPr>
                <w:spacing w:val="-6"/>
                <w:sz w:val="24"/>
              </w:rPr>
              <w:t>m</w:t>
            </w:r>
            <w:r>
              <w:rPr>
                <w:spacing w:val="-6"/>
                <w:sz w:val="24"/>
                <w:vertAlign w:val="superscript"/>
              </w:rPr>
              <w:t>2</w:t>
            </w:r>
            <w:bookmarkEnd w:id="5"/>
            <w:r>
              <w:rPr>
                <w:spacing w:val="-6"/>
                <w:sz w:val="24"/>
              </w:rPr>
              <w:t>）</w:t>
            </w:r>
          </w:p>
        </w:tc>
        <w:tc>
          <w:tcPr>
            <w:tcW w:w="1653" w:type="pct"/>
            <w:vAlign w:val="center"/>
          </w:tcPr>
          <w:p w14:paraId="1A360806">
            <w:pPr>
              <w:adjustRightInd w:val="0"/>
              <w:snapToGrid w:val="0"/>
              <w:jc w:val="center"/>
              <w:rPr>
                <w:sz w:val="24"/>
              </w:rPr>
            </w:pPr>
            <w:r>
              <w:rPr>
                <w:rFonts w:hint="eastAsia"/>
                <w:sz w:val="24"/>
              </w:rPr>
              <w:t>4170（工业场地内，无新增占地）</w:t>
            </w:r>
          </w:p>
        </w:tc>
      </w:tr>
      <w:tr w14:paraId="2B4999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1030" w:type="pct"/>
            <w:vAlign w:val="center"/>
          </w:tcPr>
          <w:p w14:paraId="675CB675">
            <w:pPr>
              <w:autoSpaceDE w:val="0"/>
              <w:autoSpaceDN w:val="0"/>
              <w:adjustRightInd w:val="0"/>
              <w:snapToGrid w:val="0"/>
              <w:jc w:val="center"/>
              <w:rPr>
                <w:kern w:val="0"/>
                <w:sz w:val="24"/>
              </w:rPr>
            </w:pPr>
            <w:r>
              <w:rPr>
                <w:kern w:val="0"/>
                <w:sz w:val="24"/>
              </w:rPr>
              <w:t>专项评价设置情况</w:t>
            </w:r>
          </w:p>
        </w:tc>
        <w:tc>
          <w:tcPr>
            <w:tcW w:w="3970" w:type="pct"/>
            <w:gridSpan w:val="3"/>
            <w:vAlign w:val="center"/>
          </w:tcPr>
          <w:p w14:paraId="6AD0824A">
            <w:pPr>
              <w:autoSpaceDE w:val="0"/>
              <w:autoSpaceDN w:val="0"/>
              <w:adjustRightInd w:val="0"/>
              <w:snapToGrid w:val="0"/>
              <w:spacing w:line="360" w:lineRule="auto"/>
              <w:ind w:firstLine="480" w:firstLineChars="200"/>
              <w:rPr>
                <w:kern w:val="0"/>
                <w:sz w:val="24"/>
              </w:rPr>
            </w:pPr>
            <w:r>
              <w:rPr>
                <w:rFonts w:hint="eastAsia"/>
                <w:kern w:val="0"/>
                <w:sz w:val="24"/>
              </w:rPr>
              <w:t>本项目同专项评价设置原则对照见下表。</w:t>
            </w:r>
          </w:p>
          <w:p w14:paraId="5C233E47">
            <w:pPr>
              <w:autoSpaceDE w:val="0"/>
              <w:autoSpaceDN w:val="0"/>
              <w:adjustRightInd w:val="0"/>
              <w:snapToGrid w:val="0"/>
              <w:jc w:val="center"/>
              <w:rPr>
                <w:b/>
                <w:bCs/>
                <w:kern w:val="0"/>
                <w:szCs w:val="21"/>
              </w:rPr>
            </w:pPr>
            <w:r>
              <w:rPr>
                <w:rFonts w:hint="eastAsia"/>
                <w:b/>
                <w:bCs/>
                <w:kern w:val="0"/>
                <w:szCs w:val="21"/>
              </w:rPr>
              <w:t>表1</w:t>
            </w:r>
            <w:r>
              <w:rPr>
                <w:b/>
                <w:bCs/>
                <w:kern w:val="0"/>
                <w:szCs w:val="21"/>
              </w:rPr>
              <w:t xml:space="preserve">-1 </w:t>
            </w:r>
            <w:r>
              <w:rPr>
                <w:rFonts w:hint="eastAsia"/>
                <w:b/>
                <w:bCs/>
                <w:kern w:val="0"/>
                <w:szCs w:val="21"/>
              </w:rPr>
              <w:t>本项目同专项评价设置原则对照表</w:t>
            </w:r>
          </w:p>
          <w:tbl>
            <w:tblPr>
              <w:tblStyle w:val="32"/>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48"/>
              <w:gridCol w:w="3254"/>
              <w:gridCol w:w="1568"/>
              <w:gridCol w:w="913"/>
            </w:tblGrid>
            <w:tr w14:paraId="4CD632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48" w:type="dxa"/>
                  <w:vAlign w:val="center"/>
                </w:tcPr>
                <w:p w14:paraId="4F190B20">
                  <w:pPr>
                    <w:autoSpaceDE w:val="0"/>
                    <w:autoSpaceDN w:val="0"/>
                    <w:adjustRightInd w:val="0"/>
                    <w:snapToGrid w:val="0"/>
                    <w:jc w:val="center"/>
                    <w:rPr>
                      <w:kern w:val="0"/>
                      <w:szCs w:val="21"/>
                    </w:rPr>
                  </w:pPr>
                  <w:r>
                    <w:rPr>
                      <w:rFonts w:hint="eastAsia"/>
                      <w:kern w:val="0"/>
                      <w:szCs w:val="21"/>
                    </w:rPr>
                    <w:t>专项评价的类别</w:t>
                  </w:r>
                </w:p>
              </w:tc>
              <w:tc>
                <w:tcPr>
                  <w:tcW w:w="3254" w:type="dxa"/>
                  <w:vAlign w:val="center"/>
                </w:tcPr>
                <w:p w14:paraId="0ECCA298">
                  <w:pPr>
                    <w:autoSpaceDE w:val="0"/>
                    <w:autoSpaceDN w:val="0"/>
                    <w:adjustRightInd w:val="0"/>
                    <w:snapToGrid w:val="0"/>
                    <w:jc w:val="center"/>
                    <w:rPr>
                      <w:kern w:val="0"/>
                      <w:szCs w:val="21"/>
                    </w:rPr>
                  </w:pPr>
                  <w:r>
                    <w:rPr>
                      <w:rFonts w:hint="eastAsia"/>
                      <w:kern w:val="0"/>
                      <w:szCs w:val="21"/>
                    </w:rPr>
                    <w:t>设置原则</w:t>
                  </w:r>
                </w:p>
              </w:tc>
              <w:tc>
                <w:tcPr>
                  <w:tcW w:w="1568" w:type="dxa"/>
                  <w:vAlign w:val="center"/>
                </w:tcPr>
                <w:p w14:paraId="5B865E22">
                  <w:pPr>
                    <w:autoSpaceDE w:val="0"/>
                    <w:autoSpaceDN w:val="0"/>
                    <w:adjustRightInd w:val="0"/>
                    <w:snapToGrid w:val="0"/>
                    <w:jc w:val="center"/>
                    <w:rPr>
                      <w:kern w:val="0"/>
                      <w:szCs w:val="21"/>
                    </w:rPr>
                  </w:pPr>
                  <w:r>
                    <w:rPr>
                      <w:rFonts w:hint="eastAsia"/>
                      <w:kern w:val="0"/>
                      <w:szCs w:val="21"/>
                    </w:rPr>
                    <w:t>本项目情况</w:t>
                  </w:r>
                </w:p>
              </w:tc>
              <w:tc>
                <w:tcPr>
                  <w:tcW w:w="913" w:type="dxa"/>
                  <w:vAlign w:val="center"/>
                </w:tcPr>
                <w:p w14:paraId="393E82B7">
                  <w:pPr>
                    <w:autoSpaceDE w:val="0"/>
                    <w:autoSpaceDN w:val="0"/>
                    <w:adjustRightInd w:val="0"/>
                    <w:snapToGrid w:val="0"/>
                    <w:jc w:val="center"/>
                    <w:rPr>
                      <w:kern w:val="0"/>
                      <w:szCs w:val="21"/>
                    </w:rPr>
                  </w:pPr>
                  <w:r>
                    <w:rPr>
                      <w:rFonts w:hint="eastAsia"/>
                      <w:kern w:val="0"/>
                      <w:szCs w:val="21"/>
                    </w:rPr>
                    <w:t>是否设置专项评价</w:t>
                  </w:r>
                </w:p>
              </w:tc>
            </w:tr>
            <w:tr w14:paraId="243C04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48" w:type="dxa"/>
                  <w:vAlign w:val="center"/>
                </w:tcPr>
                <w:p w14:paraId="504A94DB">
                  <w:pPr>
                    <w:autoSpaceDE w:val="0"/>
                    <w:autoSpaceDN w:val="0"/>
                    <w:adjustRightInd w:val="0"/>
                    <w:snapToGrid w:val="0"/>
                    <w:jc w:val="center"/>
                    <w:rPr>
                      <w:kern w:val="0"/>
                      <w:szCs w:val="21"/>
                    </w:rPr>
                  </w:pPr>
                  <w:r>
                    <w:rPr>
                      <w:rFonts w:hint="eastAsia"/>
                      <w:kern w:val="0"/>
                      <w:szCs w:val="21"/>
                    </w:rPr>
                    <w:t>大气</w:t>
                  </w:r>
                </w:p>
              </w:tc>
              <w:tc>
                <w:tcPr>
                  <w:tcW w:w="3254" w:type="dxa"/>
                  <w:vAlign w:val="center"/>
                </w:tcPr>
                <w:p w14:paraId="583D6CA0">
                  <w:pPr>
                    <w:autoSpaceDE w:val="0"/>
                    <w:autoSpaceDN w:val="0"/>
                    <w:adjustRightInd w:val="0"/>
                    <w:snapToGrid w:val="0"/>
                    <w:jc w:val="center"/>
                    <w:rPr>
                      <w:kern w:val="0"/>
                      <w:szCs w:val="21"/>
                    </w:rPr>
                  </w:pPr>
                  <w:r>
                    <w:rPr>
                      <w:rFonts w:hint="eastAsia"/>
                      <w:kern w:val="0"/>
                      <w:szCs w:val="21"/>
                    </w:rPr>
                    <w:t>排放废气含有毒有害污染物、二噁英、苯并[a]芘、氰化物、氯气且厂界外500 米范围内有环境空气保护目标的建设项目</w:t>
                  </w:r>
                </w:p>
              </w:tc>
              <w:tc>
                <w:tcPr>
                  <w:tcW w:w="1568" w:type="dxa"/>
                  <w:vAlign w:val="center"/>
                </w:tcPr>
                <w:p w14:paraId="477D1283">
                  <w:pPr>
                    <w:autoSpaceDE w:val="0"/>
                    <w:autoSpaceDN w:val="0"/>
                    <w:adjustRightInd w:val="0"/>
                    <w:snapToGrid w:val="0"/>
                    <w:jc w:val="center"/>
                    <w:rPr>
                      <w:kern w:val="0"/>
                      <w:szCs w:val="21"/>
                    </w:rPr>
                  </w:pPr>
                  <w:r>
                    <w:rPr>
                      <w:rFonts w:hint="eastAsia"/>
                      <w:kern w:val="0"/>
                      <w:szCs w:val="21"/>
                    </w:rPr>
                    <w:t>不排放前述污染物，周边5</w:t>
                  </w:r>
                  <w:r>
                    <w:rPr>
                      <w:kern w:val="0"/>
                      <w:szCs w:val="21"/>
                    </w:rPr>
                    <w:t>00</w:t>
                  </w:r>
                  <w:r>
                    <w:rPr>
                      <w:rFonts w:hint="eastAsia"/>
                      <w:kern w:val="0"/>
                      <w:szCs w:val="21"/>
                    </w:rPr>
                    <w:t>米范围内也无环境空气保护目标</w:t>
                  </w:r>
                </w:p>
              </w:tc>
              <w:tc>
                <w:tcPr>
                  <w:tcW w:w="913" w:type="dxa"/>
                  <w:vAlign w:val="center"/>
                </w:tcPr>
                <w:p w14:paraId="0923FBDA">
                  <w:pPr>
                    <w:autoSpaceDE w:val="0"/>
                    <w:autoSpaceDN w:val="0"/>
                    <w:adjustRightInd w:val="0"/>
                    <w:snapToGrid w:val="0"/>
                    <w:jc w:val="center"/>
                    <w:rPr>
                      <w:kern w:val="0"/>
                      <w:szCs w:val="21"/>
                    </w:rPr>
                  </w:pPr>
                  <w:r>
                    <w:rPr>
                      <w:rFonts w:hint="eastAsia"/>
                      <w:kern w:val="0"/>
                      <w:szCs w:val="21"/>
                    </w:rPr>
                    <w:t>否</w:t>
                  </w:r>
                </w:p>
              </w:tc>
            </w:tr>
            <w:tr w14:paraId="125403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48" w:type="dxa"/>
                  <w:vAlign w:val="center"/>
                </w:tcPr>
                <w:p w14:paraId="2D728117">
                  <w:pPr>
                    <w:autoSpaceDE w:val="0"/>
                    <w:autoSpaceDN w:val="0"/>
                    <w:adjustRightInd w:val="0"/>
                    <w:snapToGrid w:val="0"/>
                    <w:jc w:val="center"/>
                    <w:rPr>
                      <w:kern w:val="0"/>
                      <w:szCs w:val="21"/>
                    </w:rPr>
                  </w:pPr>
                  <w:r>
                    <w:rPr>
                      <w:rFonts w:hint="eastAsia"/>
                      <w:kern w:val="0"/>
                      <w:szCs w:val="21"/>
                    </w:rPr>
                    <w:t>地表水</w:t>
                  </w:r>
                </w:p>
              </w:tc>
              <w:tc>
                <w:tcPr>
                  <w:tcW w:w="3254" w:type="dxa"/>
                  <w:vAlign w:val="center"/>
                </w:tcPr>
                <w:p w14:paraId="1CCF2A52">
                  <w:pPr>
                    <w:autoSpaceDE w:val="0"/>
                    <w:autoSpaceDN w:val="0"/>
                    <w:adjustRightInd w:val="0"/>
                    <w:snapToGrid w:val="0"/>
                    <w:jc w:val="center"/>
                    <w:rPr>
                      <w:kern w:val="0"/>
                      <w:szCs w:val="21"/>
                    </w:rPr>
                  </w:pPr>
                  <w:r>
                    <w:rPr>
                      <w:rFonts w:hint="eastAsia"/>
                      <w:kern w:val="0"/>
                      <w:szCs w:val="21"/>
                    </w:rPr>
                    <w:t>新增工业废水直排建设项目 (槽罐车外送污水处理厂的除外)；新增废水直排的污水集中处理厂</w:t>
                  </w:r>
                </w:p>
              </w:tc>
              <w:tc>
                <w:tcPr>
                  <w:tcW w:w="1568" w:type="dxa"/>
                  <w:vAlign w:val="center"/>
                </w:tcPr>
                <w:p w14:paraId="529752E5">
                  <w:pPr>
                    <w:autoSpaceDE w:val="0"/>
                    <w:autoSpaceDN w:val="0"/>
                    <w:adjustRightInd w:val="0"/>
                    <w:snapToGrid w:val="0"/>
                    <w:jc w:val="center"/>
                    <w:rPr>
                      <w:kern w:val="0"/>
                      <w:szCs w:val="21"/>
                    </w:rPr>
                  </w:pPr>
                  <w:r>
                    <w:rPr>
                      <w:rFonts w:hint="eastAsia"/>
                      <w:kern w:val="0"/>
                      <w:szCs w:val="21"/>
                    </w:rPr>
                    <w:t>生产废水全部回用</w:t>
                  </w:r>
                </w:p>
              </w:tc>
              <w:tc>
                <w:tcPr>
                  <w:tcW w:w="913" w:type="dxa"/>
                  <w:vAlign w:val="center"/>
                </w:tcPr>
                <w:p w14:paraId="3AEDDC98">
                  <w:pPr>
                    <w:autoSpaceDE w:val="0"/>
                    <w:autoSpaceDN w:val="0"/>
                    <w:adjustRightInd w:val="0"/>
                    <w:snapToGrid w:val="0"/>
                    <w:jc w:val="center"/>
                    <w:rPr>
                      <w:kern w:val="0"/>
                      <w:szCs w:val="21"/>
                    </w:rPr>
                  </w:pPr>
                  <w:r>
                    <w:rPr>
                      <w:rFonts w:hint="eastAsia"/>
                      <w:kern w:val="0"/>
                      <w:szCs w:val="21"/>
                    </w:rPr>
                    <w:t>否</w:t>
                  </w:r>
                </w:p>
              </w:tc>
            </w:tr>
            <w:tr w14:paraId="42B7F0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48" w:type="dxa"/>
                  <w:vAlign w:val="center"/>
                </w:tcPr>
                <w:p w14:paraId="3C16CC9E">
                  <w:pPr>
                    <w:autoSpaceDE w:val="0"/>
                    <w:autoSpaceDN w:val="0"/>
                    <w:adjustRightInd w:val="0"/>
                    <w:snapToGrid w:val="0"/>
                    <w:jc w:val="center"/>
                    <w:rPr>
                      <w:kern w:val="0"/>
                      <w:szCs w:val="21"/>
                    </w:rPr>
                  </w:pPr>
                  <w:r>
                    <w:rPr>
                      <w:rFonts w:hint="eastAsia"/>
                      <w:kern w:val="0"/>
                      <w:szCs w:val="21"/>
                    </w:rPr>
                    <w:t>环境风险</w:t>
                  </w:r>
                </w:p>
              </w:tc>
              <w:tc>
                <w:tcPr>
                  <w:tcW w:w="3254" w:type="dxa"/>
                  <w:vAlign w:val="center"/>
                </w:tcPr>
                <w:p w14:paraId="51B4AD0D">
                  <w:pPr>
                    <w:autoSpaceDE w:val="0"/>
                    <w:autoSpaceDN w:val="0"/>
                    <w:adjustRightInd w:val="0"/>
                    <w:snapToGrid w:val="0"/>
                    <w:jc w:val="center"/>
                    <w:rPr>
                      <w:kern w:val="0"/>
                      <w:szCs w:val="21"/>
                    </w:rPr>
                  </w:pPr>
                  <w:r>
                    <w:rPr>
                      <w:rFonts w:hint="eastAsia"/>
                      <w:kern w:val="0"/>
                      <w:szCs w:val="21"/>
                    </w:rPr>
                    <w:t>有毒有害和易燃易爆危险物质存储量超过临界量的建设项目</w:t>
                  </w:r>
                </w:p>
              </w:tc>
              <w:tc>
                <w:tcPr>
                  <w:tcW w:w="1568" w:type="dxa"/>
                  <w:vAlign w:val="center"/>
                </w:tcPr>
                <w:p w14:paraId="1B5FBBE5">
                  <w:pPr>
                    <w:autoSpaceDE w:val="0"/>
                    <w:autoSpaceDN w:val="0"/>
                    <w:adjustRightInd w:val="0"/>
                    <w:snapToGrid w:val="0"/>
                    <w:jc w:val="center"/>
                    <w:rPr>
                      <w:kern w:val="0"/>
                      <w:szCs w:val="21"/>
                    </w:rPr>
                  </w:pPr>
                  <w:r>
                    <w:rPr>
                      <w:rFonts w:hint="eastAsia"/>
                      <w:kern w:val="0"/>
                      <w:szCs w:val="21"/>
                    </w:rPr>
                    <w:t>不涉及有毒有害及易燃易爆等危险物质</w:t>
                  </w:r>
                </w:p>
              </w:tc>
              <w:tc>
                <w:tcPr>
                  <w:tcW w:w="913" w:type="dxa"/>
                  <w:vAlign w:val="center"/>
                </w:tcPr>
                <w:p w14:paraId="448D3033">
                  <w:pPr>
                    <w:autoSpaceDE w:val="0"/>
                    <w:autoSpaceDN w:val="0"/>
                    <w:adjustRightInd w:val="0"/>
                    <w:snapToGrid w:val="0"/>
                    <w:jc w:val="center"/>
                    <w:rPr>
                      <w:kern w:val="0"/>
                      <w:szCs w:val="21"/>
                    </w:rPr>
                  </w:pPr>
                  <w:r>
                    <w:rPr>
                      <w:rFonts w:hint="eastAsia"/>
                      <w:kern w:val="0"/>
                      <w:szCs w:val="21"/>
                    </w:rPr>
                    <w:t>否</w:t>
                  </w:r>
                </w:p>
              </w:tc>
            </w:tr>
            <w:tr w14:paraId="5167DD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48" w:type="dxa"/>
                  <w:vAlign w:val="center"/>
                </w:tcPr>
                <w:p w14:paraId="25901E5B">
                  <w:pPr>
                    <w:autoSpaceDE w:val="0"/>
                    <w:autoSpaceDN w:val="0"/>
                    <w:adjustRightInd w:val="0"/>
                    <w:snapToGrid w:val="0"/>
                    <w:jc w:val="center"/>
                    <w:rPr>
                      <w:kern w:val="0"/>
                      <w:szCs w:val="21"/>
                    </w:rPr>
                  </w:pPr>
                  <w:r>
                    <w:rPr>
                      <w:rFonts w:hint="eastAsia"/>
                      <w:kern w:val="0"/>
                      <w:szCs w:val="21"/>
                    </w:rPr>
                    <w:t>生态</w:t>
                  </w:r>
                </w:p>
              </w:tc>
              <w:tc>
                <w:tcPr>
                  <w:tcW w:w="3254" w:type="dxa"/>
                  <w:vAlign w:val="center"/>
                </w:tcPr>
                <w:p w14:paraId="24E953D7">
                  <w:pPr>
                    <w:autoSpaceDE w:val="0"/>
                    <w:autoSpaceDN w:val="0"/>
                    <w:adjustRightInd w:val="0"/>
                    <w:snapToGrid w:val="0"/>
                    <w:jc w:val="center"/>
                    <w:rPr>
                      <w:kern w:val="0"/>
                      <w:szCs w:val="21"/>
                    </w:rPr>
                  </w:pPr>
                  <w:r>
                    <w:rPr>
                      <w:rFonts w:hint="eastAsia"/>
                      <w:kern w:val="0"/>
                      <w:szCs w:val="21"/>
                    </w:rPr>
                    <w:t>取水口下游500米范围内有重要水生生物的自然产卵场、索饵场、越冬场和洄游通道的新增河道取水的污染类建设项目</w:t>
                  </w:r>
                </w:p>
              </w:tc>
              <w:tc>
                <w:tcPr>
                  <w:tcW w:w="1568" w:type="dxa"/>
                  <w:vAlign w:val="center"/>
                </w:tcPr>
                <w:p w14:paraId="26421D39">
                  <w:pPr>
                    <w:autoSpaceDE w:val="0"/>
                    <w:autoSpaceDN w:val="0"/>
                    <w:adjustRightInd w:val="0"/>
                    <w:snapToGrid w:val="0"/>
                    <w:jc w:val="center"/>
                    <w:rPr>
                      <w:kern w:val="0"/>
                      <w:szCs w:val="21"/>
                    </w:rPr>
                  </w:pPr>
                  <w:r>
                    <w:rPr>
                      <w:rFonts w:hint="eastAsia"/>
                      <w:kern w:val="0"/>
                      <w:szCs w:val="21"/>
                    </w:rPr>
                    <w:t>不属于此类项目</w:t>
                  </w:r>
                </w:p>
              </w:tc>
              <w:tc>
                <w:tcPr>
                  <w:tcW w:w="913" w:type="dxa"/>
                  <w:vAlign w:val="center"/>
                </w:tcPr>
                <w:p w14:paraId="5BC1FB5D">
                  <w:pPr>
                    <w:autoSpaceDE w:val="0"/>
                    <w:autoSpaceDN w:val="0"/>
                    <w:adjustRightInd w:val="0"/>
                    <w:snapToGrid w:val="0"/>
                    <w:jc w:val="center"/>
                    <w:rPr>
                      <w:kern w:val="0"/>
                      <w:szCs w:val="21"/>
                    </w:rPr>
                  </w:pPr>
                  <w:r>
                    <w:rPr>
                      <w:rFonts w:hint="eastAsia"/>
                      <w:kern w:val="0"/>
                      <w:szCs w:val="21"/>
                    </w:rPr>
                    <w:t>否</w:t>
                  </w:r>
                </w:p>
              </w:tc>
            </w:tr>
            <w:tr w14:paraId="6D2BB1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048" w:type="dxa"/>
                  <w:vAlign w:val="center"/>
                </w:tcPr>
                <w:p w14:paraId="18A6E157">
                  <w:pPr>
                    <w:autoSpaceDE w:val="0"/>
                    <w:autoSpaceDN w:val="0"/>
                    <w:adjustRightInd w:val="0"/>
                    <w:snapToGrid w:val="0"/>
                    <w:jc w:val="center"/>
                    <w:rPr>
                      <w:kern w:val="0"/>
                      <w:szCs w:val="21"/>
                    </w:rPr>
                  </w:pPr>
                  <w:r>
                    <w:rPr>
                      <w:rFonts w:hint="eastAsia"/>
                      <w:kern w:val="0"/>
                      <w:szCs w:val="21"/>
                    </w:rPr>
                    <w:t>海洋</w:t>
                  </w:r>
                </w:p>
              </w:tc>
              <w:tc>
                <w:tcPr>
                  <w:tcW w:w="3254" w:type="dxa"/>
                  <w:vAlign w:val="center"/>
                </w:tcPr>
                <w:p w14:paraId="551F7D4D">
                  <w:pPr>
                    <w:autoSpaceDE w:val="0"/>
                    <w:autoSpaceDN w:val="0"/>
                    <w:adjustRightInd w:val="0"/>
                    <w:snapToGrid w:val="0"/>
                    <w:jc w:val="center"/>
                    <w:rPr>
                      <w:kern w:val="0"/>
                      <w:szCs w:val="21"/>
                    </w:rPr>
                  </w:pPr>
                  <w:r>
                    <w:rPr>
                      <w:rFonts w:hint="eastAsia"/>
                      <w:kern w:val="0"/>
                      <w:szCs w:val="21"/>
                    </w:rPr>
                    <w:t>直接向海排放污染物的海洋工程建设项目</w:t>
                  </w:r>
                </w:p>
              </w:tc>
              <w:tc>
                <w:tcPr>
                  <w:tcW w:w="1568" w:type="dxa"/>
                  <w:vAlign w:val="center"/>
                </w:tcPr>
                <w:p w14:paraId="3416E3BE">
                  <w:pPr>
                    <w:autoSpaceDE w:val="0"/>
                    <w:autoSpaceDN w:val="0"/>
                    <w:adjustRightInd w:val="0"/>
                    <w:snapToGrid w:val="0"/>
                    <w:jc w:val="center"/>
                    <w:rPr>
                      <w:kern w:val="0"/>
                      <w:szCs w:val="21"/>
                    </w:rPr>
                  </w:pPr>
                  <w:r>
                    <w:rPr>
                      <w:rFonts w:hint="eastAsia"/>
                      <w:kern w:val="0"/>
                      <w:szCs w:val="21"/>
                    </w:rPr>
                    <w:t>生产废水全部回用，不外排</w:t>
                  </w:r>
                </w:p>
              </w:tc>
              <w:tc>
                <w:tcPr>
                  <w:tcW w:w="913" w:type="dxa"/>
                  <w:vAlign w:val="center"/>
                </w:tcPr>
                <w:p w14:paraId="74082728">
                  <w:pPr>
                    <w:autoSpaceDE w:val="0"/>
                    <w:autoSpaceDN w:val="0"/>
                    <w:adjustRightInd w:val="0"/>
                    <w:snapToGrid w:val="0"/>
                    <w:jc w:val="center"/>
                    <w:rPr>
                      <w:kern w:val="0"/>
                      <w:szCs w:val="21"/>
                    </w:rPr>
                  </w:pPr>
                  <w:r>
                    <w:rPr>
                      <w:rFonts w:hint="eastAsia"/>
                      <w:kern w:val="0"/>
                      <w:szCs w:val="21"/>
                    </w:rPr>
                    <w:t>否</w:t>
                  </w:r>
                </w:p>
              </w:tc>
            </w:tr>
          </w:tbl>
          <w:p w14:paraId="404B7EBB">
            <w:pPr>
              <w:autoSpaceDE w:val="0"/>
              <w:autoSpaceDN w:val="0"/>
              <w:adjustRightInd w:val="0"/>
              <w:snapToGrid w:val="0"/>
              <w:spacing w:line="360" w:lineRule="auto"/>
              <w:ind w:firstLine="480" w:firstLineChars="200"/>
              <w:rPr>
                <w:kern w:val="0"/>
                <w:sz w:val="24"/>
              </w:rPr>
            </w:pPr>
            <w:r>
              <w:rPr>
                <w:rFonts w:hint="eastAsia"/>
                <w:kern w:val="0"/>
                <w:sz w:val="24"/>
              </w:rPr>
              <w:t>综上，本次评价不需设置专项评价。</w:t>
            </w:r>
          </w:p>
        </w:tc>
      </w:tr>
      <w:tr w14:paraId="38F204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30" w:type="pct"/>
            <w:vAlign w:val="center"/>
          </w:tcPr>
          <w:p w14:paraId="419D834B">
            <w:pPr>
              <w:autoSpaceDE w:val="0"/>
              <w:autoSpaceDN w:val="0"/>
              <w:adjustRightInd w:val="0"/>
              <w:snapToGrid w:val="0"/>
              <w:jc w:val="center"/>
              <w:rPr>
                <w:kern w:val="0"/>
                <w:sz w:val="24"/>
              </w:rPr>
            </w:pPr>
            <w:r>
              <w:rPr>
                <w:sz w:val="24"/>
              </w:rPr>
              <w:t>规划情况</w:t>
            </w:r>
          </w:p>
        </w:tc>
        <w:tc>
          <w:tcPr>
            <w:tcW w:w="3970" w:type="pct"/>
            <w:gridSpan w:val="3"/>
            <w:vAlign w:val="center"/>
          </w:tcPr>
          <w:p w14:paraId="2060B44F">
            <w:pPr>
              <w:autoSpaceDE w:val="0"/>
              <w:autoSpaceDN w:val="0"/>
              <w:adjustRightInd w:val="0"/>
              <w:snapToGrid w:val="0"/>
              <w:spacing w:line="360" w:lineRule="auto"/>
              <w:ind w:firstLine="480" w:firstLineChars="200"/>
              <w:jc w:val="left"/>
              <w:rPr>
                <w:kern w:val="0"/>
                <w:sz w:val="24"/>
              </w:rPr>
            </w:pPr>
            <w:r>
              <w:rPr>
                <w:kern w:val="0"/>
                <w:sz w:val="24"/>
              </w:rPr>
              <w:t>2007</w:t>
            </w:r>
            <w:r>
              <w:rPr>
                <w:rFonts w:hint="eastAsia"/>
                <w:kern w:val="0"/>
                <w:sz w:val="24"/>
              </w:rPr>
              <w:t>年</w:t>
            </w:r>
            <w:r>
              <w:rPr>
                <w:kern w:val="0"/>
                <w:sz w:val="24"/>
              </w:rPr>
              <w:t>6</w:t>
            </w:r>
            <w:r>
              <w:rPr>
                <w:rFonts w:hint="eastAsia"/>
                <w:kern w:val="0"/>
                <w:sz w:val="24"/>
              </w:rPr>
              <w:t>月</w:t>
            </w:r>
            <w:r>
              <w:rPr>
                <w:kern w:val="0"/>
                <w:sz w:val="24"/>
              </w:rPr>
              <w:t>25</w:t>
            </w:r>
            <w:r>
              <w:rPr>
                <w:rFonts w:hint="eastAsia"/>
                <w:kern w:val="0"/>
                <w:sz w:val="24"/>
              </w:rPr>
              <w:t>日，国家发展和改革委员会以</w:t>
            </w:r>
            <w:r>
              <w:rPr>
                <w:rFonts w:ascii="宋体" w:hAnsi="宋体"/>
                <w:kern w:val="0"/>
                <w:sz w:val="24"/>
              </w:rPr>
              <w:t>“</w:t>
            </w:r>
            <w:r>
              <w:rPr>
                <w:rFonts w:hint="eastAsia"/>
                <w:kern w:val="0"/>
                <w:sz w:val="24"/>
              </w:rPr>
              <w:t>发改能源〔</w:t>
            </w:r>
            <w:r>
              <w:rPr>
                <w:kern w:val="0"/>
                <w:sz w:val="24"/>
              </w:rPr>
              <w:t>2007</w:t>
            </w:r>
            <w:r>
              <w:rPr>
                <w:rFonts w:hint="eastAsia"/>
                <w:kern w:val="0"/>
                <w:sz w:val="24"/>
              </w:rPr>
              <w:t>〕</w:t>
            </w:r>
            <w:r>
              <w:rPr>
                <w:kern w:val="0"/>
                <w:sz w:val="24"/>
              </w:rPr>
              <w:t>1388</w:t>
            </w:r>
            <w:r>
              <w:rPr>
                <w:rFonts w:hint="eastAsia"/>
                <w:kern w:val="0"/>
                <w:sz w:val="24"/>
              </w:rPr>
              <w:t>号</w:t>
            </w:r>
            <w:r>
              <w:rPr>
                <w:rFonts w:ascii="宋体" w:hAnsi="宋体"/>
                <w:kern w:val="0"/>
                <w:sz w:val="24"/>
              </w:rPr>
              <w:t>”</w:t>
            </w:r>
            <w:r>
              <w:rPr>
                <w:rFonts w:hint="eastAsia"/>
                <w:kern w:val="0"/>
                <w:sz w:val="24"/>
              </w:rPr>
              <w:t>批复了《鄂尔多斯塔然高勒矿区总体规划》</w:t>
            </w:r>
          </w:p>
        </w:tc>
      </w:tr>
      <w:tr w14:paraId="7DAB9A1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1030" w:type="pct"/>
            <w:vAlign w:val="center"/>
          </w:tcPr>
          <w:p w14:paraId="379AFFDF">
            <w:pPr>
              <w:adjustRightInd w:val="0"/>
              <w:snapToGrid w:val="0"/>
              <w:jc w:val="center"/>
              <w:rPr>
                <w:kern w:val="0"/>
                <w:sz w:val="24"/>
              </w:rPr>
            </w:pPr>
            <w:r>
              <w:rPr>
                <w:sz w:val="24"/>
              </w:rPr>
              <w:t>规划环境影响评价情况</w:t>
            </w:r>
          </w:p>
        </w:tc>
        <w:tc>
          <w:tcPr>
            <w:tcW w:w="3970" w:type="pct"/>
            <w:gridSpan w:val="3"/>
            <w:vAlign w:val="center"/>
          </w:tcPr>
          <w:p w14:paraId="2C240A4B">
            <w:pPr>
              <w:autoSpaceDE w:val="0"/>
              <w:autoSpaceDN w:val="0"/>
              <w:adjustRightInd w:val="0"/>
              <w:snapToGrid w:val="0"/>
              <w:spacing w:line="360" w:lineRule="auto"/>
              <w:ind w:firstLine="480" w:firstLineChars="200"/>
              <w:jc w:val="left"/>
              <w:rPr>
                <w:kern w:val="0"/>
                <w:sz w:val="24"/>
              </w:rPr>
            </w:pPr>
            <w:r>
              <w:rPr>
                <w:kern w:val="0"/>
                <w:sz w:val="24"/>
              </w:rPr>
              <w:t>2008</w:t>
            </w:r>
            <w:r>
              <w:rPr>
                <w:rFonts w:hint="eastAsia"/>
                <w:kern w:val="0"/>
                <w:sz w:val="24"/>
              </w:rPr>
              <w:t>年</w:t>
            </w:r>
            <w:r>
              <w:rPr>
                <w:kern w:val="0"/>
                <w:sz w:val="24"/>
              </w:rPr>
              <w:t>4</w:t>
            </w:r>
            <w:r>
              <w:rPr>
                <w:rFonts w:hint="eastAsia"/>
                <w:kern w:val="0"/>
                <w:sz w:val="24"/>
              </w:rPr>
              <w:t>月，原环境保护部以</w:t>
            </w:r>
            <w:r>
              <w:rPr>
                <w:rFonts w:ascii="宋体" w:hAnsi="宋体"/>
                <w:kern w:val="0"/>
                <w:sz w:val="24"/>
              </w:rPr>
              <w:t>“</w:t>
            </w:r>
            <w:r>
              <w:rPr>
                <w:rFonts w:hint="eastAsia"/>
                <w:kern w:val="0"/>
                <w:sz w:val="24"/>
              </w:rPr>
              <w:t>环审〔</w:t>
            </w:r>
            <w:r>
              <w:rPr>
                <w:kern w:val="0"/>
                <w:sz w:val="24"/>
              </w:rPr>
              <w:t>2008</w:t>
            </w:r>
            <w:r>
              <w:rPr>
                <w:rFonts w:hint="eastAsia"/>
                <w:kern w:val="0"/>
                <w:sz w:val="24"/>
              </w:rPr>
              <w:t>〕</w:t>
            </w:r>
            <w:r>
              <w:rPr>
                <w:kern w:val="0"/>
                <w:sz w:val="24"/>
              </w:rPr>
              <w:t>193</w:t>
            </w:r>
            <w:r>
              <w:rPr>
                <w:rFonts w:hint="eastAsia"/>
                <w:kern w:val="0"/>
                <w:sz w:val="24"/>
              </w:rPr>
              <w:t>号</w:t>
            </w:r>
            <w:r>
              <w:rPr>
                <w:rFonts w:ascii="宋体" w:hAnsi="宋体"/>
                <w:kern w:val="0"/>
                <w:sz w:val="24"/>
              </w:rPr>
              <w:t>”</w:t>
            </w:r>
            <w:r>
              <w:rPr>
                <w:rFonts w:hint="eastAsia"/>
                <w:kern w:val="0"/>
                <w:sz w:val="24"/>
              </w:rPr>
              <w:t>文出具了对《内蒙古自治区鄂尔多斯塔然高勒矿区总体规划环境影响报告书》的审查意见</w:t>
            </w:r>
          </w:p>
        </w:tc>
      </w:tr>
      <w:tr w14:paraId="327F0F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30" w:type="pct"/>
            <w:vAlign w:val="center"/>
          </w:tcPr>
          <w:p w14:paraId="3B424835">
            <w:pPr>
              <w:autoSpaceDE w:val="0"/>
              <w:autoSpaceDN w:val="0"/>
              <w:adjustRightInd w:val="0"/>
              <w:snapToGrid w:val="0"/>
              <w:jc w:val="center"/>
              <w:rPr>
                <w:kern w:val="0"/>
                <w:sz w:val="24"/>
              </w:rPr>
            </w:pPr>
            <w:r>
              <w:rPr>
                <w:kern w:val="0"/>
                <w:sz w:val="24"/>
              </w:rPr>
              <w:t>规划及规划环境影响评价符合性分析</w:t>
            </w:r>
          </w:p>
        </w:tc>
        <w:tc>
          <w:tcPr>
            <w:tcW w:w="3970" w:type="pct"/>
            <w:gridSpan w:val="3"/>
            <w:vAlign w:val="center"/>
          </w:tcPr>
          <w:p w14:paraId="78D8DE69">
            <w:pPr>
              <w:autoSpaceDE w:val="0"/>
              <w:autoSpaceDN w:val="0"/>
              <w:adjustRightInd w:val="0"/>
              <w:snapToGrid w:val="0"/>
              <w:spacing w:line="360" w:lineRule="auto"/>
              <w:ind w:firstLine="480" w:firstLineChars="200"/>
              <w:rPr>
                <w:kern w:val="0"/>
                <w:sz w:val="24"/>
              </w:rPr>
            </w:pPr>
            <w:r>
              <w:rPr>
                <w:rFonts w:hint="eastAsia"/>
                <w:kern w:val="0"/>
                <w:sz w:val="24"/>
              </w:rPr>
              <w:t>1、与《内蒙古自治区鄂尔多斯塔然高勒矿区总体规划》的符合性分析</w:t>
            </w:r>
          </w:p>
          <w:p w14:paraId="58BCE265">
            <w:pPr>
              <w:autoSpaceDE w:val="0"/>
              <w:autoSpaceDN w:val="0"/>
              <w:adjustRightInd w:val="0"/>
              <w:snapToGrid w:val="0"/>
              <w:spacing w:line="360" w:lineRule="auto"/>
              <w:ind w:firstLine="480" w:firstLineChars="200"/>
              <w:rPr>
                <w:kern w:val="0"/>
                <w:sz w:val="24"/>
              </w:rPr>
            </w:pPr>
            <w:r>
              <w:rPr>
                <w:rFonts w:hint="eastAsia"/>
                <w:kern w:val="0"/>
                <w:sz w:val="24"/>
              </w:rPr>
              <w:t>根据2007年6月25日国家发展和改革委员会以“发改能源〔2007〕1388号”批复的《鄂尔多斯塔然高勒矿区总体规划》，矿区东西长64公里，南北宽约37公里，面积2379平方公里。矿区划分为5个井田和1个勘查区，建设总规模暂定为2600万吨/年。其中，塔然高勒1000万吨/年，呼斯梁400万吨/年，红庆梁600万吨/年，油房壕300万吨/年，泊江海子300万吨/年，西南部勘查区勘查程度低，待进一步勘查后确定开发方式。</w:t>
            </w:r>
          </w:p>
          <w:p w14:paraId="41362B34">
            <w:pPr>
              <w:autoSpaceDE w:val="0"/>
              <w:autoSpaceDN w:val="0"/>
              <w:adjustRightInd w:val="0"/>
              <w:snapToGrid w:val="0"/>
              <w:spacing w:line="360" w:lineRule="auto"/>
              <w:ind w:firstLine="480" w:firstLineChars="200"/>
              <w:rPr>
                <w:kern w:val="0"/>
                <w:sz w:val="24"/>
              </w:rPr>
            </w:pPr>
            <w:r>
              <w:rPr>
                <w:rFonts w:hint="eastAsia"/>
                <w:kern w:val="0"/>
                <w:sz w:val="24"/>
              </w:rPr>
              <w:t>油房壕煤矿是塔然高勒矿区规划的矿井之一。油房壕煤矿建设规模、开发方式及建设时序均符合矿区总体规划及规划环评要求。本项目是油房壕煤矿的一项附属工程，主要建设3台20t/h的燃煤蒸汽锅炉及其他配套工程，项目建设符合塔然高勒矿区总体规划及批复的要求。</w:t>
            </w:r>
          </w:p>
          <w:p w14:paraId="56244E12">
            <w:pPr>
              <w:autoSpaceDE w:val="0"/>
              <w:autoSpaceDN w:val="0"/>
              <w:adjustRightInd w:val="0"/>
              <w:snapToGrid w:val="0"/>
              <w:spacing w:line="360" w:lineRule="auto"/>
              <w:ind w:firstLine="480" w:firstLineChars="200"/>
              <w:rPr>
                <w:kern w:val="0"/>
                <w:sz w:val="24"/>
              </w:rPr>
            </w:pPr>
            <w:r>
              <w:rPr>
                <w:rFonts w:hint="eastAsia"/>
                <w:kern w:val="0"/>
                <w:sz w:val="24"/>
              </w:rPr>
              <w:t>2、建设项目与《内蒙古自治区鄂尔多斯塔然高勒矿区总体规划环境影响报告书》及其批复符合性分析</w:t>
            </w:r>
          </w:p>
          <w:p w14:paraId="49D3DCC2">
            <w:pPr>
              <w:autoSpaceDE w:val="0"/>
              <w:autoSpaceDN w:val="0"/>
              <w:adjustRightInd w:val="0"/>
              <w:snapToGrid w:val="0"/>
              <w:spacing w:line="360" w:lineRule="auto"/>
              <w:ind w:firstLine="480" w:firstLineChars="200"/>
              <w:rPr>
                <w:kern w:val="0"/>
                <w:sz w:val="24"/>
              </w:rPr>
            </w:pPr>
            <w:r>
              <w:rPr>
                <w:rFonts w:hint="eastAsia"/>
                <w:kern w:val="0"/>
                <w:sz w:val="24"/>
              </w:rPr>
              <w:t>2008年3月，中煤科工集团北京华宇工程有限公司编制完成《内蒙古自治区鄂尔多斯塔然高勒矿区总体规划环境影响报告书》。2008年4月，原环境保护部以“环审〔2008〕193号”文出具了对塔然高勒矿区环境影响报告书的审查意见。</w:t>
            </w:r>
          </w:p>
          <w:p w14:paraId="5FC8DE9C">
            <w:pPr>
              <w:autoSpaceDE w:val="0"/>
              <w:autoSpaceDN w:val="0"/>
              <w:adjustRightInd w:val="0"/>
              <w:snapToGrid w:val="0"/>
              <w:spacing w:line="360" w:lineRule="auto"/>
              <w:ind w:firstLine="480" w:firstLineChars="200"/>
              <w:rPr>
                <w:kern w:val="0"/>
                <w:sz w:val="24"/>
              </w:rPr>
            </w:pPr>
            <w:r>
              <w:rPr>
                <w:rFonts w:hint="eastAsia"/>
                <w:kern w:val="0"/>
                <w:sz w:val="24"/>
              </w:rPr>
              <w:t>本项目与该审查意见相符性分析见表1-</w:t>
            </w:r>
            <w:r>
              <w:rPr>
                <w:kern w:val="0"/>
                <w:sz w:val="24"/>
              </w:rPr>
              <w:t>2</w:t>
            </w:r>
            <w:r>
              <w:rPr>
                <w:rFonts w:hint="eastAsia"/>
                <w:kern w:val="0"/>
                <w:sz w:val="24"/>
              </w:rPr>
              <w:t>。</w:t>
            </w:r>
          </w:p>
          <w:p w14:paraId="3810E23C">
            <w:pPr>
              <w:autoSpaceDE w:val="0"/>
              <w:autoSpaceDN w:val="0"/>
              <w:adjustRightInd w:val="0"/>
              <w:snapToGrid w:val="0"/>
              <w:jc w:val="center"/>
              <w:rPr>
                <w:b/>
                <w:bCs/>
                <w:kern w:val="0"/>
                <w:szCs w:val="21"/>
              </w:rPr>
            </w:pPr>
            <w:r>
              <w:rPr>
                <w:b/>
                <w:bCs/>
                <w:kern w:val="0"/>
                <w:szCs w:val="21"/>
              </w:rPr>
              <w:t>表1-2 项目与</w:t>
            </w:r>
            <w:r>
              <w:rPr>
                <w:rFonts w:hint="eastAsia"/>
                <w:b/>
                <w:bCs/>
                <w:kern w:val="0"/>
                <w:szCs w:val="21"/>
              </w:rPr>
              <w:t>《内蒙古自治区鄂尔多斯塔然高勒矿区总体规划环境影响报告书》及其</w:t>
            </w:r>
            <w:r>
              <w:rPr>
                <w:b/>
                <w:bCs/>
                <w:kern w:val="0"/>
                <w:szCs w:val="21"/>
              </w:rPr>
              <w:t>审查意见相符性分析</w:t>
            </w:r>
          </w:p>
          <w:tbl>
            <w:tblPr>
              <w:tblStyle w:val="32"/>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54"/>
              <w:gridCol w:w="3402"/>
              <w:gridCol w:w="1701"/>
              <w:gridCol w:w="916"/>
            </w:tblGrid>
            <w:tr w14:paraId="071605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dxa"/>
                  <w:vAlign w:val="center"/>
                </w:tcPr>
                <w:p w14:paraId="7AC3F049">
                  <w:pPr>
                    <w:autoSpaceDE w:val="0"/>
                    <w:autoSpaceDN w:val="0"/>
                    <w:adjustRightInd w:val="0"/>
                    <w:snapToGrid w:val="0"/>
                    <w:jc w:val="center"/>
                    <w:rPr>
                      <w:kern w:val="0"/>
                      <w:szCs w:val="21"/>
                    </w:rPr>
                  </w:pPr>
                  <w:r>
                    <w:rPr>
                      <w:rFonts w:hint="eastAsia"/>
                      <w:kern w:val="0"/>
                      <w:szCs w:val="21"/>
                    </w:rPr>
                    <w:t>序号</w:t>
                  </w:r>
                </w:p>
              </w:tc>
              <w:tc>
                <w:tcPr>
                  <w:tcW w:w="3402" w:type="dxa"/>
                  <w:vAlign w:val="center"/>
                </w:tcPr>
                <w:p w14:paraId="49E60E37">
                  <w:pPr>
                    <w:autoSpaceDE w:val="0"/>
                    <w:autoSpaceDN w:val="0"/>
                    <w:adjustRightInd w:val="0"/>
                    <w:snapToGrid w:val="0"/>
                    <w:jc w:val="center"/>
                    <w:rPr>
                      <w:kern w:val="0"/>
                      <w:szCs w:val="21"/>
                    </w:rPr>
                  </w:pPr>
                  <w:r>
                    <w:rPr>
                      <w:rFonts w:hint="eastAsia"/>
                      <w:kern w:val="0"/>
                      <w:szCs w:val="21"/>
                    </w:rPr>
                    <w:t>矿区规划环评及批复中相关要求</w:t>
                  </w:r>
                </w:p>
              </w:tc>
              <w:tc>
                <w:tcPr>
                  <w:tcW w:w="1701" w:type="dxa"/>
                  <w:vAlign w:val="center"/>
                </w:tcPr>
                <w:p w14:paraId="19BC2AD3">
                  <w:pPr>
                    <w:autoSpaceDE w:val="0"/>
                    <w:autoSpaceDN w:val="0"/>
                    <w:adjustRightInd w:val="0"/>
                    <w:snapToGrid w:val="0"/>
                    <w:jc w:val="center"/>
                    <w:rPr>
                      <w:kern w:val="0"/>
                      <w:szCs w:val="21"/>
                    </w:rPr>
                  </w:pPr>
                  <w:r>
                    <w:rPr>
                      <w:rFonts w:hint="eastAsia"/>
                      <w:kern w:val="0"/>
                      <w:szCs w:val="21"/>
                    </w:rPr>
                    <w:t>本项目情况</w:t>
                  </w:r>
                </w:p>
              </w:tc>
              <w:tc>
                <w:tcPr>
                  <w:tcW w:w="916" w:type="dxa"/>
                  <w:vAlign w:val="center"/>
                </w:tcPr>
                <w:p w14:paraId="62C3A822">
                  <w:pPr>
                    <w:autoSpaceDE w:val="0"/>
                    <w:autoSpaceDN w:val="0"/>
                    <w:adjustRightInd w:val="0"/>
                    <w:snapToGrid w:val="0"/>
                    <w:jc w:val="center"/>
                    <w:rPr>
                      <w:kern w:val="0"/>
                      <w:szCs w:val="21"/>
                    </w:rPr>
                  </w:pPr>
                  <w:r>
                    <w:rPr>
                      <w:rFonts w:hint="eastAsia"/>
                      <w:kern w:val="0"/>
                      <w:szCs w:val="21"/>
                    </w:rPr>
                    <w:t>符合性</w:t>
                  </w:r>
                </w:p>
              </w:tc>
            </w:tr>
            <w:tr w14:paraId="475722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dxa"/>
                  <w:vAlign w:val="center"/>
                </w:tcPr>
                <w:p w14:paraId="72CFA897">
                  <w:pPr>
                    <w:autoSpaceDE w:val="0"/>
                    <w:autoSpaceDN w:val="0"/>
                    <w:adjustRightInd w:val="0"/>
                    <w:snapToGrid w:val="0"/>
                    <w:jc w:val="center"/>
                    <w:rPr>
                      <w:kern w:val="0"/>
                      <w:szCs w:val="21"/>
                    </w:rPr>
                  </w:pPr>
                  <w:r>
                    <w:rPr>
                      <w:rFonts w:hint="eastAsia"/>
                      <w:kern w:val="0"/>
                      <w:szCs w:val="21"/>
                    </w:rPr>
                    <w:t>1</w:t>
                  </w:r>
                </w:p>
              </w:tc>
              <w:tc>
                <w:tcPr>
                  <w:tcW w:w="3402" w:type="dxa"/>
                  <w:vAlign w:val="center"/>
                </w:tcPr>
                <w:p w14:paraId="23838E63">
                  <w:pPr>
                    <w:autoSpaceDE w:val="0"/>
                    <w:autoSpaceDN w:val="0"/>
                    <w:adjustRightInd w:val="0"/>
                    <w:snapToGrid w:val="0"/>
                    <w:jc w:val="center"/>
                    <w:rPr>
                      <w:kern w:val="0"/>
                      <w:szCs w:val="21"/>
                    </w:rPr>
                  </w:pPr>
                  <w:r>
                    <w:rPr>
                      <w:rFonts w:hint="eastAsia"/>
                      <w:kern w:val="0"/>
                      <w:szCs w:val="21"/>
                    </w:rPr>
                    <w:t>切实做好对遗鸥国家级自然保护区的保护。在保护区北部边界以北留设宽度不低于500米的保护煤柱。油房壕井田与保护区飞地实验区的重合区应划为禁采区，并在实验区周边留设宽度不低于500米的保护煤柱。加强对鸡沟河汇水通道的保护，确保汇水功能不受影响。泊江海子井田在开发过程中首先开采中部和东部煤层，矿区西南部勘察区内的鸡沟河汇水区应暂缓开采。在矿区开发过程中，应通过整治鸡沟河上游淤地坝、增强汇水区水源涵养能力等措施，构建适合遗鸥生存的自然环境</w:t>
                  </w:r>
                  <w:r>
                    <w:rPr>
                      <w:kern w:val="0"/>
                      <w:szCs w:val="21"/>
                    </w:rPr>
                    <w:t>。</w:t>
                  </w:r>
                </w:p>
              </w:tc>
              <w:tc>
                <w:tcPr>
                  <w:tcW w:w="1701" w:type="dxa"/>
                  <w:vAlign w:val="center"/>
                </w:tcPr>
                <w:p w14:paraId="08FA243D">
                  <w:pPr>
                    <w:autoSpaceDE w:val="0"/>
                    <w:autoSpaceDN w:val="0"/>
                    <w:adjustRightInd w:val="0"/>
                    <w:snapToGrid w:val="0"/>
                    <w:jc w:val="center"/>
                    <w:rPr>
                      <w:kern w:val="0"/>
                      <w:szCs w:val="21"/>
                    </w:rPr>
                  </w:pPr>
                  <w:r>
                    <w:rPr>
                      <w:rFonts w:hint="eastAsia"/>
                      <w:kern w:val="0"/>
                      <w:szCs w:val="21"/>
                    </w:rPr>
                    <w:t>本项目是油房壕煤矿的一项附属工程，主要建设3台20t/h的燃煤蒸汽锅炉及其他配套工程，不涉及井田开发</w:t>
                  </w:r>
                </w:p>
              </w:tc>
              <w:tc>
                <w:tcPr>
                  <w:tcW w:w="916" w:type="dxa"/>
                  <w:vAlign w:val="center"/>
                </w:tcPr>
                <w:p w14:paraId="7F4CFB71">
                  <w:pPr>
                    <w:autoSpaceDE w:val="0"/>
                    <w:autoSpaceDN w:val="0"/>
                    <w:adjustRightInd w:val="0"/>
                    <w:snapToGrid w:val="0"/>
                    <w:jc w:val="center"/>
                    <w:rPr>
                      <w:kern w:val="0"/>
                      <w:szCs w:val="21"/>
                    </w:rPr>
                  </w:pPr>
                  <w:r>
                    <w:rPr>
                      <w:rFonts w:hint="eastAsia"/>
                      <w:kern w:val="0"/>
                      <w:szCs w:val="21"/>
                    </w:rPr>
                    <w:t>符合</w:t>
                  </w:r>
                </w:p>
              </w:tc>
            </w:tr>
            <w:tr w14:paraId="623793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754" w:type="dxa"/>
                  <w:vAlign w:val="center"/>
                </w:tcPr>
                <w:p w14:paraId="74D72DDB">
                  <w:pPr>
                    <w:autoSpaceDE w:val="0"/>
                    <w:autoSpaceDN w:val="0"/>
                    <w:adjustRightInd w:val="0"/>
                    <w:snapToGrid w:val="0"/>
                    <w:jc w:val="center"/>
                    <w:rPr>
                      <w:kern w:val="0"/>
                      <w:szCs w:val="21"/>
                    </w:rPr>
                  </w:pPr>
                  <w:r>
                    <w:rPr>
                      <w:rFonts w:hint="eastAsia"/>
                      <w:kern w:val="0"/>
                      <w:szCs w:val="21"/>
                    </w:rPr>
                    <w:t>2</w:t>
                  </w:r>
                </w:p>
              </w:tc>
              <w:tc>
                <w:tcPr>
                  <w:tcW w:w="3402" w:type="dxa"/>
                  <w:vAlign w:val="center"/>
                </w:tcPr>
                <w:p w14:paraId="7E07286F">
                  <w:pPr>
                    <w:autoSpaceDE w:val="0"/>
                    <w:autoSpaceDN w:val="0"/>
                    <w:adjustRightInd w:val="0"/>
                    <w:snapToGrid w:val="0"/>
                    <w:jc w:val="center"/>
                    <w:rPr>
                      <w:kern w:val="0"/>
                      <w:szCs w:val="21"/>
                    </w:rPr>
                  </w:pPr>
                  <w:r>
                    <w:rPr>
                      <w:rFonts w:hint="eastAsia"/>
                      <w:kern w:val="0"/>
                      <w:szCs w:val="21"/>
                    </w:rPr>
                    <w:t>加强矿区生态环境治理。在矿区开发过程中，对南部井田、北部井田和西南部勘查区分别制定生态环境综合整治方案，落实资金来源和项目安排，并与煤炭资源开发同步实施。规划内所包含的建设项目在施工时应尽量缩小施工范围，减少对植被的破坏</w:t>
                  </w:r>
                  <w:r>
                    <w:rPr>
                      <w:kern w:val="0"/>
                      <w:szCs w:val="21"/>
                    </w:rPr>
                    <w:t>。</w:t>
                  </w:r>
                </w:p>
              </w:tc>
              <w:tc>
                <w:tcPr>
                  <w:tcW w:w="1701" w:type="dxa"/>
                  <w:vAlign w:val="center"/>
                </w:tcPr>
                <w:p w14:paraId="73A73085">
                  <w:pPr>
                    <w:autoSpaceDE w:val="0"/>
                    <w:autoSpaceDN w:val="0"/>
                    <w:adjustRightInd w:val="0"/>
                    <w:snapToGrid w:val="0"/>
                    <w:jc w:val="center"/>
                    <w:rPr>
                      <w:kern w:val="0"/>
                      <w:szCs w:val="21"/>
                    </w:rPr>
                  </w:pPr>
                  <w:r>
                    <w:rPr>
                      <w:rFonts w:hint="eastAsia"/>
                      <w:kern w:val="0"/>
                      <w:szCs w:val="21"/>
                    </w:rPr>
                    <w:t>本项目位于油房壕煤矿工业场地范围内，施工期及运行期无新增占地，不会破坏周边植被</w:t>
                  </w:r>
                </w:p>
              </w:tc>
              <w:tc>
                <w:tcPr>
                  <w:tcW w:w="916" w:type="dxa"/>
                  <w:vAlign w:val="center"/>
                </w:tcPr>
                <w:p w14:paraId="6FFD4471">
                  <w:pPr>
                    <w:autoSpaceDE w:val="0"/>
                    <w:autoSpaceDN w:val="0"/>
                    <w:adjustRightInd w:val="0"/>
                    <w:snapToGrid w:val="0"/>
                    <w:jc w:val="center"/>
                    <w:rPr>
                      <w:kern w:val="0"/>
                      <w:szCs w:val="21"/>
                    </w:rPr>
                  </w:pPr>
                  <w:r>
                    <w:rPr>
                      <w:rFonts w:hint="eastAsia"/>
                      <w:kern w:val="0"/>
                      <w:szCs w:val="21"/>
                    </w:rPr>
                    <w:t>符合</w:t>
                  </w:r>
                </w:p>
              </w:tc>
            </w:tr>
            <w:tr w14:paraId="0E4837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dxa"/>
                  <w:vAlign w:val="center"/>
                </w:tcPr>
                <w:p w14:paraId="0911E24C">
                  <w:pPr>
                    <w:autoSpaceDE w:val="0"/>
                    <w:autoSpaceDN w:val="0"/>
                    <w:adjustRightInd w:val="0"/>
                    <w:snapToGrid w:val="0"/>
                    <w:jc w:val="center"/>
                    <w:rPr>
                      <w:kern w:val="0"/>
                      <w:szCs w:val="21"/>
                    </w:rPr>
                  </w:pPr>
                  <w:r>
                    <w:rPr>
                      <w:rFonts w:hint="eastAsia"/>
                      <w:kern w:val="0"/>
                      <w:szCs w:val="21"/>
                    </w:rPr>
                    <w:t>3</w:t>
                  </w:r>
                </w:p>
              </w:tc>
              <w:tc>
                <w:tcPr>
                  <w:tcW w:w="3402" w:type="dxa"/>
                  <w:vAlign w:val="center"/>
                </w:tcPr>
                <w:p w14:paraId="0E233F66">
                  <w:pPr>
                    <w:autoSpaceDE w:val="0"/>
                    <w:autoSpaceDN w:val="0"/>
                    <w:adjustRightInd w:val="0"/>
                    <w:snapToGrid w:val="0"/>
                    <w:jc w:val="center"/>
                    <w:rPr>
                      <w:kern w:val="0"/>
                      <w:szCs w:val="21"/>
                    </w:rPr>
                  </w:pPr>
                  <w:r>
                    <w:rPr>
                      <w:rFonts w:hint="eastAsia"/>
                      <w:kern w:val="0"/>
                      <w:szCs w:val="21"/>
                    </w:rPr>
                    <w:t>加强对地下水资源的保护。在矿区北部煤炭露头线附近留设一定宽度的缓冲区和足够的防水煤岩柱，确保煤炭开采不对浅部含水层造成影响。建立全矿区地下水长期动态监测计划，合理设置观测井，在地下水位大幅度下降时应立即采取禁采、限采或留设煤柱等措施保护好地下水资源。对泊江海子镇水源地、高头窑乡水源地、杭锦旗锡尼镇水源地的取水井，以及矿区范围内村庄居民沟谷旱井，应设点进行长期观测。针对采煤导致的群众用水困难问题，应采取供水等措施保障群众用水</w:t>
                  </w:r>
                </w:p>
              </w:tc>
              <w:tc>
                <w:tcPr>
                  <w:tcW w:w="1701" w:type="dxa"/>
                  <w:vAlign w:val="center"/>
                </w:tcPr>
                <w:p w14:paraId="7943F1F6">
                  <w:pPr>
                    <w:autoSpaceDE w:val="0"/>
                    <w:autoSpaceDN w:val="0"/>
                    <w:adjustRightInd w:val="0"/>
                    <w:snapToGrid w:val="0"/>
                    <w:jc w:val="center"/>
                    <w:rPr>
                      <w:kern w:val="0"/>
                      <w:szCs w:val="21"/>
                    </w:rPr>
                  </w:pPr>
                  <w:r>
                    <w:rPr>
                      <w:rFonts w:hint="eastAsia"/>
                      <w:kern w:val="0"/>
                      <w:szCs w:val="21"/>
                    </w:rPr>
                    <w:t>本项目不涉及地下水开采，项目用水为经处理后的矿井水，生产废水全部回用，对地下水资源影响很小</w:t>
                  </w:r>
                </w:p>
              </w:tc>
              <w:tc>
                <w:tcPr>
                  <w:tcW w:w="916" w:type="dxa"/>
                  <w:vAlign w:val="center"/>
                </w:tcPr>
                <w:p w14:paraId="3EA65644">
                  <w:pPr>
                    <w:autoSpaceDE w:val="0"/>
                    <w:autoSpaceDN w:val="0"/>
                    <w:adjustRightInd w:val="0"/>
                    <w:snapToGrid w:val="0"/>
                    <w:jc w:val="center"/>
                    <w:rPr>
                      <w:kern w:val="0"/>
                      <w:szCs w:val="21"/>
                    </w:rPr>
                  </w:pPr>
                  <w:r>
                    <w:rPr>
                      <w:rFonts w:hint="eastAsia"/>
                      <w:kern w:val="0"/>
                      <w:szCs w:val="21"/>
                    </w:rPr>
                    <w:t>符合</w:t>
                  </w:r>
                </w:p>
              </w:tc>
            </w:tr>
            <w:tr w14:paraId="6B8CA6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dxa"/>
                  <w:vAlign w:val="center"/>
                </w:tcPr>
                <w:p w14:paraId="038FEB24">
                  <w:pPr>
                    <w:autoSpaceDE w:val="0"/>
                    <w:autoSpaceDN w:val="0"/>
                    <w:adjustRightInd w:val="0"/>
                    <w:snapToGrid w:val="0"/>
                    <w:jc w:val="center"/>
                    <w:rPr>
                      <w:kern w:val="0"/>
                      <w:szCs w:val="21"/>
                    </w:rPr>
                  </w:pPr>
                  <w:r>
                    <w:rPr>
                      <w:rFonts w:hint="eastAsia"/>
                      <w:kern w:val="0"/>
                      <w:szCs w:val="21"/>
                    </w:rPr>
                    <w:t>4</w:t>
                  </w:r>
                </w:p>
              </w:tc>
              <w:tc>
                <w:tcPr>
                  <w:tcW w:w="3402" w:type="dxa"/>
                  <w:vAlign w:val="center"/>
                </w:tcPr>
                <w:p w14:paraId="433C7981">
                  <w:pPr>
                    <w:autoSpaceDE w:val="0"/>
                    <w:autoSpaceDN w:val="0"/>
                    <w:adjustRightInd w:val="0"/>
                    <w:snapToGrid w:val="0"/>
                    <w:jc w:val="center"/>
                    <w:rPr>
                      <w:kern w:val="0"/>
                      <w:szCs w:val="21"/>
                    </w:rPr>
                  </w:pPr>
                  <w:r>
                    <w:rPr>
                      <w:rFonts w:hint="eastAsia"/>
                      <w:kern w:val="0"/>
                      <w:szCs w:val="21"/>
                    </w:rPr>
                    <w:t>加强矿井水和污废水的综合利用。在矿区范围内统筹建设矿井水和污废水的处理和综合回用设施，将矿井水和污水处理后全部回用。根据报告书提出的建议，在泊江海子井田和油坊壕井田之间构筑生态蓄水池，用于储存富余矿井水，并在征得同意后，通过输水明渠将符合保护区水质要求的富余矿井水补入保护区内的桃—阿海子</w:t>
                  </w:r>
                  <w:r>
                    <w:rPr>
                      <w:kern w:val="0"/>
                      <w:szCs w:val="21"/>
                    </w:rPr>
                    <w:t>。</w:t>
                  </w:r>
                </w:p>
              </w:tc>
              <w:tc>
                <w:tcPr>
                  <w:tcW w:w="1701" w:type="dxa"/>
                  <w:vAlign w:val="center"/>
                </w:tcPr>
                <w:p w14:paraId="020E10E6">
                  <w:pPr>
                    <w:autoSpaceDE w:val="0"/>
                    <w:autoSpaceDN w:val="0"/>
                    <w:adjustRightInd w:val="0"/>
                    <w:snapToGrid w:val="0"/>
                    <w:jc w:val="center"/>
                    <w:rPr>
                      <w:kern w:val="0"/>
                      <w:szCs w:val="21"/>
                    </w:rPr>
                  </w:pPr>
                  <w:r>
                    <w:rPr>
                      <w:rFonts w:hint="eastAsia"/>
                      <w:kern w:val="0"/>
                      <w:szCs w:val="21"/>
                    </w:rPr>
                    <w:t>本项目不涉及地下水开采，项目用水为经处理后的矿井水，生产废水全部回用，不外排</w:t>
                  </w:r>
                </w:p>
              </w:tc>
              <w:tc>
                <w:tcPr>
                  <w:tcW w:w="916" w:type="dxa"/>
                  <w:vAlign w:val="center"/>
                </w:tcPr>
                <w:p w14:paraId="70AB0285">
                  <w:pPr>
                    <w:autoSpaceDE w:val="0"/>
                    <w:autoSpaceDN w:val="0"/>
                    <w:adjustRightInd w:val="0"/>
                    <w:snapToGrid w:val="0"/>
                    <w:jc w:val="center"/>
                    <w:rPr>
                      <w:kern w:val="0"/>
                      <w:szCs w:val="21"/>
                    </w:rPr>
                  </w:pPr>
                  <w:r>
                    <w:rPr>
                      <w:rFonts w:hint="eastAsia"/>
                      <w:kern w:val="0"/>
                      <w:szCs w:val="21"/>
                    </w:rPr>
                    <w:t>符合</w:t>
                  </w:r>
                </w:p>
              </w:tc>
            </w:tr>
            <w:tr w14:paraId="467CDF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dxa"/>
                  <w:vAlign w:val="center"/>
                </w:tcPr>
                <w:p w14:paraId="198082D1">
                  <w:pPr>
                    <w:autoSpaceDE w:val="0"/>
                    <w:autoSpaceDN w:val="0"/>
                    <w:adjustRightInd w:val="0"/>
                    <w:snapToGrid w:val="0"/>
                    <w:jc w:val="center"/>
                    <w:rPr>
                      <w:kern w:val="0"/>
                      <w:szCs w:val="21"/>
                    </w:rPr>
                  </w:pPr>
                  <w:r>
                    <w:rPr>
                      <w:rFonts w:hint="eastAsia"/>
                      <w:kern w:val="0"/>
                      <w:szCs w:val="21"/>
                    </w:rPr>
                    <w:t>5</w:t>
                  </w:r>
                </w:p>
              </w:tc>
              <w:tc>
                <w:tcPr>
                  <w:tcW w:w="3402" w:type="dxa"/>
                  <w:vAlign w:val="center"/>
                </w:tcPr>
                <w:p w14:paraId="72273F2D">
                  <w:pPr>
                    <w:autoSpaceDE w:val="0"/>
                    <w:autoSpaceDN w:val="0"/>
                    <w:adjustRightInd w:val="0"/>
                    <w:snapToGrid w:val="0"/>
                    <w:jc w:val="center"/>
                    <w:rPr>
                      <w:kern w:val="0"/>
                      <w:szCs w:val="21"/>
                    </w:rPr>
                  </w:pPr>
                  <w:r>
                    <w:rPr>
                      <w:rFonts w:hint="eastAsia"/>
                      <w:kern w:val="0"/>
                      <w:szCs w:val="21"/>
                    </w:rPr>
                    <w:t>泊江海子镇规划控制区边界应划为禁采区，并从边界向外合理留设保护煤柱。在各井田开发之前，依托现有城镇，将受开采沉陷影响需要搬迁的居民提前搬迁安置</w:t>
                  </w:r>
                </w:p>
              </w:tc>
              <w:tc>
                <w:tcPr>
                  <w:tcW w:w="1701" w:type="dxa"/>
                  <w:vAlign w:val="center"/>
                </w:tcPr>
                <w:p w14:paraId="66AF847A">
                  <w:pPr>
                    <w:autoSpaceDE w:val="0"/>
                    <w:autoSpaceDN w:val="0"/>
                    <w:adjustRightInd w:val="0"/>
                    <w:snapToGrid w:val="0"/>
                    <w:jc w:val="center"/>
                    <w:rPr>
                      <w:kern w:val="0"/>
                      <w:szCs w:val="21"/>
                    </w:rPr>
                  </w:pPr>
                  <w:r>
                    <w:rPr>
                      <w:rFonts w:hint="eastAsia"/>
                      <w:kern w:val="0"/>
                      <w:szCs w:val="21"/>
                    </w:rPr>
                    <w:t>本项目是油房壕煤矿的一项附属工程，主要建设3台20t/h的燃煤蒸汽锅炉及其他配套工程，不涉及煤炭开采</w:t>
                  </w:r>
                </w:p>
              </w:tc>
              <w:tc>
                <w:tcPr>
                  <w:tcW w:w="916" w:type="dxa"/>
                  <w:vAlign w:val="center"/>
                </w:tcPr>
                <w:p w14:paraId="767A2225">
                  <w:pPr>
                    <w:autoSpaceDE w:val="0"/>
                    <w:autoSpaceDN w:val="0"/>
                    <w:adjustRightInd w:val="0"/>
                    <w:snapToGrid w:val="0"/>
                    <w:jc w:val="center"/>
                    <w:rPr>
                      <w:kern w:val="0"/>
                      <w:szCs w:val="21"/>
                    </w:rPr>
                  </w:pPr>
                  <w:r>
                    <w:rPr>
                      <w:rFonts w:hint="eastAsia"/>
                      <w:kern w:val="0"/>
                      <w:szCs w:val="21"/>
                    </w:rPr>
                    <w:t>符合</w:t>
                  </w:r>
                </w:p>
              </w:tc>
            </w:tr>
            <w:tr w14:paraId="033509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dxa"/>
                  <w:vAlign w:val="center"/>
                </w:tcPr>
                <w:p w14:paraId="194749B4">
                  <w:pPr>
                    <w:autoSpaceDE w:val="0"/>
                    <w:autoSpaceDN w:val="0"/>
                    <w:adjustRightInd w:val="0"/>
                    <w:snapToGrid w:val="0"/>
                    <w:jc w:val="center"/>
                    <w:rPr>
                      <w:kern w:val="0"/>
                      <w:szCs w:val="21"/>
                    </w:rPr>
                  </w:pPr>
                  <w:r>
                    <w:rPr>
                      <w:rFonts w:hint="eastAsia"/>
                      <w:kern w:val="0"/>
                      <w:szCs w:val="21"/>
                    </w:rPr>
                    <w:t>6</w:t>
                  </w:r>
                </w:p>
              </w:tc>
              <w:tc>
                <w:tcPr>
                  <w:tcW w:w="3402" w:type="dxa"/>
                  <w:vAlign w:val="center"/>
                </w:tcPr>
                <w:p w14:paraId="5EE33F5A">
                  <w:pPr>
                    <w:autoSpaceDE w:val="0"/>
                    <w:autoSpaceDN w:val="0"/>
                    <w:adjustRightInd w:val="0"/>
                    <w:snapToGrid w:val="0"/>
                    <w:jc w:val="center"/>
                    <w:rPr>
                      <w:kern w:val="0"/>
                      <w:szCs w:val="21"/>
                    </w:rPr>
                  </w:pPr>
                  <w:r>
                    <w:rPr>
                      <w:rFonts w:hint="eastAsia"/>
                      <w:kern w:val="0"/>
                      <w:szCs w:val="21"/>
                    </w:rPr>
                    <w:t>污染物排放总量指标应纳入鄂尔多斯市的污染物排放总量控制计划</w:t>
                  </w:r>
                </w:p>
              </w:tc>
              <w:tc>
                <w:tcPr>
                  <w:tcW w:w="1701" w:type="dxa"/>
                  <w:vAlign w:val="center"/>
                </w:tcPr>
                <w:p w14:paraId="4F024C0B">
                  <w:pPr>
                    <w:autoSpaceDE w:val="0"/>
                    <w:autoSpaceDN w:val="0"/>
                    <w:adjustRightInd w:val="0"/>
                    <w:snapToGrid w:val="0"/>
                    <w:jc w:val="center"/>
                    <w:rPr>
                      <w:kern w:val="0"/>
                      <w:szCs w:val="21"/>
                    </w:rPr>
                  </w:pPr>
                  <w:r>
                    <w:rPr>
                      <w:rFonts w:hint="eastAsia"/>
                      <w:kern w:val="0"/>
                      <w:szCs w:val="21"/>
                    </w:rPr>
                    <w:t>本项目污染物排放总量指标纳入鄂尔多斯市的污染物排放总量控制计划</w:t>
                  </w:r>
                </w:p>
              </w:tc>
              <w:tc>
                <w:tcPr>
                  <w:tcW w:w="916" w:type="dxa"/>
                  <w:vAlign w:val="center"/>
                </w:tcPr>
                <w:p w14:paraId="262C0E80">
                  <w:pPr>
                    <w:autoSpaceDE w:val="0"/>
                    <w:autoSpaceDN w:val="0"/>
                    <w:adjustRightInd w:val="0"/>
                    <w:snapToGrid w:val="0"/>
                    <w:jc w:val="center"/>
                    <w:rPr>
                      <w:kern w:val="0"/>
                      <w:szCs w:val="21"/>
                    </w:rPr>
                  </w:pPr>
                  <w:r>
                    <w:rPr>
                      <w:rFonts w:hint="eastAsia"/>
                      <w:kern w:val="0"/>
                      <w:szCs w:val="21"/>
                    </w:rPr>
                    <w:t>符合</w:t>
                  </w:r>
                </w:p>
              </w:tc>
            </w:tr>
            <w:tr w14:paraId="281890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dxa"/>
                  <w:vAlign w:val="center"/>
                </w:tcPr>
                <w:p w14:paraId="06054FCD">
                  <w:pPr>
                    <w:autoSpaceDE w:val="0"/>
                    <w:autoSpaceDN w:val="0"/>
                    <w:adjustRightInd w:val="0"/>
                    <w:snapToGrid w:val="0"/>
                    <w:jc w:val="center"/>
                    <w:rPr>
                      <w:kern w:val="0"/>
                      <w:szCs w:val="21"/>
                    </w:rPr>
                  </w:pPr>
                  <w:r>
                    <w:rPr>
                      <w:rFonts w:hint="eastAsia"/>
                      <w:kern w:val="0"/>
                      <w:szCs w:val="21"/>
                    </w:rPr>
                    <w:t>7</w:t>
                  </w:r>
                </w:p>
              </w:tc>
              <w:tc>
                <w:tcPr>
                  <w:tcW w:w="3402" w:type="dxa"/>
                  <w:vAlign w:val="center"/>
                </w:tcPr>
                <w:p w14:paraId="14D30DF1">
                  <w:pPr>
                    <w:autoSpaceDE w:val="0"/>
                    <w:autoSpaceDN w:val="0"/>
                    <w:adjustRightInd w:val="0"/>
                    <w:snapToGrid w:val="0"/>
                    <w:jc w:val="center"/>
                    <w:rPr>
                      <w:kern w:val="0"/>
                      <w:szCs w:val="21"/>
                    </w:rPr>
                  </w:pPr>
                  <w:r>
                    <w:rPr>
                      <w:rFonts w:hint="eastAsia"/>
                    </w:rPr>
                    <w:t>在矿区范围内统筹建设矿井水和污废水的处理和综合回用措施，将矿井水和污水处理后全部回用。按照报告书所提建议，在泊江海子井田和油房壕井田之间构筑生态蓄水池，用于储存富余矿井水，并在征得遗鸥自然保护区管理局同意后，通过输水明渠将符合保护区水质要求的富余矿井水补入保护区内的桃—阿海子。</w:t>
                  </w:r>
                </w:p>
              </w:tc>
              <w:tc>
                <w:tcPr>
                  <w:tcW w:w="1701" w:type="dxa"/>
                  <w:vAlign w:val="center"/>
                </w:tcPr>
                <w:p w14:paraId="7FCA9F4D">
                  <w:pPr>
                    <w:autoSpaceDE w:val="0"/>
                    <w:autoSpaceDN w:val="0"/>
                    <w:adjustRightInd w:val="0"/>
                    <w:snapToGrid w:val="0"/>
                    <w:jc w:val="center"/>
                    <w:rPr>
                      <w:kern w:val="0"/>
                      <w:szCs w:val="21"/>
                    </w:rPr>
                  </w:pPr>
                  <w:r>
                    <w:rPr>
                      <w:rFonts w:hint="eastAsia"/>
                      <w:kern w:val="0"/>
                      <w:szCs w:val="21"/>
                    </w:rPr>
                    <w:t>项目用水为经处理后的矿井水，生产废水全部回用，不外排</w:t>
                  </w:r>
                </w:p>
              </w:tc>
              <w:tc>
                <w:tcPr>
                  <w:tcW w:w="916" w:type="dxa"/>
                  <w:vAlign w:val="center"/>
                </w:tcPr>
                <w:p w14:paraId="1B4E5B7D">
                  <w:pPr>
                    <w:autoSpaceDE w:val="0"/>
                    <w:autoSpaceDN w:val="0"/>
                    <w:adjustRightInd w:val="0"/>
                    <w:snapToGrid w:val="0"/>
                    <w:jc w:val="center"/>
                    <w:rPr>
                      <w:kern w:val="0"/>
                      <w:szCs w:val="21"/>
                    </w:rPr>
                  </w:pPr>
                  <w:r>
                    <w:rPr>
                      <w:rFonts w:hint="eastAsia"/>
                      <w:kern w:val="0"/>
                      <w:szCs w:val="21"/>
                    </w:rPr>
                    <w:t>符合</w:t>
                  </w:r>
                </w:p>
              </w:tc>
            </w:tr>
            <w:tr w14:paraId="67C1AA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754" w:type="dxa"/>
                  <w:vAlign w:val="center"/>
                </w:tcPr>
                <w:p w14:paraId="4ED604F4">
                  <w:pPr>
                    <w:autoSpaceDE w:val="0"/>
                    <w:autoSpaceDN w:val="0"/>
                    <w:adjustRightInd w:val="0"/>
                    <w:snapToGrid w:val="0"/>
                    <w:jc w:val="center"/>
                    <w:rPr>
                      <w:kern w:val="0"/>
                      <w:szCs w:val="21"/>
                    </w:rPr>
                  </w:pPr>
                  <w:r>
                    <w:rPr>
                      <w:rFonts w:hint="eastAsia"/>
                      <w:kern w:val="0"/>
                      <w:szCs w:val="21"/>
                    </w:rPr>
                    <w:t>8</w:t>
                  </w:r>
                </w:p>
              </w:tc>
              <w:tc>
                <w:tcPr>
                  <w:tcW w:w="3402" w:type="dxa"/>
                  <w:vAlign w:val="center"/>
                </w:tcPr>
                <w:p w14:paraId="0388E9B9">
                  <w:pPr>
                    <w:autoSpaceDE w:val="0"/>
                    <w:autoSpaceDN w:val="0"/>
                    <w:adjustRightInd w:val="0"/>
                    <w:snapToGrid w:val="0"/>
                    <w:jc w:val="center"/>
                    <w:rPr>
                      <w:kern w:val="0"/>
                      <w:szCs w:val="21"/>
                    </w:rPr>
                  </w:pPr>
                  <w:r>
                    <w:rPr>
                      <w:rFonts w:hint="eastAsia"/>
                    </w:rPr>
                    <w:t>建议在开发过程中对水源地以及村庄居民饮用水井设点进行长期观测，一旦发现问题，立即采取措施保证水源供应。</w:t>
                  </w:r>
                </w:p>
              </w:tc>
              <w:tc>
                <w:tcPr>
                  <w:tcW w:w="1701" w:type="dxa"/>
                  <w:vAlign w:val="center"/>
                </w:tcPr>
                <w:p w14:paraId="367B12F5">
                  <w:pPr>
                    <w:autoSpaceDE w:val="0"/>
                    <w:autoSpaceDN w:val="0"/>
                    <w:adjustRightInd w:val="0"/>
                    <w:snapToGrid w:val="0"/>
                    <w:jc w:val="center"/>
                    <w:rPr>
                      <w:kern w:val="0"/>
                      <w:szCs w:val="21"/>
                    </w:rPr>
                  </w:pPr>
                  <w:r>
                    <w:rPr>
                      <w:rFonts w:hint="eastAsia"/>
                      <w:kern w:val="0"/>
                      <w:szCs w:val="21"/>
                    </w:rPr>
                    <w:t>根据油房壕煤矿环评，煤矿运营后将对周边村庄居民水井设点进行长期跟踪观察和监测，一旦发现水井受到煤矿开采破坏，矿方应立即为受影响居民新建水井解决其供水问题</w:t>
                  </w:r>
                </w:p>
              </w:tc>
              <w:tc>
                <w:tcPr>
                  <w:tcW w:w="916" w:type="dxa"/>
                  <w:vAlign w:val="center"/>
                </w:tcPr>
                <w:p w14:paraId="2A93160D">
                  <w:pPr>
                    <w:autoSpaceDE w:val="0"/>
                    <w:autoSpaceDN w:val="0"/>
                    <w:adjustRightInd w:val="0"/>
                    <w:snapToGrid w:val="0"/>
                    <w:jc w:val="center"/>
                    <w:rPr>
                      <w:kern w:val="0"/>
                      <w:szCs w:val="21"/>
                    </w:rPr>
                  </w:pPr>
                  <w:r>
                    <w:rPr>
                      <w:rFonts w:hint="eastAsia"/>
                      <w:kern w:val="0"/>
                      <w:szCs w:val="21"/>
                    </w:rPr>
                    <w:t>符合</w:t>
                  </w:r>
                </w:p>
              </w:tc>
            </w:tr>
            <w:tr w14:paraId="0E22A3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dxa"/>
                  <w:vAlign w:val="center"/>
                </w:tcPr>
                <w:p w14:paraId="27081D9B">
                  <w:pPr>
                    <w:autoSpaceDE w:val="0"/>
                    <w:autoSpaceDN w:val="0"/>
                    <w:adjustRightInd w:val="0"/>
                    <w:snapToGrid w:val="0"/>
                    <w:jc w:val="center"/>
                    <w:rPr>
                      <w:kern w:val="0"/>
                      <w:szCs w:val="21"/>
                    </w:rPr>
                  </w:pPr>
                  <w:r>
                    <w:rPr>
                      <w:rFonts w:hint="eastAsia"/>
                      <w:kern w:val="0"/>
                      <w:szCs w:val="21"/>
                    </w:rPr>
                    <w:t>9</w:t>
                  </w:r>
                </w:p>
              </w:tc>
              <w:tc>
                <w:tcPr>
                  <w:tcW w:w="3402" w:type="dxa"/>
                  <w:vAlign w:val="center"/>
                </w:tcPr>
                <w:p w14:paraId="7D648DC9">
                  <w:pPr>
                    <w:autoSpaceDE w:val="0"/>
                    <w:autoSpaceDN w:val="0"/>
                    <w:adjustRightInd w:val="0"/>
                    <w:snapToGrid w:val="0"/>
                    <w:jc w:val="center"/>
                    <w:rPr>
                      <w:kern w:val="0"/>
                      <w:szCs w:val="21"/>
                    </w:rPr>
                  </w:pPr>
                  <w:r>
                    <w:rPr>
                      <w:rFonts w:hint="eastAsia"/>
                    </w:rPr>
                    <w:t>1、煤矿工业场地锅炉除尘效率达到95%～97%，脱硫效率达到50%～70%</w:t>
                  </w:r>
                  <w:r>
                    <w:t>；</w:t>
                  </w:r>
                  <w:r>
                    <w:rPr>
                      <w:rFonts w:hint="eastAsia"/>
                    </w:rPr>
                    <w:t>2、建议煤矿内煤炭运输及转载点均应在封闭建筑内，运矸车辆加密封罩，运矸道路采用洒水措施抑尘；3、建议在筛分破碎车间设机械通风除尘，原煤落煤点设有湿式除尘；4、对于排矸场和储煤场扬尘，建议对原煤产品做到不露天、不落地、密闭贮运，控制储煤场周边粉尘浓度在80mg/m</w:t>
                  </w:r>
                  <w:r>
                    <w:rPr>
                      <w:rFonts w:hint="eastAsia"/>
                      <w:vertAlign w:val="superscript"/>
                    </w:rPr>
                    <w:t>3</w:t>
                  </w:r>
                  <w:r>
                    <w:rPr>
                      <w:rFonts w:hint="eastAsia"/>
                    </w:rPr>
                    <w:t>之内，对排矸场加强洒水降尘措施。</w:t>
                  </w:r>
                </w:p>
              </w:tc>
              <w:tc>
                <w:tcPr>
                  <w:tcW w:w="1701" w:type="dxa"/>
                  <w:vAlign w:val="center"/>
                </w:tcPr>
                <w:p w14:paraId="15A046FE">
                  <w:pPr>
                    <w:autoSpaceDE w:val="0"/>
                    <w:autoSpaceDN w:val="0"/>
                    <w:adjustRightInd w:val="0"/>
                    <w:snapToGrid w:val="0"/>
                    <w:jc w:val="center"/>
                    <w:rPr>
                      <w:kern w:val="0"/>
                      <w:szCs w:val="21"/>
                    </w:rPr>
                  </w:pPr>
                  <w:r>
                    <w:rPr>
                      <w:rFonts w:hint="eastAsia"/>
                      <w:kern w:val="0"/>
                      <w:szCs w:val="21"/>
                    </w:rPr>
                    <w:t>本项目锅炉除尘效率不低于99%，脱硫效率不低于80%；根据油房壕煤矿环评其余均可符合相应要求</w:t>
                  </w:r>
                </w:p>
              </w:tc>
              <w:tc>
                <w:tcPr>
                  <w:tcW w:w="916" w:type="dxa"/>
                  <w:vAlign w:val="center"/>
                </w:tcPr>
                <w:p w14:paraId="40D03233">
                  <w:pPr>
                    <w:autoSpaceDE w:val="0"/>
                    <w:autoSpaceDN w:val="0"/>
                    <w:adjustRightInd w:val="0"/>
                    <w:snapToGrid w:val="0"/>
                    <w:jc w:val="center"/>
                    <w:rPr>
                      <w:kern w:val="0"/>
                      <w:szCs w:val="21"/>
                    </w:rPr>
                  </w:pPr>
                  <w:r>
                    <w:rPr>
                      <w:rFonts w:hint="eastAsia"/>
                      <w:kern w:val="0"/>
                      <w:szCs w:val="21"/>
                    </w:rPr>
                    <w:t>符合</w:t>
                  </w:r>
                </w:p>
              </w:tc>
            </w:tr>
            <w:tr w14:paraId="467508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dxa"/>
                  <w:vAlign w:val="center"/>
                </w:tcPr>
                <w:p w14:paraId="63D064EC">
                  <w:pPr>
                    <w:autoSpaceDE w:val="0"/>
                    <w:autoSpaceDN w:val="0"/>
                    <w:adjustRightInd w:val="0"/>
                    <w:snapToGrid w:val="0"/>
                    <w:jc w:val="center"/>
                    <w:rPr>
                      <w:kern w:val="0"/>
                      <w:szCs w:val="21"/>
                    </w:rPr>
                  </w:pPr>
                  <w:r>
                    <w:rPr>
                      <w:rFonts w:hint="eastAsia"/>
                      <w:kern w:val="0"/>
                      <w:szCs w:val="21"/>
                    </w:rPr>
                    <w:t>10</w:t>
                  </w:r>
                </w:p>
              </w:tc>
              <w:tc>
                <w:tcPr>
                  <w:tcW w:w="3402" w:type="dxa"/>
                  <w:vAlign w:val="center"/>
                </w:tcPr>
                <w:p w14:paraId="4CBC8FB2">
                  <w:pPr>
                    <w:autoSpaceDE w:val="0"/>
                    <w:autoSpaceDN w:val="0"/>
                    <w:adjustRightInd w:val="0"/>
                    <w:snapToGrid w:val="0"/>
                    <w:jc w:val="center"/>
                    <w:rPr>
                      <w:kern w:val="0"/>
                      <w:szCs w:val="21"/>
                    </w:rPr>
                  </w:pPr>
                  <w:r>
                    <w:rPr>
                      <w:rFonts w:hint="eastAsia"/>
                    </w:rPr>
                    <w:t>矿区固体废物综合利用和处置的基本原则为综合利用为先，处置为后。掘进矸石可基建期作为基石料，后期用于矿坑充填及塌陷区回填，洗选矸石可用于矸石发电、塌陷区回填及建材原料，剩余矸石排至排矸场；锅炉灰渣可用于建材原料或建筑原料，剩余部分排至排灰场；生活垃圾运至周边旗区公共事业管理局处理；污泥进行堆肥无害化处理后可用于土地复垦，实施困难时可运往垃圾处理场进行卫生填埋。</w:t>
                  </w:r>
                </w:p>
              </w:tc>
              <w:tc>
                <w:tcPr>
                  <w:tcW w:w="1701" w:type="dxa"/>
                  <w:vAlign w:val="center"/>
                </w:tcPr>
                <w:p w14:paraId="78E170F5">
                  <w:pPr>
                    <w:autoSpaceDE w:val="0"/>
                    <w:autoSpaceDN w:val="0"/>
                    <w:adjustRightInd w:val="0"/>
                    <w:snapToGrid w:val="0"/>
                    <w:jc w:val="center"/>
                    <w:rPr>
                      <w:kern w:val="0"/>
                      <w:szCs w:val="21"/>
                    </w:rPr>
                  </w:pPr>
                  <w:r>
                    <w:rPr>
                      <w:rFonts w:hint="eastAsia"/>
                      <w:kern w:val="0"/>
                      <w:szCs w:val="21"/>
                    </w:rPr>
                    <w:t>锅炉灰渣立足于当地铺路或建材厂综合利用；根据油房壕煤矿环评其余均可符合相应要求</w:t>
                  </w:r>
                </w:p>
              </w:tc>
              <w:tc>
                <w:tcPr>
                  <w:tcW w:w="916" w:type="dxa"/>
                  <w:vAlign w:val="center"/>
                </w:tcPr>
                <w:p w14:paraId="7BB76A46">
                  <w:pPr>
                    <w:autoSpaceDE w:val="0"/>
                    <w:autoSpaceDN w:val="0"/>
                    <w:adjustRightInd w:val="0"/>
                    <w:snapToGrid w:val="0"/>
                    <w:jc w:val="center"/>
                    <w:rPr>
                      <w:kern w:val="0"/>
                      <w:szCs w:val="21"/>
                    </w:rPr>
                  </w:pPr>
                  <w:r>
                    <w:rPr>
                      <w:rFonts w:hint="eastAsia"/>
                      <w:kern w:val="0"/>
                      <w:szCs w:val="21"/>
                    </w:rPr>
                    <w:t>符合</w:t>
                  </w:r>
                </w:p>
              </w:tc>
            </w:tr>
            <w:tr w14:paraId="3BE4F5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4" w:type="dxa"/>
                  <w:vAlign w:val="center"/>
                </w:tcPr>
                <w:p w14:paraId="5C13CA1F">
                  <w:pPr>
                    <w:autoSpaceDE w:val="0"/>
                    <w:autoSpaceDN w:val="0"/>
                    <w:adjustRightInd w:val="0"/>
                    <w:snapToGrid w:val="0"/>
                    <w:jc w:val="center"/>
                    <w:rPr>
                      <w:kern w:val="0"/>
                      <w:szCs w:val="21"/>
                    </w:rPr>
                  </w:pPr>
                  <w:r>
                    <w:rPr>
                      <w:rFonts w:hint="eastAsia"/>
                      <w:kern w:val="0"/>
                      <w:szCs w:val="21"/>
                    </w:rPr>
                    <w:t>11</w:t>
                  </w:r>
                </w:p>
              </w:tc>
              <w:tc>
                <w:tcPr>
                  <w:tcW w:w="3402" w:type="dxa"/>
                  <w:vAlign w:val="center"/>
                </w:tcPr>
                <w:p w14:paraId="7E3DF481">
                  <w:pPr>
                    <w:autoSpaceDE w:val="0"/>
                    <w:autoSpaceDN w:val="0"/>
                    <w:adjustRightInd w:val="0"/>
                    <w:snapToGrid w:val="0"/>
                    <w:jc w:val="center"/>
                    <w:rPr>
                      <w:kern w:val="0"/>
                      <w:szCs w:val="21"/>
                    </w:rPr>
                  </w:pPr>
                  <w:r>
                    <w:rPr>
                      <w:rFonts w:hint="eastAsia"/>
                    </w:rPr>
                    <w:t>切实做好对遗鸥国家级自然保护区的保护。油房壕井田与保护区飞地实验区的重合区应划为禁采区，并在实验区周边留设宽度不低于500米的保护煤柱。加强对鸡沟河汇水通道的保护，确保汇水功能不受影响。在各井田开发之前，依托现有城镇，将受开采沉陷影响需要搬迁的居民提前搬迁安置。</w:t>
                  </w:r>
                </w:p>
              </w:tc>
              <w:tc>
                <w:tcPr>
                  <w:tcW w:w="1701" w:type="dxa"/>
                  <w:vAlign w:val="center"/>
                </w:tcPr>
                <w:p w14:paraId="29D9F2A0">
                  <w:pPr>
                    <w:autoSpaceDE w:val="0"/>
                    <w:autoSpaceDN w:val="0"/>
                    <w:adjustRightInd w:val="0"/>
                    <w:snapToGrid w:val="0"/>
                    <w:jc w:val="center"/>
                    <w:rPr>
                      <w:kern w:val="0"/>
                      <w:szCs w:val="21"/>
                    </w:rPr>
                  </w:pPr>
                  <w:r>
                    <w:rPr>
                      <w:rFonts w:hint="eastAsia"/>
                      <w:kern w:val="0"/>
                      <w:szCs w:val="21"/>
                    </w:rPr>
                    <w:t>根据油房壕煤矿环评，油房壕井田与保护区飞地实验区的重合区划为禁采区，并在实验区周边留设宽度为500米的保护煤柱；沉陷区土地治理率达到95%；植被恢复系数达到98%；林草覆盖率达到30%；水土流失总治理度达到95%；土壤流失控制比达到0.7；危害性滑坡、裂缝等沉陷灾害的治理率达到100%。在井田开发之前，依托泊江海子镇，将受开采沉陷影响需要搬迁的居民提前搬迁安置</w:t>
                  </w:r>
                </w:p>
              </w:tc>
              <w:tc>
                <w:tcPr>
                  <w:tcW w:w="916" w:type="dxa"/>
                  <w:vAlign w:val="center"/>
                </w:tcPr>
                <w:p w14:paraId="293D9E0C">
                  <w:pPr>
                    <w:autoSpaceDE w:val="0"/>
                    <w:autoSpaceDN w:val="0"/>
                    <w:adjustRightInd w:val="0"/>
                    <w:snapToGrid w:val="0"/>
                    <w:jc w:val="center"/>
                    <w:rPr>
                      <w:kern w:val="0"/>
                      <w:szCs w:val="21"/>
                    </w:rPr>
                  </w:pPr>
                  <w:r>
                    <w:rPr>
                      <w:rFonts w:hint="eastAsia"/>
                      <w:kern w:val="0"/>
                      <w:szCs w:val="21"/>
                    </w:rPr>
                    <w:t>符合</w:t>
                  </w:r>
                </w:p>
              </w:tc>
            </w:tr>
          </w:tbl>
          <w:p w14:paraId="0DE2024D">
            <w:pPr>
              <w:autoSpaceDE w:val="0"/>
              <w:autoSpaceDN w:val="0"/>
              <w:adjustRightInd w:val="0"/>
              <w:snapToGrid w:val="0"/>
              <w:spacing w:line="360" w:lineRule="auto"/>
              <w:ind w:firstLine="480" w:firstLineChars="200"/>
              <w:rPr>
                <w:kern w:val="0"/>
                <w:sz w:val="24"/>
              </w:rPr>
            </w:pPr>
            <w:r>
              <w:rPr>
                <w:rFonts w:hint="eastAsia"/>
                <w:kern w:val="0"/>
                <w:sz w:val="24"/>
              </w:rPr>
              <w:t>由上表可知，本项目符合规划环评审查意见的要求</w:t>
            </w:r>
          </w:p>
        </w:tc>
      </w:tr>
      <w:tr w14:paraId="6A2E71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030" w:type="pct"/>
            <w:vAlign w:val="center"/>
          </w:tcPr>
          <w:p w14:paraId="4F79DF53">
            <w:pPr>
              <w:autoSpaceDE w:val="0"/>
              <w:autoSpaceDN w:val="0"/>
              <w:adjustRightInd w:val="0"/>
              <w:snapToGrid w:val="0"/>
              <w:jc w:val="center"/>
              <w:rPr>
                <w:kern w:val="0"/>
                <w:sz w:val="24"/>
              </w:rPr>
            </w:pPr>
            <w:r>
              <w:rPr>
                <w:kern w:val="0"/>
                <w:sz w:val="24"/>
              </w:rPr>
              <w:t>其他符合性分析</w:t>
            </w:r>
          </w:p>
        </w:tc>
        <w:tc>
          <w:tcPr>
            <w:tcW w:w="3970" w:type="pct"/>
            <w:gridSpan w:val="3"/>
            <w:vAlign w:val="center"/>
          </w:tcPr>
          <w:p w14:paraId="11794667">
            <w:pPr>
              <w:adjustRightInd w:val="0"/>
              <w:snapToGrid w:val="0"/>
              <w:spacing w:line="360" w:lineRule="auto"/>
              <w:ind w:firstLine="482" w:firstLineChars="200"/>
              <w:rPr>
                <w:b/>
                <w:kern w:val="0"/>
                <w:sz w:val="24"/>
              </w:rPr>
            </w:pPr>
            <w:r>
              <w:rPr>
                <w:b/>
                <w:kern w:val="0"/>
                <w:sz w:val="24"/>
              </w:rPr>
              <w:t>1、产业政策符合性</w:t>
            </w:r>
          </w:p>
          <w:p w14:paraId="748E8953">
            <w:pPr>
              <w:adjustRightInd w:val="0"/>
              <w:snapToGrid w:val="0"/>
              <w:spacing w:line="360" w:lineRule="auto"/>
              <w:ind w:firstLine="480" w:firstLineChars="200"/>
              <w:rPr>
                <w:kern w:val="0"/>
                <w:sz w:val="24"/>
              </w:rPr>
            </w:pPr>
            <w:r>
              <w:rPr>
                <w:rFonts w:hint="eastAsia"/>
                <w:kern w:val="0"/>
                <w:sz w:val="24"/>
              </w:rPr>
              <w:t>对照《</w:t>
            </w:r>
            <w:r>
              <w:rPr>
                <w:kern w:val="0"/>
                <w:sz w:val="24"/>
              </w:rPr>
              <w:t>国民经济行业分类</w:t>
            </w:r>
            <w:r>
              <w:rPr>
                <w:rFonts w:hint="eastAsia"/>
                <w:kern w:val="0"/>
                <w:sz w:val="24"/>
              </w:rPr>
              <w:t>（</w:t>
            </w:r>
            <w:r>
              <w:rPr>
                <w:kern w:val="0"/>
                <w:sz w:val="24"/>
              </w:rPr>
              <w:t>GB/T 4754-2017</w:t>
            </w:r>
            <w:r>
              <w:rPr>
                <w:rFonts w:hint="eastAsia"/>
                <w:kern w:val="0"/>
                <w:sz w:val="24"/>
              </w:rPr>
              <w:t>）》，本项目属于D</w:t>
            </w:r>
            <w:r>
              <w:rPr>
                <w:kern w:val="0"/>
                <w:sz w:val="24"/>
              </w:rPr>
              <w:t>4430</w:t>
            </w:r>
            <w:r>
              <w:rPr>
                <w:rFonts w:hint="eastAsia"/>
                <w:kern w:val="0"/>
                <w:sz w:val="24"/>
              </w:rPr>
              <w:t>热力生产和供应，</w:t>
            </w:r>
            <w:r>
              <w:rPr>
                <w:kern w:val="0"/>
                <w:sz w:val="24"/>
              </w:rPr>
              <w:t>根据《产业结构调整指导目录（20</w:t>
            </w:r>
            <w:r>
              <w:rPr>
                <w:rFonts w:hint="eastAsia"/>
                <w:kern w:val="0"/>
                <w:sz w:val="24"/>
              </w:rPr>
              <w:t>24</w:t>
            </w:r>
            <w:r>
              <w:rPr>
                <w:kern w:val="0"/>
                <w:sz w:val="24"/>
              </w:rPr>
              <w:t>年本）》，</w:t>
            </w:r>
            <w:r>
              <w:rPr>
                <w:rFonts w:hint="eastAsia"/>
                <w:kern w:val="0"/>
                <w:sz w:val="24"/>
              </w:rPr>
              <w:t>本项目不属于其中规定的鼓励类、限制类和淘汰类，为允许类项目，</w:t>
            </w:r>
            <w:r>
              <w:rPr>
                <w:kern w:val="0"/>
                <w:sz w:val="24"/>
              </w:rPr>
              <w:t>符合国家的产业政策及要求。</w:t>
            </w:r>
            <w:bookmarkStart w:id="6" w:name="_Hlk151454637"/>
          </w:p>
          <w:p w14:paraId="17F9712F">
            <w:pPr>
              <w:adjustRightInd w:val="0"/>
              <w:snapToGrid w:val="0"/>
              <w:spacing w:line="360" w:lineRule="auto"/>
              <w:ind w:firstLine="480" w:firstLineChars="200"/>
              <w:rPr>
                <w:kern w:val="0"/>
                <w:sz w:val="24"/>
              </w:rPr>
            </w:pPr>
            <w:r>
              <w:rPr>
                <w:rFonts w:hint="eastAsia"/>
                <w:kern w:val="0"/>
                <w:sz w:val="24"/>
              </w:rPr>
              <w:t>综上所述，本项目符合国家产业政策。</w:t>
            </w:r>
          </w:p>
          <w:p w14:paraId="1B371FEE">
            <w:pPr>
              <w:adjustRightInd w:val="0"/>
              <w:snapToGrid w:val="0"/>
              <w:spacing w:line="360" w:lineRule="auto"/>
              <w:ind w:firstLine="482" w:firstLineChars="200"/>
              <w:rPr>
                <w:b/>
                <w:kern w:val="0"/>
                <w:sz w:val="24"/>
              </w:rPr>
            </w:pPr>
            <w:r>
              <w:rPr>
                <w:b/>
                <w:kern w:val="0"/>
                <w:sz w:val="24"/>
              </w:rPr>
              <w:t>2、选址合理性</w:t>
            </w:r>
          </w:p>
          <w:p w14:paraId="2CD09ACB">
            <w:pPr>
              <w:adjustRightInd w:val="0"/>
              <w:snapToGrid w:val="0"/>
              <w:spacing w:line="360" w:lineRule="auto"/>
              <w:ind w:firstLine="480" w:firstLineChars="200"/>
              <w:rPr>
                <w:kern w:val="0"/>
                <w:sz w:val="24"/>
              </w:rPr>
            </w:pPr>
            <w:bookmarkStart w:id="7" w:name="_Hlk151454383"/>
            <w:r>
              <w:rPr>
                <w:rFonts w:hint="eastAsia"/>
                <w:kern w:val="0"/>
                <w:sz w:val="24"/>
              </w:rPr>
              <w:t>本项目位于鄂尔多斯市东胜区泊尔江海子镇杭锦旗聚能能源有限公司油房壕煤矿工业场地范围内，无新增占地。项目符合矿区规划及环评审查意见要求，</w:t>
            </w:r>
            <w:bookmarkEnd w:id="6"/>
            <w:bookmarkEnd w:id="7"/>
            <w:r>
              <w:rPr>
                <w:rFonts w:hint="eastAsia"/>
                <w:kern w:val="0"/>
                <w:sz w:val="24"/>
              </w:rPr>
              <w:t>项目评价范围内无自然保护区、风景名胜区、文物保护单位、无珍稀植物及古树名木，不在饮用水水源保护区范围内。</w:t>
            </w:r>
            <w:r>
              <w:rPr>
                <w:rFonts w:hint="eastAsia"/>
                <w:bCs/>
                <w:kern w:val="0"/>
                <w:sz w:val="24"/>
              </w:rPr>
              <w:t>工业场地南侧为入场道路，北侧、东侧、西侧为空地</w:t>
            </w:r>
            <w:r>
              <w:rPr>
                <w:rFonts w:hint="eastAsia"/>
                <w:kern w:val="0"/>
                <w:sz w:val="24"/>
              </w:rPr>
              <w:t>。同时，施工过程中所需的各方面基础保障都能得到落实，自然条件和社会经济条件也均有利于该工程的顺利实施。同时本工程建设地点公路交通十分方便。因此，无论是项目所需建设材料还是设备运输均能得到可靠保障。</w:t>
            </w:r>
          </w:p>
          <w:p w14:paraId="59CF3376">
            <w:pPr>
              <w:adjustRightInd w:val="0"/>
              <w:snapToGrid w:val="0"/>
              <w:spacing w:line="360" w:lineRule="auto"/>
              <w:ind w:firstLine="480" w:firstLineChars="200"/>
              <w:rPr>
                <w:bCs/>
                <w:kern w:val="0"/>
                <w:sz w:val="24"/>
              </w:rPr>
            </w:pPr>
            <w:r>
              <w:rPr>
                <w:kern w:val="0"/>
                <w:sz w:val="24"/>
              </w:rPr>
              <w:t>项目运营后，</w:t>
            </w:r>
            <w:r>
              <w:rPr>
                <w:bCs/>
                <w:kern w:val="0"/>
                <w:sz w:val="24"/>
              </w:rPr>
              <w:t>本项目废气主要为</w:t>
            </w:r>
            <w:r>
              <w:rPr>
                <w:rFonts w:hint="eastAsia"/>
                <w:bCs/>
                <w:kern w:val="0"/>
                <w:sz w:val="24"/>
              </w:rPr>
              <w:t>锅炉烟气、煤仓、渣仓无组织废气，其中锅炉烟气炉内SNCR+3套SCR+3套旋风除尘+袋式除尘+1套氧化镁湿法脱硫处理，烟气由1根45m高排气筒（DA001）排放，锅炉烟气可满足《锅炉大气污染物排放标准》（GB13271-2014）表2中燃煤锅炉标准、氨逃逸满足《火电厂烟气脱硝工程技术规范 选择性催化还原法》（HJ563-2010）；煤仓、渣仓全封闭，满足《煤炭工业污染物排放标准》（GB20426-2006）表5煤炭工业无组织排放限值。</w:t>
            </w:r>
            <w:r>
              <w:rPr>
                <w:rFonts w:hint="eastAsia"/>
                <w:kern w:val="0"/>
                <w:sz w:val="24"/>
              </w:rPr>
              <w:t>通过采取以上措施，项目排放的废气对周围环境空气影响不大。项目产生的软水制备排污水、锅炉排污水回用至脱硫系统用做补充水；</w:t>
            </w:r>
            <w:r>
              <w:rPr>
                <w:kern w:val="0"/>
                <w:sz w:val="24"/>
              </w:rPr>
              <w:t>噪声经有效治理后可以做到厂界达标排放，不会对周边环境产生明显影响</w:t>
            </w:r>
            <w:r>
              <w:rPr>
                <w:rFonts w:hint="eastAsia"/>
                <w:kern w:val="0"/>
                <w:sz w:val="24"/>
              </w:rPr>
              <w:t>；项目废离子交换树脂定期更换时由厂家回收处理，锅炉灰渣立足于当地铺路或建材厂综合利用，脱硫副产物外售建材厂综合利用，废催化剂委托有资质单位处理，各固体废物可得到妥善处置</w:t>
            </w:r>
            <w:r>
              <w:rPr>
                <w:rFonts w:hint="eastAsia"/>
                <w:bCs/>
                <w:kern w:val="0"/>
                <w:sz w:val="24"/>
              </w:rPr>
              <w:t>。</w:t>
            </w:r>
          </w:p>
          <w:p w14:paraId="7CF62E46">
            <w:pPr>
              <w:adjustRightInd w:val="0"/>
              <w:snapToGrid w:val="0"/>
              <w:spacing w:line="360" w:lineRule="auto"/>
              <w:ind w:firstLine="480" w:firstLineChars="200"/>
              <w:rPr>
                <w:kern w:val="0"/>
                <w:sz w:val="24"/>
              </w:rPr>
            </w:pPr>
            <w:r>
              <w:rPr>
                <w:kern w:val="0"/>
                <w:sz w:val="24"/>
              </w:rPr>
              <w:t>因此，本项目建设不存在重大环境制约因素。</w:t>
            </w:r>
          </w:p>
          <w:p w14:paraId="0B5A2FAA">
            <w:pPr>
              <w:adjustRightInd w:val="0"/>
              <w:snapToGrid w:val="0"/>
              <w:spacing w:line="360" w:lineRule="auto"/>
              <w:ind w:firstLine="480" w:firstLineChars="200"/>
              <w:rPr>
                <w:kern w:val="0"/>
                <w:sz w:val="24"/>
              </w:rPr>
            </w:pPr>
            <w:r>
              <w:rPr>
                <w:kern w:val="0"/>
                <w:sz w:val="24"/>
              </w:rPr>
              <w:t>综上所述，从项目特点及所处地理位置和周围环境分析，本项目选址是合理可行的。</w:t>
            </w:r>
          </w:p>
          <w:p w14:paraId="1DE34688">
            <w:pPr>
              <w:adjustRightInd w:val="0"/>
              <w:snapToGrid w:val="0"/>
              <w:spacing w:line="360" w:lineRule="auto"/>
              <w:ind w:firstLine="482" w:firstLineChars="200"/>
              <w:rPr>
                <w:b/>
                <w:kern w:val="0"/>
                <w:sz w:val="24"/>
              </w:rPr>
            </w:pPr>
            <w:r>
              <w:rPr>
                <w:b/>
                <w:kern w:val="0"/>
                <w:sz w:val="24"/>
              </w:rPr>
              <w:t>3、</w:t>
            </w:r>
            <w:r>
              <w:rPr>
                <w:rFonts w:hint="eastAsia"/>
                <w:b/>
                <w:kern w:val="0"/>
                <w:sz w:val="24"/>
              </w:rPr>
              <w:t>鄂尔多斯市生态环境分区管控要求</w:t>
            </w:r>
            <w:r>
              <w:rPr>
                <w:b/>
                <w:kern w:val="0"/>
                <w:sz w:val="24"/>
              </w:rPr>
              <w:t>符合性分析</w:t>
            </w:r>
          </w:p>
          <w:p w14:paraId="37CFEF64">
            <w:pPr>
              <w:adjustRightInd w:val="0"/>
              <w:snapToGrid w:val="0"/>
              <w:spacing w:line="360" w:lineRule="auto"/>
              <w:ind w:firstLine="480" w:firstLineChars="200"/>
              <w:rPr>
                <w:kern w:val="0"/>
                <w:sz w:val="24"/>
              </w:rPr>
            </w:pPr>
            <w:r>
              <w:rPr>
                <w:rFonts w:hint="eastAsia"/>
                <w:kern w:val="0"/>
                <w:sz w:val="24"/>
              </w:rPr>
              <w:t>根据《鄂尔多斯市人民政府关于“三线一单”生态环境分区管控的实施意见》（鄂府发〔2021〕218号）以及《鄂尔多斯市生态环境分区管控动态更新成果(2023年版)》，全市按优先保护、重点管控、一般管控三大类划分为171个环境管控单元。其中，优先保护单元76个，面积占比64.35%；重点管控单元86个，面积占比28.10%；一般管控单元9个，面积占比7.56%。</w:t>
            </w:r>
          </w:p>
          <w:p w14:paraId="3F1FAAAB">
            <w:pPr>
              <w:adjustRightInd w:val="0"/>
              <w:snapToGrid w:val="0"/>
              <w:spacing w:line="360" w:lineRule="auto"/>
              <w:ind w:firstLine="480" w:firstLineChars="200"/>
              <w:rPr>
                <w:kern w:val="0"/>
                <w:sz w:val="24"/>
              </w:rPr>
            </w:pPr>
            <w:r>
              <w:rPr>
                <w:rFonts w:hint="eastAsia"/>
                <w:kern w:val="0"/>
                <w:sz w:val="24"/>
              </w:rPr>
              <w:t>本项目位于内蒙古自治区鄂尔多斯市东胜区泊尔江海子镇杭锦旗聚能能源有限公司油房壕煤矿工业场地范围内，根据鄂尔多斯市生态环境准入清单生态环境管控分区图（见附图），项目所在地属于重点管控单元，根据《鄂尔多斯市生态环境准入清单》及生态环境分区管控调整结果，本项目属于重点管控单元-塔然高勒矿区（编码</w:t>
            </w:r>
            <w:r>
              <w:rPr>
                <w:kern w:val="0"/>
                <w:sz w:val="24"/>
              </w:rPr>
              <w:t>ZH1506</w:t>
            </w:r>
            <w:r>
              <w:rPr>
                <w:rFonts w:hint="eastAsia"/>
                <w:kern w:val="0"/>
                <w:sz w:val="24"/>
              </w:rPr>
              <w:t>0220004）。</w:t>
            </w:r>
          </w:p>
          <w:p w14:paraId="28CD3B22">
            <w:pPr>
              <w:autoSpaceDE w:val="0"/>
              <w:autoSpaceDN w:val="0"/>
              <w:adjustRightInd w:val="0"/>
              <w:snapToGrid w:val="0"/>
              <w:spacing w:line="360" w:lineRule="auto"/>
              <w:ind w:firstLine="480" w:firstLineChars="200"/>
              <w:rPr>
                <w:kern w:val="0"/>
                <w:sz w:val="24"/>
              </w:rPr>
            </w:pPr>
            <w:r>
              <w:rPr>
                <w:rFonts w:hint="eastAsia"/>
                <w:kern w:val="0"/>
                <w:sz w:val="24"/>
              </w:rPr>
              <w:t>项目与鄂尔多斯市生态环境分区管控要求的符合性分析见下表。</w:t>
            </w:r>
          </w:p>
          <w:p w14:paraId="6462598C">
            <w:pPr>
              <w:jc w:val="center"/>
              <w:rPr>
                <w:b/>
                <w:bCs/>
                <w:szCs w:val="22"/>
              </w:rPr>
            </w:pPr>
            <w:r>
              <w:rPr>
                <w:b/>
                <w:bCs/>
                <w:szCs w:val="22"/>
              </w:rPr>
              <w:t>表1</w:t>
            </w:r>
            <w:r>
              <w:rPr>
                <w:rFonts w:hint="eastAsia"/>
                <w:b/>
                <w:bCs/>
                <w:szCs w:val="22"/>
              </w:rPr>
              <w:t>-</w:t>
            </w:r>
            <w:r>
              <w:rPr>
                <w:b/>
                <w:bCs/>
                <w:szCs w:val="22"/>
              </w:rPr>
              <w:t xml:space="preserve">3 </w:t>
            </w:r>
            <w:r>
              <w:rPr>
                <w:rFonts w:hint="eastAsia"/>
                <w:b/>
                <w:bCs/>
                <w:szCs w:val="22"/>
              </w:rPr>
              <w:t>与鄂尔多斯市生态环境分区管控</w:t>
            </w:r>
            <w:r>
              <w:rPr>
                <w:b/>
                <w:bCs/>
                <w:szCs w:val="22"/>
              </w:rPr>
              <w:t>要求符合性分析</w:t>
            </w:r>
            <w:r>
              <w:rPr>
                <w:rFonts w:hint="eastAsia"/>
                <w:b/>
                <w:bCs/>
                <w:szCs w:val="22"/>
              </w:rPr>
              <w:t>（摘要）</w:t>
            </w:r>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28" w:type="dxa"/>
                <w:bottom w:w="0" w:type="dxa"/>
                <w:right w:w="28" w:type="dxa"/>
              </w:tblCellMar>
            </w:tblPr>
            <w:tblGrid>
              <w:gridCol w:w="1077"/>
              <w:gridCol w:w="395"/>
              <w:gridCol w:w="3143"/>
              <w:gridCol w:w="1715"/>
              <w:gridCol w:w="424"/>
              <w:gridCol w:w="77"/>
            </w:tblGrid>
            <w:tr w14:paraId="35D768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56" w:type="pct"/>
                <w:trHeight w:val="397" w:hRule="atLeast"/>
                <w:jc w:val="center"/>
              </w:trPr>
              <w:tc>
                <w:tcPr>
                  <w:tcW w:w="789" w:type="pct"/>
                  <w:vAlign w:val="center"/>
                </w:tcPr>
                <w:p w14:paraId="3BF42AAD">
                  <w:pPr>
                    <w:autoSpaceDE w:val="0"/>
                    <w:autoSpaceDN w:val="0"/>
                    <w:adjustRightInd w:val="0"/>
                    <w:snapToGrid w:val="0"/>
                    <w:jc w:val="center"/>
                    <w:rPr>
                      <w:kern w:val="0"/>
                      <w:szCs w:val="21"/>
                    </w:rPr>
                  </w:pPr>
                  <w:r>
                    <w:rPr>
                      <w:rFonts w:hint="eastAsia"/>
                      <w:kern w:val="0"/>
                      <w:szCs w:val="21"/>
                    </w:rPr>
                    <w:t>项目</w:t>
                  </w:r>
                </w:p>
              </w:tc>
              <w:tc>
                <w:tcPr>
                  <w:tcW w:w="2589" w:type="pct"/>
                  <w:gridSpan w:val="2"/>
                  <w:vAlign w:val="center"/>
                </w:tcPr>
                <w:p w14:paraId="2116094A">
                  <w:pPr>
                    <w:autoSpaceDE w:val="0"/>
                    <w:autoSpaceDN w:val="0"/>
                    <w:adjustRightInd w:val="0"/>
                    <w:snapToGrid w:val="0"/>
                    <w:jc w:val="center"/>
                    <w:rPr>
                      <w:kern w:val="0"/>
                      <w:szCs w:val="21"/>
                    </w:rPr>
                  </w:pPr>
                  <w:r>
                    <w:rPr>
                      <w:rFonts w:hint="eastAsia"/>
                      <w:kern w:val="0"/>
                      <w:szCs w:val="21"/>
                    </w:rPr>
                    <w:t>生态环境分区管控</w:t>
                  </w:r>
                  <w:r>
                    <w:rPr>
                      <w:kern w:val="0"/>
                      <w:szCs w:val="21"/>
                    </w:rPr>
                    <w:t>要求</w:t>
                  </w:r>
                </w:p>
              </w:tc>
              <w:tc>
                <w:tcPr>
                  <w:tcW w:w="1255" w:type="pct"/>
                  <w:vAlign w:val="center"/>
                </w:tcPr>
                <w:p w14:paraId="656F1893">
                  <w:pPr>
                    <w:autoSpaceDE w:val="0"/>
                    <w:autoSpaceDN w:val="0"/>
                    <w:adjustRightInd w:val="0"/>
                    <w:snapToGrid w:val="0"/>
                    <w:jc w:val="center"/>
                    <w:rPr>
                      <w:kern w:val="0"/>
                      <w:szCs w:val="21"/>
                    </w:rPr>
                  </w:pPr>
                  <w:r>
                    <w:rPr>
                      <w:kern w:val="0"/>
                      <w:szCs w:val="21"/>
                    </w:rPr>
                    <w:t>本项目情况</w:t>
                  </w:r>
                </w:p>
              </w:tc>
              <w:tc>
                <w:tcPr>
                  <w:tcW w:w="310" w:type="pct"/>
                  <w:vAlign w:val="center"/>
                </w:tcPr>
                <w:p w14:paraId="720E9E2F">
                  <w:pPr>
                    <w:autoSpaceDE w:val="0"/>
                    <w:autoSpaceDN w:val="0"/>
                    <w:adjustRightInd w:val="0"/>
                    <w:snapToGrid w:val="0"/>
                    <w:jc w:val="center"/>
                    <w:rPr>
                      <w:kern w:val="0"/>
                      <w:szCs w:val="21"/>
                    </w:rPr>
                  </w:pPr>
                  <w:r>
                    <w:rPr>
                      <w:kern w:val="0"/>
                      <w:szCs w:val="21"/>
                    </w:rPr>
                    <w:t>符合性</w:t>
                  </w:r>
                </w:p>
              </w:tc>
            </w:tr>
            <w:tr w14:paraId="6C51E9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56" w:type="pct"/>
                <w:trHeight w:val="393" w:hRule="atLeast"/>
                <w:jc w:val="center"/>
              </w:trPr>
              <w:tc>
                <w:tcPr>
                  <w:tcW w:w="789" w:type="pct"/>
                  <w:vAlign w:val="center"/>
                </w:tcPr>
                <w:p w14:paraId="23D6F157">
                  <w:pPr>
                    <w:autoSpaceDE w:val="0"/>
                    <w:autoSpaceDN w:val="0"/>
                    <w:adjustRightInd w:val="0"/>
                    <w:snapToGrid w:val="0"/>
                    <w:jc w:val="center"/>
                    <w:rPr>
                      <w:kern w:val="0"/>
                      <w:szCs w:val="21"/>
                    </w:rPr>
                  </w:pPr>
                  <w:r>
                    <w:rPr>
                      <w:kern w:val="0"/>
                      <w:szCs w:val="21"/>
                    </w:rPr>
                    <w:t>生态保护红线</w:t>
                  </w:r>
                </w:p>
              </w:tc>
              <w:tc>
                <w:tcPr>
                  <w:tcW w:w="2589" w:type="pct"/>
                  <w:gridSpan w:val="2"/>
                  <w:vAlign w:val="center"/>
                </w:tcPr>
                <w:p w14:paraId="07F55733">
                  <w:pPr>
                    <w:autoSpaceDE w:val="0"/>
                    <w:autoSpaceDN w:val="0"/>
                    <w:adjustRightInd w:val="0"/>
                    <w:snapToGrid w:val="0"/>
                    <w:jc w:val="center"/>
                    <w:rPr>
                      <w:kern w:val="0"/>
                      <w:szCs w:val="21"/>
                    </w:rPr>
                  </w:pPr>
                  <w:r>
                    <w:rPr>
                      <w:rFonts w:hint="eastAsia"/>
                      <w:bCs/>
                      <w:kern w:val="0"/>
                      <w:szCs w:val="21"/>
                    </w:rPr>
                    <w:t>根据《鄂尔多斯市人民政府关于“三线一单”生态环境分区管控的实施意见》（鄂府发〔2021〕218号）以及《鄂尔多斯市生态环境分区管控动态更新成果(2023年版)》，全市按优先保护、重点管控、一般管控三大类划分为171个环境管控单元。其中，优先保护单元76个，面积占比64.35%；重点管控单元86个，面积占比28.10%；一般管控单元9个，面积占比7.56%。</w:t>
                  </w:r>
                </w:p>
              </w:tc>
              <w:tc>
                <w:tcPr>
                  <w:tcW w:w="1255" w:type="pct"/>
                  <w:vAlign w:val="center"/>
                </w:tcPr>
                <w:p w14:paraId="6A1EE2AB">
                  <w:pPr>
                    <w:autoSpaceDE w:val="0"/>
                    <w:autoSpaceDN w:val="0"/>
                    <w:adjustRightInd w:val="0"/>
                    <w:snapToGrid w:val="0"/>
                    <w:jc w:val="center"/>
                    <w:rPr>
                      <w:kern w:val="0"/>
                      <w:szCs w:val="21"/>
                    </w:rPr>
                  </w:pPr>
                  <w:r>
                    <w:rPr>
                      <w:kern w:val="0"/>
                      <w:szCs w:val="21"/>
                    </w:rPr>
                    <w:t>本项目位于</w:t>
                  </w:r>
                  <w:r>
                    <w:rPr>
                      <w:rFonts w:hint="eastAsia"/>
                      <w:bCs/>
                      <w:kern w:val="0"/>
                      <w:szCs w:val="21"/>
                    </w:rPr>
                    <w:t>内蒙古自治区鄂尔多斯市东胜区泊尔江海子镇杭锦旗聚能能源有限公司油房壕煤矿工业场地范围内</w:t>
                  </w:r>
                  <w:r>
                    <w:rPr>
                      <w:kern w:val="0"/>
                      <w:szCs w:val="21"/>
                    </w:rPr>
                    <w:t>，</w:t>
                  </w:r>
                  <w:r>
                    <w:rPr>
                      <w:bCs/>
                      <w:kern w:val="0"/>
                      <w:szCs w:val="21"/>
                    </w:rPr>
                    <w:t>根据鄂尔多斯市</w:t>
                  </w:r>
                  <w:r>
                    <w:rPr>
                      <w:rFonts w:hint="eastAsia"/>
                      <w:bCs/>
                      <w:kern w:val="0"/>
                      <w:szCs w:val="21"/>
                    </w:rPr>
                    <w:t>环境</w:t>
                  </w:r>
                  <w:r>
                    <w:rPr>
                      <w:bCs/>
                      <w:kern w:val="0"/>
                      <w:szCs w:val="21"/>
                    </w:rPr>
                    <w:t>管控分区图（见</w:t>
                  </w:r>
                  <w:r>
                    <w:rPr>
                      <w:rFonts w:hint="eastAsia"/>
                      <w:bCs/>
                      <w:kern w:val="0"/>
                      <w:szCs w:val="21"/>
                    </w:rPr>
                    <w:t>附图</w:t>
                  </w:r>
                  <w:r>
                    <w:rPr>
                      <w:bCs/>
                      <w:kern w:val="0"/>
                      <w:szCs w:val="21"/>
                    </w:rPr>
                    <w:t>），项目地</w:t>
                  </w:r>
                  <w:r>
                    <w:rPr>
                      <w:kern w:val="0"/>
                      <w:szCs w:val="21"/>
                    </w:rPr>
                    <w:t>属于重点管控单元。本项目不在自然保护区、风景名胜区、饮用水水源保护区及其他需要特殊保护的区域，项目运行后落实报告提出的各项防治措施后对生态环境影响</w:t>
                  </w:r>
                  <w:r>
                    <w:rPr>
                      <w:rFonts w:hint="eastAsia"/>
                      <w:kern w:val="0"/>
                      <w:szCs w:val="21"/>
                    </w:rPr>
                    <w:t>较小</w:t>
                  </w:r>
                  <w:r>
                    <w:rPr>
                      <w:kern w:val="0"/>
                      <w:szCs w:val="21"/>
                    </w:rPr>
                    <w:t>，符合生态保护红线的要求。</w:t>
                  </w:r>
                </w:p>
              </w:tc>
              <w:tc>
                <w:tcPr>
                  <w:tcW w:w="310" w:type="pct"/>
                  <w:vAlign w:val="center"/>
                </w:tcPr>
                <w:p w14:paraId="3DEA9B3B">
                  <w:pPr>
                    <w:autoSpaceDE w:val="0"/>
                    <w:autoSpaceDN w:val="0"/>
                    <w:adjustRightInd w:val="0"/>
                    <w:snapToGrid w:val="0"/>
                    <w:jc w:val="center"/>
                    <w:rPr>
                      <w:kern w:val="0"/>
                      <w:szCs w:val="21"/>
                    </w:rPr>
                  </w:pPr>
                  <w:r>
                    <w:rPr>
                      <w:kern w:val="0"/>
                      <w:szCs w:val="21"/>
                    </w:rPr>
                    <w:t>符合</w:t>
                  </w:r>
                </w:p>
              </w:tc>
            </w:tr>
            <w:tr w14:paraId="6036CA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56" w:type="pct"/>
                <w:trHeight w:val="3583" w:hRule="atLeast"/>
                <w:jc w:val="center"/>
              </w:trPr>
              <w:tc>
                <w:tcPr>
                  <w:tcW w:w="789" w:type="pct"/>
                  <w:vAlign w:val="center"/>
                </w:tcPr>
                <w:p w14:paraId="1D77766B">
                  <w:pPr>
                    <w:autoSpaceDE w:val="0"/>
                    <w:autoSpaceDN w:val="0"/>
                    <w:adjustRightInd w:val="0"/>
                    <w:snapToGrid w:val="0"/>
                    <w:jc w:val="center"/>
                    <w:rPr>
                      <w:kern w:val="0"/>
                      <w:szCs w:val="21"/>
                    </w:rPr>
                  </w:pPr>
                  <w:r>
                    <w:rPr>
                      <w:kern w:val="0"/>
                      <w:szCs w:val="21"/>
                    </w:rPr>
                    <w:t>环境质量底线</w:t>
                  </w:r>
                </w:p>
              </w:tc>
              <w:tc>
                <w:tcPr>
                  <w:tcW w:w="2589" w:type="pct"/>
                  <w:gridSpan w:val="2"/>
                  <w:vAlign w:val="center"/>
                </w:tcPr>
                <w:p w14:paraId="0B06B33A">
                  <w:pPr>
                    <w:autoSpaceDE w:val="0"/>
                    <w:autoSpaceDN w:val="0"/>
                    <w:adjustRightInd w:val="0"/>
                    <w:snapToGrid w:val="0"/>
                    <w:jc w:val="center"/>
                    <w:rPr>
                      <w:kern w:val="0"/>
                      <w:szCs w:val="21"/>
                    </w:rPr>
                  </w:pPr>
                  <w:r>
                    <w:rPr>
                      <w:bCs/>
                      <w:kern w:val="0"/>
                      <w:szCs w:val="21"/>
                    </w:rPr>
                    <w:t>根据《鄂尔多斯市人民政府关于“三线一单”生态环境分区管控的实施意见》（鄂府发〔2021〕218号）：“全市空气质量持续改善，力争PM</w:t>
                  </w:r>
                  <w:r>
                    <w:rPr>
                      <w:bCs/>
                      <w:kern w:val="0"/>
                      <w:szCs w:val="21"/>
                      <w:vertAlign w:val="subscript"/>
                    </w:rPr>
                    <w:t>2.5</w:t>
                  </w:r>
                  <w:r>
                    <w:rPr>
                      <w:bCs/>
                      <w:kern w:val="0"/>
                      <w:szCs w:val="21"/>
                    </w:rPr>
                    <w:t>平均浓度不大于30微克/立方米。到2025年，全市水环境质量持续改善，国控断面地表水优良比例达到87%，消除劣Ⅴ类断面，城市集中式饮用水水源达到或优于III类比例达到100%（除本底值超标外）。全市受污染耕地安全利用率达到98%以上，污染地块安全利用率达到90%以上”。</w:t>
                  </w:r>
                </w:p>
              </w:tc>
              <w:tc>
                <w:tcPr>
                  <w:tcW w:w="1255" w:type="pct"/>
                  <w:vAlign w:val="center"/>
                </w:tcPr>
                <w:p w14:paraId="1B166F12">
                  <w:pPr>
                    <w:autoSpaceDE w:val="0"/>
                    <w:autoSpaceDN w:val="0"/>
                    <w:adjustRightInd w:val="0"/>
                    <w:snapToGrid w:val="0"/>
                    <w:jc w:val="center"/>
                    <w:rPr>
                      <w:kern w:val="0"/>
                      <w:szCs w:val="21"/>
                    </w:rPr>
                  </w:pPr>
                  <w:r>
                    <w:rPr>
                      <w:kern w:val="0"/>
                      <w:szCs w:val="21"/>
                    </w:rPr>
                    <w:t>项目所在地区域大气环境质量能够满足《环境空气质量标准》（GB3095-2012）二级标准，项目</w:t>
                  </w:r>
                  <w:r>
                    <w:rPr>
                      <w:rFonts w:hint="eastAsia"/>
                      <w:kern w:val="0"/>
                      <w:szCs w:val="21"/>
                    </w:rPr>
                    <w:t>颗粒物排放量较小、不涉及污染耕地或地块利用。</w:t>
                  </w:r>
                  <w:r>
                    <w:rPr>
                      <w:kern w:val="0"/>
                      <w:szCs w:val="21"/>
                    </w:rPr>
                    <w:t>因此，项目的建设满足当地环境质量底线要求。</w:t>
                  </w:r>
                </w:p>
              </w:tc>
              <w:tc>
                <w:tcPr>
                  <w:tcW w:w="310" w:type="pct"/>
                  <w:vAlign w:val="center"/>
                </w:tcPr>
                <w:p w14:paraId="46AFC574">
                  <w:pPr>
                    <w:autoSpaceDE w:val="0"/>
                    <w:autoSpaceDN w:val="0"/>
                    <w:adjustRightInd w:val="0"/>
                    <w:snapToGrid w:val="0"/>
                    <w:jc w:val="center"/>
                    <w:rPr>
                      <w:kern w:val="0"/>
                      <w:szCs w:val="21"/>
                    </w:rPr>
                  </w:pPr>
                  <w:r>
                    <w:rPr>
                      <w:kern w:val="0"/>
                      <w:szCs w:val="21"/>
                    </w:rPr>
                    <w:t>符合</w:t>
                  </w:r>
                </w:p>
              </w:tc>
            </w:tr>
            <w:tr w14:paraId="77D7F3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gridAfter w:val="1"/>
                <w:wAfter w:w="56" w:type="pct"/>
                <w:trHeight w:val="567" w:hRule="atLeast"/>
                <w:jc w:val="center"/>
              </w:trPr>
              <w:tc>
                <w:tcPr>
                  <w:tcW w:w="789" w:type="pct"/>
                  <w:vAlign w:val="center"/>
                </w:tcPr>
                <w:p w14:paraId="31096EDE">
                  <w:pPr>
                    <w:autoSpaceDE w:val="0"/>
                    <w:autoSpaceDN w:val="0"/>
                    <w:adjustRightInd w:val="0"/>
                    <w:snapToGrid w:val="0"/>
                    <w:jc w:val="center"/>
                    <w:rPr>
                      <w:kern w:val="0"/>
                      <w:szCs w:val="21"/>
                    </w:rPr>
                  </w:pPr>
                  <w:r>
                    <w:rPr>
                      <w:kern w:val="0"/>
                      <w:szCs w:val="21"/>
                    </w:rPr>
                    <w:t>资源利用上线</w:t>
                  </w:r>
                </w:p>
              </w:tc>
              <w:tc>
                <w:tcPr>
                  <w:tcW w:w="2589" w:type="pct"/>
                  <w:gridSpan w:val="2"/>
                  <w:vAlign w:val="center"/>
                </w:tcPr>
                <w:p w14:paraId="51EEFA56">
                  <w:pPr>
                    <w:autoSpaceDE w:val="0"/>
                    <w:autoSpaceDN w:val="0"/>
                    <w:adjustRightInd w:val="0"/>
                    <w:snapToGrid w:val="0"/>
                    <w:jc w:val="center"/>
                    <w:rPr>
                      <w:kern w:val="0"/>
                      <w:szCs w:val="21"/>
                    </w:rPr>
                  </w:pPr>
                  <w:r>
                    <w:rPr>
                      <w:bCs/>
                      <w:kern w:val="0"/>
                      <w:szCs w:val="21"/>
                    </w:rPr>
                    <w:t>根据《鄂尔多斯市人民政府关于“三线一单”生态环境分区管控的实施意见》（鄂府发〔2021〕218号）：“到2025年，全市国土空间开发强度、能源消费总量得到合理控制。到2030年，全市用水总量控制在19.94亿立方米以内。到2035年，全市生态环境质量实现根本好转，水、大气、土壤环境质量全面改善，节约资源和保护生态环境的空间格局、产业结构、生产方式、生活方式总体形成，我国北方重要生态安全屏障更加牢固，美丽鄂尔多斯目标基本实现”。</w:t>
                  </w:r>
                </w:p>
              </w:tc>
              <w:tc>
                <w:tcPr>
                  <w:tcW w:w="1255" w:type="pct"/>
                  <w:vAlign w:val="center"/>
                </w:tcPr>
                <w:p w14:paraId="58069E37">
                  <w:pPr>
                    <w:autoSpaceDE w:val="0"/>
                    <w:autoSpaceDN w:val="0"/>
                    <w:adjustRightInd w:val="0"/>
                    <w:snapToGrid w:val="0"/>
                    <w:jc w:val="center"/>
                    <w:rPr>
                      <w:kern w:val="0"/>
                      <w:szCs w:val="21"/>
                    </w:rPr>
                  </w:pPr>
                  <w:r>
                    <w:rPr>
                      <w:rFonts w:hint="eastAsia"/>
                      <w:kern w:val="0"/>
                      <w:szCs w:val="21"/>
                    </w:rPr>
                    <w:t>本项目为改扩建项目，建成后会消耗一定的水、电、土地等资源，但用量相对较少，不会超出当地资源利用上线要求。</w:t>
                  </w:r>
                </w:p>
              </w:tc>
              <w:tc>
                <w:tcPr>
                  <w:tcW w:w="310" w:type="pct"/>
                  <w:vAlign w:val="center"/>
                </w:tcPr>
                <w:p w14:paraId="10F0902E">
                  <w:pPr>
                    <w:autoSpaceDE w:val="0"/>
                    <w:autoSpaceDN w:val="0"/>
                    <w:adjustRightInd w:val="0"/>
                    <w:snapToGrid w:val="0"/>
                    <w:jc w:val="center"/>
                    <w:rPr>
                      <w:kern w:val="0"/>
                      <w:szCs w:val="21"/>
                    </w:rPr>
                  </w:pPr>
                  <w:r>
                    <w:rPr>
                      <w:kern w:val="0"/>
                      <w:szCs w:val="21"/>
                    </w:rPr>
                    <w:t>符合</w:t>
                  </w:r>
                </w:p>
              </w:tc>
            </w:tr>
            <w:tr w14:paraId="0D4AA5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1102" w:hRule="atLeast"/>
                <w:jc w:val="center"/>
              </w:trPr>
              <w:tc>
                <w:tcPr>
                  <w:tcW w:w="789" w:type="pct"/>
                  <w:vAlign w:val="center"/>
                </w:tcPr>
                <w:p w14:paraId="147EB7BA">
                  <w:pPr>
                    <w:autoSpaceDE w:val="0"/>
                    <w:autoSpaceDN w:val="0"/>
                    <w:adjustRightInd w:val="0"/>
                    <w:snapToGrid w:val="0"/>
                    <w:jc w:val="center"/>
                    <w:rPr>
                      <w:kern w:val="0"/>
                      <w:szCs w:val="21"/>
                    </w:rPr>
                  </w:pPr>
                  <w:r>
                    <w:rPr>
                      <w:rFonts w:hint="eastAsia"/>
                      <w:kern w:val="0"/>
                      <w:szCs w:val="21"/>
                    </w:rPr>
                    <w:t>生态环境准入清单</w:t>
                  </w:r>
                </w:p>
                <w:p w14:paraId="5C5B263F">
                  <w:pPr>
                    <w:autoSpaceDE w:val="0"/>
                    <w:autoSpaceDN w:val="0"/>
                    <w:adjustRightInd w:val="0"/>
                    <w:snapToGrid w:val="0"/>
                    <w:jc w:val="center"/>
                    <w:rPr>
                      <w:kern w:val="0"/>
                      <w:szCs w:val="21"/>
                    </w:rPr>
                  </w:pPr>
                  <w:r>
                    <w:rPr>
                      <w:rFonts w:hint="eastAsia"/>
                      <w:kern w:val="0"/>
                      <w:szCs w:val="21"/>
                    </w:rPr>
                    <w:t>（ZH15060</w:t>
                  </w:r>
                </w:p>
                <w:p w14:paraId="627E6249">
                  <w:pPr>
                    <w:autoSpaceDE w:val="0"/>
                    <w:autoSpaceDN w:val="0"/>
                    <w:adjustRightInd w:val="0"/>
                    <w:snapToGrid w:val="0"/>
                    <w:jc w:val="center"/>
                    <w:rPr>
                      <w:kern w:val="0"/>
                      <w:szCs w:val="21"/>
                    </w:rPr>
                  </w:pPr>
                  <w:r>
                    <w:rPr>
                      <w:rFonts w:hint="eastAsia"/>
                      <w:kern w:val="0"/>
                      <w:szCs w:val="21"/>
                    </w:rPr>
                    <w:t>220004）</w:t>
                  </w:r>
                </w:p>
              </w:tc>
              <w:tc>
                <w:tcPr>
                  <w:tcW w:w="289" w:type="pct"/>
                  <w:vAlign w:val="center"/>
                </w:tcPr>
                <w:p w14:paraId="258D8448">
                  <w:pPr>
                    <w:autoSpaceDE w:val="0"/>
                    <w:autoSpaceDN w:val="0"/>
                    <w:adjustRightInd w:val="0"/>
                    <w:snapToGrid w:val="0"/>
                    <w:jc w:val="center"/>
                    <w:rPr>
                      <w:kern w:val="0"/>
                      <w:szCs w:val="21"/>
                    </w:rPr>
                  </w:pPr>
                  <w:r>
                    <w:rPr>
                      <w:rFonts w:hint="eastAsia"/>
                      <w:kern w:val="0"/>
                      <w:szCs w:val="21"/>
                    </w:rPr>
                    <w:t>资源利用效率要求</w:t>
                  </w:r>
                </w:p>
              </w:tc>
              <w:tc>
                <w:tcPr>
                  <w:tcW w:w="2300" w:type="pct"/>
                  <w:vAlign w:val="center"/>
                </w:tcPr>
                <w:p w14:paraId="07D067C1">
                  <w:pPr>
                    <w:autoSpaceDE w:val="0"/>
                    <w:autoSpaceDN w:val="0"/>
                    <w:adjustRightInd w:val="0"/>
                    <w:snapToGrid w:val="0"/>
                    <w:jc w:val="center"/>
                    <w:rPr>
                      <w:kern w:val="0"/>
                      <w:szCs w:val="21"/>
                    </w:rPr>
                  </w:pPr>
                  <w:r>
                    <w:rPr>
                      <w:rFonts w:hint="eastAsia"/>
                      <w:kern w:val="0"/>
                      <w:szCs w:val="21"/>
                    </w:rPr>
                    <w:t>1.原煤入选率不低于75%；煤矸石综合利用率应达到75%以上；矿井水、疏干水应采用洁净化、资源化技术和工艺进行合理处置，处置率达到100%。</w:t>
                  </w:r>
                </w:p>
                <w:p w14:paraId="53F6C883">
                  <w:pPr>
                    <w:autoSpaceDE w:val="0"/>
                    <w:autoSpaceDN w:val="0"/>
                    <w:adjustRightInd w:val="0"/>
                    <w:snapToGrid w:val="0"/>
                    <w:jc w:val="center"/>
                    <w:rPr>
                      <w:kern w:val="0"/>
                      <w:szCs w:val="21"/>
                    </w:rPr>
                  </w:pPr>
                  <w:r>
                    <w:rPr>
                      <w:rFonts w:hint="eastAsia"/>
                      <w:kern w:val="0"/>
                      <w:szCs w:val="21"/>
                    </w:rPr>
                    <w:t>2.煤矿采区回采率、原煤入选率、煤矸石与共伴生矿产资源综合利用率等三项指标符合自然资源部发布的《煤炭资源合理开发利用“三率”指标要求(试行)》。</w:t>
                  </w:r>
                </w:p>
                <w:p w14:paraId="3892B505">
                  <w:pPr>
                    <w:autoSpaceDE w:val="0"/>
                    <w:autoSpaceDN w:val="0"/>
                    <w:adjustRightInd w:val="0"/>
                    <w:snapToGrid w:val="0"/>
                    <w:jc w:val="center"/>
                    <w:rPr>
                      <w:kern w:val="0"/>
                      <w:szCs w:val="21"/>
                    </w:rPr>
                  </w:pPr>
                  <w:r>
                    <w:rPr>
                      <w:rFonts w:hint="eastAsia"/>
                      <w:kern w:val="0"/>
                      <w:szCs w:val="21"/>
                    </w:rPr>
                    <w:t>3.严格执行取用水总量控制制度，推进矿井水综合利用，煤炭矿区的补充用水、周边地区生产和生态用水应优先使用矿井水，加强洗煤废水循环利用。</w:t>
                  </w:r>
                </w:p>
                <w:p w14:paraId="41187800">
                  <w:pPr>
                    <w:autoSpaceDE w:val="0"/>
                    <w:autoSpaceDN w:val="0"/>
                    <w:adjustRightInd w:val="0"/>
                    <w:snapToGrid w:val="0"/>
                    <w:jc w:val="center"/>
                    <w:rPr>
                      <w:kern w:val="0"/>
                      <w:szCs w:val="21"/>
                    </w:rPr>
                  </w:pPr>
                  <w:r>
                    <w:rPr>
                      <w:rFonts w:hint="eastAsia"/>
                      <w:kern w:val="0"/>
                      <w:szCs w:val="21"/>
                    </w:rPr>
                    <w:t>4.限制勘查开发过程中对环境破坏较大的砂金等重砂矿物，原则上不再新设勘查项目，确需新立的必须通过环境影响评估，并征得环保部门同意。禁止勘查超贫磁铁矿</w:t>
                  </w:r>
                </w:p>
              </w:tc>
              <w:tc>
                <w:tcPr>
                  <w:tcW w:w="1255" w:type="pct"/>
                  <w:vAlign w:val="center"/>
                </w:tcPr>
                <w:p w14:paraId="62C07A87">
                  <w:pPr>
                    <w:autoSpaceDE w:val="0"/>
                    <w:autoSpaceDN w:val="0"/>
                    <w:adjustRightInd w:val="0"/>
                    <w:snapToGrid w:val="0"/>
                    <w:jc w:val="center"/>
                    <w:rPr>
                      <w:kern w:val="0"/>
                      <w:szCs w:val="21"/>
                    </w:rPr>
                  </w:pPr>
                  <w:r>
                    <w:rPr>
                      <w:rFonts w:hint="eastAsia"/>
                      <w:kern w:val="0"/>
                      <w:szCs w:val="21"/>
                    </w:rPr>
                    <w:t>本项目是油房壕煤矿的一项附属工程，主要建设3台20t/h的燃煤蒸汽锅炉及其他配套工程，不涉及井田开发；项目用水为经处理后的矿井水，生产废水全部回用，不外排</w:t>
                  </w:r>
                </w:p>
              </w:tc>
              <w:tc>
                <w:tcPr>
                  <w:tcW w:w="366" w:type="pct"/>
                  <w:gridSpan w:val="2"/>
                  <w:vAlign w:val="center"/>
                </w:tcPr>
                <w:p w14:paraId="0D2987C7">
                  <w:pPr>
                    <w:autoSpaceDE w:val="0"/>
                    <w:autoSpaceDN w:val="0"/>
                    <w:adjustRightInd w:val="0"/>
                    <w:snapToGrid w:val="0"/>
                    <w:jc w:val="center"/>
                    <w:rPr>
                      <w:kern w:val="0"/>
                      <w:szCs w:val="21"/>
                    </w:rPr>
                  </w:pPr>
                  <w:r>
                    <w:rPr>
                      <w:kern w:val="0"/>
                      <w:szCs w:val="21"/>
                    </w:rPr>
                    <w:t>符合</w:t>
                  </w:r>
                </w:p>
              </w:tc>
            </w:tr>
          </w:tbl>
          <w:p w14:paraId="2B120CB2">
            <w:pPr>
              <w:autoSpaceDE w:val="0"/>
              <w:autoSpaceDN w:val="0"/>
              <w:adjustRightInd w:val="0"/>
              <w:snapToGrid w:val="0"/>
              <w:spacing w:line="360" w:lineRule="auto"/>
              <w:ind w:firstLine="480" w:firstLineChars="200"/>
              <w:rPr>
                <w:kern w:val="0"/>
                <w:sz w:val="24"/>
              </w:rPr>
            </w:pPr>
            <w:r>
              <w:rPr>
                <w:kern w:val="0"/>
                <w:sz w:val="24"/>
              </w:rPr>
              <w:t>综上所述，项目的建设符合</w:t>
            </w:r>
            <w:r>
              <w:rPr>
                <w:rFonts w:hint="eastAsia"/>
                <w:kern w:val="0"/>
                <w:sz w:val="24"/>
              </w:rPr>
              <w:t>鄂尔多斯市生态环境分区管控</w:t>
            </w:r>
            <w:r>
              <w:rPr>
                <w:kern w:val="0"/>
                <w:sz w:val="24"/>
              </w:rPr>
              <w:t>要求。</w:t>
            </w:r>
          </w:p>
          <w:p w14:paraId="4C803CDC">
            <w:pPr>
              <w:autoSpaceDE w:val="0"/>
              <w:autoSpaceDN w:val="0"/>
              <w:adjustRightInd w:val="0"/>
              <w:snapToGrid w:val="0"/>
              <w:spacing w:line="360" w:lineRule="auto"/>
              <w:ind w:firstLine="482" w:firstLineChars="200"/>
              <w:rPr>
                <w:b/>
                <w:kern w:val="0"/>
                <w:sz w:val="24"/>
              </w:rPr>
            </w:pPr>
            <w:r>
              <w:rPr>
                <w:rFonts w:hint="eastAsia"/>
                <w:b/>
                <w:kern w:val="0"/>
                <w:sz w:val="24"/>
              </w:rPr>
              <w:t>4</w:t>
            </w:r>
            <w:r>
              <w:rPr>
                <w:b/>
                <w:kern w:val="0"/>
                <w:sz w:val="24"/>
              </w:rPr>
              <w:t>、</w:t>
            </w:r>
            <w:r>
              <w:rPr>
                <w:rFonts w:hint="eastAsia"/>
                <w:b/>
                <w:kern w:val="0"/>
                <w:sz w:val="24"/>
              </w:rPr>
              <w:t>与《</w:t>
            </w:r>
            <w:r>
              <w:rPr>
                <w:rFonts w:hint="eastAsia"/>
                <w:b/>
                <w:bCs/>
                <w:kern w:val="0"/>
                <w:sz w:val="24"/>
              </w:rPr>
              <w:t>内蒙古自治区人民政府关于印发自治区空气质量持续改善行动实施方案的通知</w:t>
            </w:r>
            <w:r>
              <w:rPr>
                <w:rFonts w:hint="eastAsia"/>
                <w:b/>
                <w:kern w:val="0"/>
                <w:sz w:val="24"/>
              </w:rPr>
              <w:t>》（内政发〔2024〕17号）</w:t>
            </w:r>
            <w:r>
              <w:rPr>
                <w:b/>
                <w:kern w:val="0"/>
                <w:sz w:val="24"/>
              </w:rPr>
              <w:t>符合性分析</w:t>
            </w:r>
          </w:p>
          <w:p w14:paraId="093010CB">
            <w:pPr>
              <w:autoSpaceDE w:val="0"/>
              <w:autoSpaceDN w:val="0"/>
              <w:adjustRightInd w:val="0"/>
              <w:snapToGrid w:val="0"/>
              <w:spacing w:line="360" w:lineRule="auto"/>
              <w:ind w:firstLine="480" w:firstLineChars="200"/>
              <w:rPr>
                <w:kern w:val="0"/>
                <w:sz w:val="24"/>
              </w:rPr>
            </w:pPr>
            <w:r>
              <w:rPr>
                <w:rFonts w:hint="eastAsia"/>
                <w:kern w:val="0"/>
                <w:sz w:val="24"/>
              </w:rPr>
              <w:t>根据</w:t>
            </w:r>
            <w:r>
              <w:rPr>
                <w:bCs/>
                <w:kern w:val="0"/>
                <w:sz w:val="24"/>
              </w:rPr>
              <w:t>《</w:t>
            </w:r>
            <w:r>
              <w:rPr>
                <w:rFonts w:hint="eastAsia"/>
                <w:bCs/>
                <w:kern w:val="0"/>
                <w:sz w:val="24"/>
              </w:rPr>
              <w:t>内蒙古自治区人民政府关于印发自治区空气质量持续改善行动实施方案的通知</w:t>
            </w:r>
            <w:r>
              <w:rPr>
                <w:bCs/>
                <w:kern w:val="0"/>
                <w:sz w:val="24"/>
              </w:rPr>
              <w:t>》</w:t>
            </w:r>
            <w:r>
              <w:rPr>
                <w:rFonts w:hint="eastAsia"/>
                <w:bCs/>
                <w:kern w:val="0"/>
                <w:sz w:val="24"/>
              </w:rPr>
              <w:t>（内政发〔2024〕17号）</w:t>
            </w:r>
            <w:r>
              <w:rPr>
                <w:rFonts w:hint="eastAsia"/>
                <w:kern w:val="0"/>
                <w:sz w:val="24"/>
              </w:rPr>
              <w:t>，（七）加大燃煤锅炉淘汰整治力度。各地区要将燃煤供热锅炉替代项目纳入城镇供热规划。旗县及以上城市建成区、工业园区原则上不再新建35蒸吨/小时及以下燃煤锅炉，其他地区原则上不再新建10蒸吨/小时以下燃煤锅炉。在保证电力、热力供应前提下，加快推进30万千瓦及以上热电联产机组供热半径15公里范围内燃煤供热锅炉关停整合。2025年底前，盟行政公署、市人民政府所在地城市建成区基本淘汰现役35蒸吨/小时（不含）以下燃煤锅炉，其中，呼和浩特市、包头市、乌海市淘汰65蒸吨/小时（不含）以下燃煤锅炉。</w:t>
            </w:r>
          </w:p>
          <w:p w14:paraId="03F4633A">
            <w:pPr>
              <w:autoSpaceDE w:val="0"/>
              <w:autoSpaceDN w:val="0"/>
              <w:adjustRightInd w:val="0"/>
              <w:snapToGrid w:val="0"/>
              <w:spacing w:line="360" w:lineRule="auto"/>
              <w:ind w:firstLine="480" w:firstLineChars="200"/>
              <w:rPr>
                <w:kern w:val="0"/>
                <w:sz w:val="24"/>
              </w:rPr>
            </w:pPr>
            <w:r>
              <w:rPr>
                <w:rFonts w:hint="eastAsia"/>
                <w:kern w:val="0"/>
                <w:sz w:val="24"/>
              </w:rPr>
              <w:t>本项目将原环评批复建设的2台20t/h、1台10t/h燃煤蒸汽锅炉改扩建为3台20t/h燃煤蒸汽锅炉并建设其配套工程，不涉及淘汰类锅炉，符合方案要求。</w:t>
            </w:r>
          </w:p>
          <w:p w14:paraId="16B705F3">
            <w:pPr>
              <w:autoSpaceDE w:val="0"/>
              <w:autoSpaceDN w:val="0"/>
              <w:adjustRightInd w:val="0"/>
              <w:snapToGrid w:val="0"/>
              <w:spacing w:line="360" w:lineRule="auto"/>
              <w:ind w:firstLine="482" w:firstLineChars="200"/>
              <w:rPr>
                <w:b/>
                <w:kern w:val="0"/>
                <w:sz w:val="24"/>
              </w:rPr>
            </w:pPr>
            <w:r>
              <w:rPr>
                <w:rFonts w:hint="eastAsia"/>
                <w:b/>
                <w:kern w:val="0"/>
                <w:sz w:val="24"/>
              </w:rPr>
              <w:t>5</w:t>
            </w:r>
            <w:r>
              <w:rPr>
                <w:b/>
                <w:kern w:val="0"/>
                <w:sz w:val="24"/>
              </w:rPr>
              <w:t>、</w:t>
            </w:r>
            <w:r>
              <w:rPr>
                <w:rFonts w:hint="eastAsia"/>
                <w:b/>
                <w:kern w:val="0"/>
                <w:sz w:val="24"/>
              </w:rPr>
              <w:t>与《</w:t>
            </w:r>
            <w:r>
              <w:rPr>
                <w:rFonts w:hint="eastAsia"/>
                <w:b/>
                <w:bCs/>
                <w:kern w:val="0"/>
                <w:sz w:val="24"/>
              </w:rPr>
              <w:t>鄂尔多斯市人民政府关于印发空气质量持续改善行动实施方案的通知</w:t>
            </w:r>
            <w:r>
              <w:rPr>
                <w:rFonts w:hint="eastAsia"/>
                <w:b/>
                <w:kern w:val="0"/>
                <w:sz w:val="24"/>
              </w:rPr>
              <w:t>》（鄂府发〔2024〕61号）</w:t>
            </w:r>
            <w:r>
              <w:rPr>
                <w:b/>
                <w:kern w:val="0"/>
                <w:sz w:val="24"/>
              </w:rPr>
              <w:t>符合性分析</w:t>
            </w:r>
          </w:p>
          <w:p w14:paraId="066C01CA">
            <w:pPr>
              <w:autoSpaceDE w:val="0"/>
              <w:autoSpaceDN w:val="0"/>
              <w:adjustRightInd w:val="0"/>
              <w:snapToGrid w:val="0"/>
              <w:spacing w:line="360" w:lineRule="auto"/>
              <w:ind w:firstLine="480" w:firstLineChars="200"/>
              <w:rPr>
                <w:kern w:val="0"/>
                <w:sz w:val="24"/>
              </w:rPr>
            </w:pPr>
            <w:r>
              <w:rPr>
                <w:rFonts w:hint="eastAsia"/>
                <w:kern w:val="0"/>
                <w:sz w:val="24"/>
              </w:rPr>
              <w:t>根据</w:t>
            </w:r>
            <w:r>
              <w:rPr>
                <w:bCs/>
                <w:kern w:val="0"/>
                <w:sz w:val="24"/>
              </w:rPr>
              <w:t>《</w:t>
            </w:r>
            <w:r>
              <w:rPr>
                <w:rFonts w:hint="eastAsia"/>
                <w:bCs/>
                <w:kern w:val="0"/>
                <w:sz w:val="24"/>
              </w:rPr>
              <w:t>鄂尔多斯市人民政府关于印发空气质量持续改善行动实施方案的通知</w:t>
            </w:r>
            <w:r>
              <w:rPr>
                <w:bCs/>
                <w:kern w:val="0"/>
                <w:sz w:val="24"/>
              </w:rPr>
              <w:t>》</w:t>
            </w:r>
            <w:r>
              <w:rPr>
                <w:rFonts w:hint="eastAsia"/>
                <w:bCs/>
                <w:kern w:val="0"/>
                <w:sz w:val="24"/>
              </w:rPr>
              <w:t>（鄂府发〔2024〕61号）</w:t>
            </w:r>
            <w:r>
              <w:rPr>
                <w:rFonts w:hint="eastAsia"/>
                <w:kern w:val="0"/>
                <w:sz w:val="24"/>
              </w:rPr>
              <w:t>，积极开展燃煤锅炉关停整合工作。旗区及以上城市建成区、工业园区原则上不再新建35蒸吨/小时及以下燃煤锅炉，其它地区原则上不再新建10蒸吨/小时以下燃煤锅炉。在保证电力、热力供应前提下，加快推进30万千瓦及以上热电联产机组供热半径15公里范围内燃煤供热锅炉关停整合。2025年底前，中心城区（东胜区、康巴什区）淘汰现役35蒸吨/小时（不含）以下燃煤锅炉。</w:t>
            </w:r>
          </w:p>
          <w:p w14:paraId="6E7DC654">
            <w:pPr>
              <w:autoSpaceDE w:val="0"/>
              <w:autoSpaceDN w:val="0"/>
              <w:adjustRightInd w:val="0"/>
              <w:snapToGrid w:val="0"/>
              <w:spacing w:line="360" w:lineRule="auto"/>
              <w:ind w:firstLine="480" w:firstLineChars="200"/>
              <w:rPr>
                <w:kern w:val="0"/>
                <w:sz w:val="24"/>
              </w:rPr>
            </w:pPr>
            <w:r>
              <w:rPr>
                <w:rFonts w:hint="eastAsia"/>
                <w:kern w:val="0"/>
                <w:sz w:val="24"/>
              </w:rPr>
              <w:t>本项目将原环评批复建设的2台20t/h、1台10t/h燃煤蒸汽锅炉改扩建为3台20t/h燃煤蒸汽锅炉并建设其配套工程，不涉及禁止建设类锅炉，符合通知要求。</w:t>
            </w:r>
          </w:p>
        </w:tc>
      </w:tr>
    </w:tbl>
    <w:p w14:paraId="442CA20E">
      <w:pPr>
        <w:spacing w:line="360" w:lineRule="auto"/>
        <w:outlineLvl w:val="0"/>
        <w:rPr>
          <w:rFonts w:eastAsia="黑体"/>
          <w:sz w:val="30"/>
        </w:rPr>
        <w:sectPr>
          <w:footerReference r:id="rId5" w:type="default"/>
          <w:pgSz w:w="11906" w:h="16838"/>
          <w:pgMar w:top="1701" w:right="1531" w:bottom="1701" w:left="1531" w:header="851" w:footer="1077" w:gutter="0"/>
          <w:pgNumType w:start="1"/>
          <w:cols w:space="720" w:num="1"/>
          <w:docGrid w:linePitch="312" w:charSpace="0"/>
        </w:sectPr>
      </w:pPr>
    </w:p>
    <w:p w14:paraId="7F51BE03">
      <w:pPr>
        <w:pStyle w:val="27"/>
        <w:jc w:val="center"/>
        <w:outlineLvl w:val="0"/>
        <w:rPr>
          <w:rFonts w:hint="eastAsia" w:ascii="黑体" w:hAnsi="黑体" w:eastAsia="黑体" w:cs="Times New Roman"/>
          <w:snapToGrid w:val="0"/>
          <w:sz w:val="30"/>
          <w:szCs w:val="30"/>
        </w:rPr>
      </w:pPr>
      <w:bookmarkStart w:id="8" w:name="_Toc172642149"/>
      <w:bookmarkStart w:id="9" w:name="_Toc173761970"/>
      <w:r>
        <w:rPr>
          <w:rFonts w:ascii="黑体" w:hAnsi="黑体" w:eastAsia="黑体" w:cs="Times New Roman"/>
          <w:snapToGrid w:val="0"/>
          <w:sz w:val="30"/>
          <w:szCs w:val="30"/>
        </w:rPr>
        <w:t>二、建设项目工程分析</w:t>
      </w:r>
      <w:bookmarkEnd w:id="8"/>
      <w:bookmarkEnd w:id="9"/>
    </w:p>
    <w:tbl>
      <w:tblPr>
        <w:tblStyle w:val="31"/>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61"/>
        <w:gridCol w:w="8153"/>
      </w:tblGrid>
      <w:tr w14:paraId="5F3DA0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69" w:hRule="atLeast"/>
          <w:jc w:val="center"/>
        </w:trPr>
        <w:tc>
          <w:tcPr>
            <w:tcW w:w="661" w:type="dxa"/>
            <w:vAlign w:val="center"/>
          </w:tcPr>
          <w:p w14:paraId="7DF36B80">
            <w:pPr>
              <w:pStyle w:val="27"/>
              <w:adjustRightInd w:val="0"/>
              <w:snapToGrid w:val="0"/>
              <w:spacing w:before="0" w:beforeAutospacing="0" w:after="0" w:afterAutospacing="0"/>
              <w:jc w:val="center"/>
              <w:rPr>
                <w:rFonts w:ascii="Times New Roman" w:hAnsi="Times New Roman" w:cs="Times New Roman"/>
                <w:szCs w:val="24"/>
              </w:rPr>
            </w:pPr>
            <w:r>
              <w:rPr>
                <w:rFonts w:ascii="Times New Roman" w:hAnsi="Times New Roman" w:cs="Times New Roman"/>
                <w:szCs w:val="24"/>
              </w:rPr>
              <w:t>建设内容</w:t>
            </w:r>
          </w:p>
        </w:tc>
        <w:tc>
          <w:tcPr>
            <w:tcW w:w="8153" w:type="dxa"/>
          </w:tcPr>
          <w:p w14:paraId="7E701BC9">
            <w:pPr>
              <w:pStyle w:val="45"/>
              <w:spacing w:before="120" w:beforeLines="50"/>
              <w:ind w:firstLine="482"/>
              <w:rPr>
                <w:b/>
                <w:bCs/>
                <w:sz w:val="24"/>
              </w:rPr>
            </w:pPr>
            <w:r>
              <w:rPr>
                <w:b/>
                <w:bCs/>
                <w:sz w:val="24"/>
              </w:rPr>
              <w:t>1、项目由来</w:t>
            </w:r>
          </w:p>
          <w:p w14:paraId="7579D8F9">
            <w:pPr>
              <w:pStyle w:val="45"/>
              <w:ind w:firstLine="480"/>
              <w:rPr>
                <w:sz w:val="24"/>
              </w:rPr>
            </w:pPr>
            <w:r>
              <w:rPr>
                <w:rFonts w:hint="eastAsia"/>
                <w:sz w:val="24"/>
              </w:rPr>
              <w:t>杭锦旗聚能能源有限公司油房壕煤矿隶属于鄂尔多斯市东胜区泊尔江海子镇，2014年12月3日取得原内蒙古自治区环境保护厅《关于杭锦旗聚能能源有限公司油房壕矿井及选煤厂环境影响报告书的批复》（内环审〔2014〕190号），批复生产能力为500万t/a，井工开采，并配套建设同等规模的选煤厂。由于前期资金问题以及其他手续问题，项目目前未建成，正处于建设阶段，尚未完成竣工环境保护验收。</w:t>
            </w:r>
          </w:p>
          <w:p w14:paraId="364F118B">
            <w:pPr>
              <w:pStyle w:val="45"/>
              <w:ind w:firstLine="480"/>
              <w:rPr>
                <w:sz w:val="24"/>
              </w:rPr>
            </w:pPr>
            <w:r>
              <w:rPr>
                <w:rFonts w:hint="eastAsia"/>
                <w:sz w:val="24"/>
              </w:rPr>
              <w:t>原环评及批复拟</w:t>
            </w:r>
            <w:r>
              <w:rPr>
                <w:rFonts w:hint="eastAsia"/>
                <w:bCs/>
                <w:sz w:val="24"/>
              </w:rPr>
              <w:t>建设2台</w:t>
            </w:r>
            <w:r>
              <w:rPr>
                <w:bCs/>
                <w:sz w:val="24"/>
              </w:rPr>
              <w:t>SZL20</w:t>
            </w:r>
            <w:r>
              <w:rPr>
                <w:rFonts w:hint="eastAsia"/>
                <w:bCs/>
                <w:sz w:val="24"/>
              </w:rPr>
              <w:t>-</w:t>
            </w:r>
            <w:r>
              <w:rPr>
                <w:bCs/>
                <w:sz w:val="24"/>
              </w:rPr>
              <w:t>1.25-A</w:t>
            </w:r>
            <w:r>
              <w:rPr>
                <w:rFonts w:hint="eastAsia"/>
                <w:bCs/>
                <w:sz w:val="24"/>
              </w:rPr>
              <w:t>Ⅲ</w:t>
            </w:r>
            <w:r>
              <w:rPr>
                <w:bCs/>
                <w:sz w:val="24"/>
              </w:rPr>
              <w:t>型</w:t>
            </w:r>
            <w:r>
              <w:rPr>
                <w:rFonts w:hint="eastAsia"/>
                <w:bCs/>
                <w:sz w:val="24"/>
              </w:rPr>
              <w:t>20t/h</w:t>
            </w:r>
            <w:r>
              <w:rPr>
                <w:bCs/>
                <w:sz w:val="24"/>
              </w:rPr>
              <w:t>蒸汽锅炉</w:t>
            </w:r>
            <w:r>
              <w:rPr>
                <w:rFonts w:hint="eastAsia"/>
                <w:bCs/>
                <w:sz w:val="24"/>
              </w:rPr>
              <w:t>，1台</w:t>
            </w:r>
            <w:r>
              <w:rPr>
                <w:bCs/>
                <w:sz w:val="24"/>
              </w:rPr>
              <w:t>SZL10</w:t>
            </w:r>
            <w:r>
              <w:rPr>
                <w:rFonts w:hint="eastAsia"/>
                <w:bCs/>
                <w:sz w:val="24"/>
              </w:rPr>
              <w:t>-</w:t>
            </w:r>
            <w:r>
              <w:rPr>
                <w:bCs/>
                <w:sz w:val="24"/>
              </w:rPr>
              <w:t>1.25-A</w:t>
            </w:r>
            <w:r>
              <w:rPr>
                <w:rFonts w:hint="eastAsia"/>
                <w:bCs/>
                <w:sz w:val="24"/>
              </w:rPr>
              <w:t>Ⅲ</w:t>
            </w:r>
            <w:r>
              <w:rPr>
                <w:bCs/>
                <w:sz w:val="24"/>
              </w:rPr>
              <w:t>型10t/h</w:t>
            </w:r>
            <w:r>
              <w:rPr>
                <w:rFonts w:hint="eastAsia"/>
                <w:bCs/>
                <w:sz w:val="24"/>
              </w:rPr>
              <w:t>燃煤蒸汽锅炉</w:t>
            </w:r>
            <w:r>
              <w:rPr>
                <w:rFonts w:hint="eastAsia"/>
                <w:sz w:val="24"/>
              </w:rPr>
              <w:t>（采暖期内均运行，非采暖期内运行1台10t/h），配套建设输煤栈桥，锅炉烟气采用</w:t>
            </w:r>
            <w:r>
              <w:rPr>
                <w:rFonts w:hint="eastAsia"/>
                <w:bCs/>
                <w:sz w:val="24"/>
              </w:rPr>
              <w:t>一级多管旋风除尘器+二级旋流板塔脱硫除尘（双碱法工艺），但由于资金原因，原环评批复的3台锅炉及配套设施均未建设。</w:t>
            </w:r>
            <w:r>
              <w:rPr>
                <w:rFonts w:hint="eastAsia"/>
                <w:sz w:val="24"/>
              </w:rPr>
              <w:t>在煤矿后续的筹备过程中发现当初对热负荷的考虑存在不足，缺少对通风困难时期井筒防冻、部分工业场地建筑物供热负荷未考虑以及部分相关参数设置不太合适，目前的供热负荷情况相较于预期发生了较大变化。因此，为了更好地适应实际情况，保障供热的稳定性和可靠性，煤矿决定将原环评及批复拟建的锅炉改扩建为</w:t>
            </w:r>
            <w:r>
              <w:rPr>
                <w:rFonts w:hint="eastAsia"/>
                <w:bCs/>
                <w:sz w:val="24"/>
              </w:rPr>
              <w:t>3台SZL20-1.25-AⅡ型20t/h燃煤蒸汽锅炉</w:t>
            </w:r>
            <w:r>
              <w:rPr>
                <w:rFonts w:hint="eastAsia"/>
                <w:sz w:val="24"/>
              </w:rPr>
              <w:t>及其配套工程（采暖期均运行，非采暖期运行1台</w:t>
            </w:r>
            <w:r>
              <w:rPr>
                <w:sz w:val="24"/>
              </w:rPr>
              <w:t>20</w:t>
            </w:r>
            <w:r>
              <w:rPr>
                <w:rFonts w:hint="eastAsia"/>
                <w:sz w:val="24"/>
              </w:rPr>
              <w:t>t/h），配套建设1</w:t>
            </w:r>
            <w:r>
              <w:rPr>
                <w:sz w:val="24"/>
              </w:rPr>
              <w:t>座</w:t>
            </w:r>
            <w:r>
              <w:rPr>
                <w:rFonts w:hint="eastAsia"/>
                <w:sz w:val="24"/>
              </w:rPr>
              <w:t>30</w:t>
            </w:r>
            <w:r>
              <w:rPr>
                <w:sz w:val="24"/>
              </w:rPr>
              <w:t>m</w:t>
            </w:r>
            <w:r>
              <w:rPr>
                <w:rFonts w:hint="eastAsia"/>
                <w:sz w:val="24"/>
                <w:vertAlign w:val="superscript"/>
              </w:rPr>
              <w:t>2</w:t>
            </w:r>
            <w:r>
              <w:rPr>
                <w:sz w:val="24"/>
              </w:rPr>
              <w:t>危废贮存库</w:t>
            </w:r>
            <w:r>
              <w:rPr>
                <w:rFonts w:hint="eastAsia"/>
                <w:sz w:val="24"/>
              </w:rPr>
              <w:t>，并据此开展相应的环评工作。</w:t>
            </w:r>
          </w:p>
          <w:p w14:paraId="6E871EB3">
            <w:pPr>
              <w:pStyle w:val="45"/>
              <w:ind w:firstLine="480"/>
              <w:rPr>
                <w:sz w:val="24"/>
              </w:rPr>
            </w:pPr>
            <w:bookmarkStart w:id="10" w:name="_Hlk113972241"/>
            <w:r>
              <w:rPr>
                <w:sz w:val="24"/>
              </w:rPr>
              <w:t>受</w:t>
            </w:r>
            <w:r>
              <w:rPr>
                <w:rFonts w:hint="eastAsia"/>
                <w:bCs/>
                <w:sz w:val="24"/>
              </w:rPr>
              <w:t>杭锦旗聚能能源有限公司</w:t>
            </w:r>
            <w:r>
              <w:rPr>
                <w:sz w:val="24"/>
              </w:rPr>
              <w:t>委托，我公司承担了本项目的环境影响评价工作。</w:t>
            </w:r>
            <w:r>
              <w:rPr>
                <w:rFonts w:hint="eastAsia"/>
                <w:sz w:val="24"/>
              </w:rPr>
              <w:t>对</w:t>
            </w:r>
            <w:r>
              <w:rPr>
                <w:sz w:val="24"/>
              </w:rPr>
              <w:t>照《建设项目环境影响评价分类管理名录》（2021版）</w:t>
            </w:r>
            <w:r>
              <w:rPr>
                <w:rFonts w:hint="eastAsia"/>
                <w:sz w:val="24"/>
              </w:rPr>
              <w:t>，本项目属于名录中“四十一、电力、热力生产和供应业-91 热力生产和供应工程（包括建设单位自建自用的供热工程）-燃煤、燃油锅炉总容量65吨/小时（45.5兆瓦）及以下的”类别，</w:t>
            </w:r>
            <w:r>
              <w:rPr>
                <w:sz w:val="24"/>
              </w:rPr>
              <w:t>需编制环境影响报告表的类别，我公司严格按照国家的有关法律、法规的要求，根据项目方提供的工程资料，在现场调查、</w:t>
            </w:r>
            <w:r>
              <w:rPr>
                <w:rFonts w:hint="eastAsia"/>
                <w:sz w:val="24"/>
              </w:rPr>
              <w:t>工程</w:t>
            </w:r>
            <w:r>
              <w:rPr>
                <w:sz w:val="24"/>
              </w:rPr>
              <w:t>分析等工作的基础上，编制完成了《</w:t>
            </w:r>
            <w:r>
              <w:rPr>
                <w:rFonts w:hint="eastAsia"/>
                <w:sz w:val="24"/>
              </w:rPr>
              <w:t>杭锦旗聚能能源有限公司油房壕煤矿燃煤锅炉项目</w:t>
            </w:r>
            <w:r>
              <w:rPr>
                <w:sz w:val="24"/>
              </w:rPr>
              <w:t>环境影响报告表》。</w:t>
            </w:r>
          </w:p>
          <w:bookmarkEnd w:id="10"/>
          <w:p w14:paraId="50B1B602">
            <w:pPr>
              <w:pStyle w:val="45"/>
              <w:ind w:firstLine="482"/>
              <w:rPr>
                <w:b/>
                <w:bCs/>
                <w:sz w:val="24"/>
              </w:rPr>
            </w:pPr>
            <w:r>
              <w:rPr>
                <w:b/>
                <w:bCs/>
                <w:sz w:val="24"/>
              </w:rPr>
              <w:t>2、工程建设内容</w:t>
            </w:r>
          </w:p>
          <w:p w14:paraId="4CA043AA">
            <w:pPr>
              <w:pStyle w:val="45"/>
              <w:ind w:firstLine="480"/>
              <w:rPr>
                <w:sz w:val="24"/>
              </w:rPr>
            </w:pPr>
            <w:r>
              <w:rPr>
                <w:sz w:val="24"/>
              </w:rPr>
              <w:t>项目名称：</w:t>
            </w:r>
            <w:r>
              <w:rPr>
                <w:rFonts w:hint="eastAsia"/>
                <w:sz w:val="24"/>
              </w:rPr>
              <w:t>杭锦旗聚能能源有限公司油房壕煤矿燃煤锅炉项目</w:t>
            </w:r>
          </w:p>
          <w:p w14:paraId="3B50C1E6">
            <w:pPr>
              <w:pStyle w:val="45"/>
              <w:ind w:firstLine="480"/>
              <w:rPr>
                <w:sz w:val="24"/>
              </w:rPr>
            </w:pPr>
            <w:r>
              <w:rPr>
                <w:sz w:val="24"/>
              </w:rPr>
              <w:t>建设单位：</w:t>
            </w:r>
            <w:r>
              <w:rPr>
                <w:rFonts w:hint="eastAsia"/>
                <w:sz w:val="24"/>
              </w:rPr>
              <w:t>杭锦旗聚能能源有限公司</w:t>
            </w:r>
          </w:p>
          <w:p w14:paraId="242B7909">
            <w:pPr>
              <w:pStyle w:val="45"/>
              <w:ind w:firstLine="480"/>
              <w:rPr>
                <w:sz w:val="24"/>
              </w:rPr>
            </w:pPr>
            <w:r>
              <w:rPr>
                <w:sz w:val="24"/>
              </w:rPr>
              <w:t>建设性质：</w:t>
            </w:r>
            <w:r>
              <w:rPr>
                <w:rFonts w:hint="eastAsia"/>
                <w:sz w:val="24"/>
              </w:rPr>
              <w:t>改扩建</w:t>
            </w:r>
          </w:p>
          <w:p w14:paraId="32CF1800">
            <w:pPr>
              <w:pStyle w:val="45"/>
              <w:ind w:firstLine="480"/>
              <w:rPr>
                <w:sz w:val="24"/>
              </w:rPr>
            </w:pPr>
            <w:r>
              <w:rPr>
                <w:sz w:val="24"/>
              </w:rPr>
              <w:t>建设地点：</w:t>
            </w:r>
            <w:r>
              <w:rPr>
                <w:rFonts w:hint="eastAsia"/>
                <w:sz w:val="24"/>
              </w:rPr>
              <w:t>内蒙古自治区鄂尔多斯市东胜区泊尔江海子镇杭锦旗聚能能源有限公司油房壕煤矿工业场地范围内</w:t>
            </w:r>
            <w:r>
              <w:rPr>
                <w:rFonts w:hint="eastAsia"/>
                <w:kern w:val="0"/>
                <w:sz w:val="24"/>
              </w:rPr>
              <w:t>，</w:t>
            </w:r>
            <w:r>
              <w:rPr>
                <w:sz w:val="24"/>
              </w:rPr>
              <w:t>项目中心地理坐标为N</w:t>
            </w:r>
            <w:r>
              <w:rPr>
                <w:rFonts w:hint="eastAsia"/>
                <w:sz w:val="24"/>
              </w:rPr>
              <w:t>39</w:t>
            </w:r>
            <w:r>
              <w:rPr>
                <w:sz w:val="24"/>
              </w:rPr>
              <w:t>°</w:t>
            </w:r>
            <w:r>
              <w:rPr>
                <w:rFonts w:hint="eastAsia"/>
                <w:sz w:val="24"/>
              </w:rPr>
              <w:t>54</w:t>
            </w:r>
            <w:r>
              <w:rPr>
                <w:sz w:val="24"/>
              </w:rPr>
              <w:t>′</w:t>
            </w:r>
            <w:r>
              <w:rPr>
                <w:rFonts w:hint="eastAsia"/>
                <w:sz w:val="24"/>
              </w:rPr>
              <w:t>11.013</w:t>
            </w:r>
            <w:r>
              <w:rPr>
                <w:sz w:val="24"/>
              </w:rPr>
              <w:t>"，E</w:t>
            </w:r>
            <w:r>
              <w:rPr>
                <w:rFonts w:hint="eastAsia"/>
                <w:sz w:val="24"/>
              </w:rPr>
              <w:t>109</w:t>
            </w:r>
            <w:r>
              <w:rPr>
                <w:sz w:val="24"/>
              </w:rPr>
              <w:t>°</w:t>
            </w:r>
            <w:r>
              <w:rPr>
                <w:rFonts w:hint="eastAsia"/>
                <w:sz w:val="24"/>
              </w:rPr>
              <w:t>21</w:t>
            </w:r>
            <w:r>
              <w:rPr>
                <w:sz w:val="24"/>
              </w:rPr>
              <w:t>′</w:t>
            </w:r>
            <w:r>
              <w:rPr>
                <w:rFonts w:hint="eastAsia"/>
                <w:sz w:val="24"/>
              </w:rPr>
              <w:t>52.505</w:t>
            </w:r>
            <w:r>
              <w:rPr>
                <w:sz w:val="24"/>
              </w:rPr>
              <w:t>"。</w:t>
            </w:r>
          </w:p>
          <w:p w14:paraId="4DD887A6">
            <w:pPr>
              <w:pStyle w:val="45"/>
              <w:ind w:firstLine="480"/>
              <w:rPr>
                <w:sz w:val="24"/>
              </w:rPr>
            </w:pPr>
            <w:r>
              <w:rPr>
                <w:rFonts w:hint="eastAsia"/>
                <w:sz w:val="24"/>
              </w:rPr>
              <w:t>用地面积</w:t>
            </w:r>
            <w:r>
              <w:rPr>
                <w:sz w:val="24"/>
              </w:rPr>
              <w:t>：</w:t>
            </w:r>
            <w:r>
              <w:rPr>
                <w:rFonts w:hint="eastAsia"/>
                <w:sz w:val="24"/>
              </w:rPr>
              <w:t>4170m</w:t>
            </w:r>
            <w:r>
              <w:rPr>
                <w:rFonts w:hint="eastAsia"/>
                <w:sz w:val="24"/>
                <w:vertAlign w:val="superscript"/>
              </w:rPr>
              <w:t>2</w:t>
            </w:r>
            <w:r>
              <w:rPr>
                <w:rFonts w:hint="eastAsia"/>
                <w:sz w:val="24"/>
              </w:rPr>
              <w:t>（工业场地内，无新增占地）</w:t>
            </w:r>
          </w:p>
          <w:p w14:paraId="06D8C85F">
            <w:pPr>
              <w:pStyle w:val="45"/>
              <w:ind w:firstLine="480"/>
              <w:rPr>
                <w:sz w:val="24"/>
              </w:rPr>
            </w:pPr>
            <w:r>
              <w:rPr>
                <w:sz w:val="24"/>
              </w:rPr>
              <w:t>项目投资：</w:t>
            </w:r>
            <w:r>
              <w:rPr>
                <w:rFonts w:hint="eastAsia"/>
                <w:sz w:val="24"/>
              </w:rPr>
              <w:t>总投资</w:t>
            </w:r>
            <w:r>
              <w:rPr>
                <w:sz w:val="24"/>
              </w:rPr>
              <w:t>4000</w:t>
            </w:r>
            <w:r>
              <w:rPr>
                <w:rFonts w:hint="eastAsia"/>
                <w:sz w:val="24"/>
              </w:rPr>
              <w:t>万元，其中环保投资455万元，占总投资的11.37</w:t>
            </w:r>
            <w:r>
              <w:rPr>
                <w:sz w:val="24"/>
              </w:rPr>
              <w:t>%</w:t>
            </w:r>
            <w:r>
              <w:rPr>
                <w:rFonts w:hint="eastAsia"/>
                <w:sz w:val="24"/>
              </w:rPr>
              <w:t>。</w:t>
            </w:r>
          </w:p>
          <w:p w14:paraId="458B888D">
            <w:pPr>
              <w:pStyle w:val="45"/>
              <w:ind w:firstLine="480"/>
              <w:rPr>
                <w:sz w:val="24"/>
              </w:rPr>
            </w:pPr>
            <w:bookmarkStart w:id="11" w:name="_Hlk151454805"/>
            <w:r>
              <w:rPr>
                <w:sz w:val="24"/>
              </w:rPr>
              <w:t>建设内容及规模：</w:t>
            </w:r>
            <w:bookmarkEnd w:id="11"/>
            <w:bookmarkStart w:id="12" w:name="_Hlk200720235"/>
            <w:r>
              <w:rPr>
                <w:rFonts w:hint="eastAsia"/>
                <w:sz w:val="24"/>
              </w:rPr>
              <w:t>将原环评批复拟建的</w:t>
            </w:r>
            <w:r>
              <w:rPr>
                <w:rFonts w:hint="eastAsia"/>
                <w:bCs/>
                <w:sz w:val="24"/>
              </w:rPr>
              <w:t>2台</w:t>
            </w:r>
            <w:r>
              <w:rPr>
                <w:bCs/>
                <w:sz w:val="24"/>
              </w:rPr>
              <w:t>SZL20</w:t>
            </w:r>
            <w:r>
              <w:rPr>
                <w:rFonts w:hint="eastAsia"/>
                <w:bCs/>
                <w:sz w:val="24"/>
              </w:rPr>
              <w:t>-</w:t>
            </w:r>
            <w:r>
              <w:rPr>
                <w:bCs/>
                <w:sz w:val="24"/>
              </w:rPr>
              <w:t>1.25-A</w:t>
            </w:r>
            <w:r>
              <w:rPr>
                <w:rFonts w:hint="eastAsia"/>
                <w:bCs/>
                <w:sz w:val="24"/>
              </w:rPr>
              <w:t>Ⅲ</w:t>
            </w:r>
            <w:r>
              <w:rPr>
                <w:bCs/>
                <w:sz w:val="24"/>
              </w:rPr>
              <w:t>型</w:t>
            </w:r>
            <w:r>
              <w:rPr>
                <w:rFonts w:hint="eastAsia"/>
                <w:bCs/>
                <w:sz w:val="24"/>
              </w:rPr>
              <w:t>20t/h</w:t>
            </w:r>
            <w:r>
              <w:rPr>
                <w:bCs/>
                <w:sz w:val="24"/>
              </w:rPr>
              <w:t>蒸汽锅炉</w:t>
            </w:r>
            <w:r>
              <w:rPr>
                <w:rFonts w:hint="eastAsia"/>
                <w:bCs/>
                <w:sz w:val="24"/>
              </w:rPr>
              <w:t>，1台</w:t>
            </w:r>
            <w:r>
              <w:rPr>
                <w:bCs/>
                <w:sz w:val="24"/>
              </w:rPr>
              <w:t>SZL10</w:t>
            </w:r>
            <w:r>
              <w:rPr>
                <w:rFonts w:hint="eastAsia"/>
                <w:bCs/>
                <w:sz w:val="24"/>
              </w:rPr>
              <w:t>-</w:t>
            </w:r>
            <w:r>
              <w:rPr>
                <w:bCs/>
                <w:sz w:val="24"/>
              </w:rPr>
              <w:t>1.25-A</w:t>
            </w:r>
            <w:r>
              <w:rPr>
                <w:rFonts w:hint="eastAsia"/>
                <w:bCs/>
                <w:sz w:val="24"/>
              </w:rPr>
              <w:t>Ⅲ</w:t>
            </w:r>
            <w:r>
              <w:rPr>
                <w:bCs/>
                <w:sz w:val="24"/>
              </w:rPr>
              <w:t>型10t/h</w:t>
            </w:r>
            <w:r>
              <w:rPr>
                <w:rFonts w:hint="eastAsia"/>
                <w:bCs/>
                <w:sz w:val="24"/>
              </w:rPr>
              <w:t>燃煤蒸汽锅炉</w:t>
            </w:r>
            <w:r>
              <w:rPr>
                <w:rFonts w:hint="eastAsia"/>
                <w:sz w:val="24"/>
              </w:rPr>
              <w:t>改扩建为</w:t>
            </w:r>
            <w:r>
              <w:rPr>
                <w:rFonts w:hint="eastAsia"/>
                <w:bCs/>
                <w:sz w:val="24"/>
              </w:rPr>
              <w:t>3台SZL20-1.25-AⅡ型20t/h燃煤蒸汽锅炉</w:t>
            </w:r>
            <w:r>
              <w:rPr>
                <w:rFonts w:hint="eastAsia"/>
                <w:sz w:val="24"/>
              </w:rPr>
              <w:t>并建设其配套工程</w:t>
            </w:r>
            <w:bookmarkEnd w:id="12"/>
            <w:r>
              <w:rPr>
                <w:rFonts w:hint="eastAsia"/>
                <w:sz w:val="24"/>
              </w:rPr>
              <w:t>，配套建设1座30m</w:t>
            </w:r>
            <w:r>
              <w:rPr>
                <w:rFonts w:hint="eastAsia"/>
                <w:sz w:val="24"/>
                <w:vertAlign w:val="superscript"/>
              </w:rPr>
              <w:t>2</w:t>
            </w:r>
            <w:r>
              <w:rPr>
                <w:rFonts w:hint="eastAsia"/>
                <w:sz w:val="24"/>
              </w:rPr>
              <w:t>危废贮存库</w:t>
            </w:r>
            <w:r>
              <w:rPr>
                <w:rFonts w:hint="eastAsia"/>
                <w:bCs/>
                <w:sz w:val="24"/>
              </w:rPr>
              <w:t>。</w:t>
            </w:r>
          </w:p>
          <w:p w14:paraId="1502713A">
            <w:pPr>
              <w:pStyle w:val="45"/>
              <w:ind w:firstLine="480"/>
              <w:rPr>
                <w:sz w:val="24"/>
              </w:rPr>
            </w:pPr>
            <w:r>
              <w:rPr>
                <w:sz w:val="24"/>
              </w:rPr>
              <w:t>劳动定员及工作制度：</w:t>
            </w:r>
            <w:r>
              <w:rPr>
                <w:rFonts w:hint="eastAsia"/>
                <w:sz w:val="24"/>
              </w:rPr>
              <w:t>项目无新增劳动定员。在供暖期运行</w:t>
            </w:r>
            <w:r>
              <w:rPr>
                <w:rFonts w:hint="eastAsia"/>
                <w:bCs/>
                <w:sz w:val="24"/>
              </w:rPr>
              <w:t>3台20t/h</w:t>
            </w:r>
            <w:r>
              <w:rPr>
                <w:rFonts w:hint="eastAsia"/>
                <w:sz w:val="24"/>
              </w:rPr>
              <w:t>锅炉，非供暖期运行1台2</w:t>
            </w:r>
            <w:r>
              <w:rPr>
                <w:sz w:val="24"/>
              </w:rPr>
              <w:t>0</w:t>
            </w:r>
            <w:r>
              <w:rPr>
                <w:rFonts w:hint="eastAsia"/>
                <w:sz w:val="24"/>
              </w:rPr>
              <w:t>t/h，年供暖天数168d，非供暖天数1</w:t>
            </w:r>
            <w:r>
              <w:rPr>
                <w:sz w:val="24"/>
              </w:rPr>
              <w:t>97</w:t>
            </w:r>
            <w:r>
              <w:rPr>
                <w:rFonts w:hint="eastAsia"/>
                <w:sz w:val="24"/>
              </w:rPr>
              <w:t>d，每天运行20h，即年运行</w:t>
            </w:r>
            <w:r>
              <w:rPr>
                <w:sz w:val="24"/>
              </w:rPr>
              <w:t>730</w:t>
            </w:r>
            <w:r>
              <w:rPr>
                <w:rFonts w:hint="eastAsia"/>
                <w:sz w:val="24"/>
              </w:rPr>
              <w:t>0h</w:t>
            </w:r>
            <w:r>
              <w:rPr>
                <w:sz w:val="24"/>
              </w:rPr>
              <w:t>。</w:t>
            </w:r>
          </w:p>
          <w:p w14:paraId="19BE760B">
            <w:pPr>
              <w:pStyle w:val="45"/>
              <w:ind w:firstLine="480"/>
              <w:rPr>
                <w:sz w:val="24"/>
              </w:rPr>
            </w:pPr>
            <w:r>
              <w:rPr>
                <w:sz w:val="24"/>
              </w:rPr>
              <w:t>本项目工程建设内容见表2-1。</w:t>
            </w:r>
          </w:p>
          <w:p w14:paraId="3AC351C6">
            <w:pPr>
              <w:jc w:val="center"/>
              <w:outlineLvl w:val="0"/>
              <w:rPr>
                <w:b/>
                <w:bCs/>
                <w:szCs w:val="21"/>
              </w:rPr>
            </w:pPr>
            <w:bookmarkStart w:id="13" w:name="_Toc172642150"/>
            <w:bookmarkStart w:id="14" w:name="_Toc173761971"/>
            <w:r>
              <w:rPr>
                <w:b/>
                <w:bCs/>
                <w:szCs w:val="21"/>
              </w:rPr>
              <w:t xml:space="preserve">表2-1 </w:t>
            </w:r>
            <w:r>
              <w:rPr>
                <w:rFonts w:hint="eastAsia"/>
                <w:b/>
                <w:bCs/>
                <w:szCs w:val="21"/>
              </w:rPr>
              <w:t xml:space="preserve"> </w:t>
            </w:r>
            <w:r>
              <w:rPr>
                <w:b/>
                <w:bCs/>
                <w:szCs w:val="21"/>
              </w:rPr>
              <w:t>项目组成表</w:t>
            </w:r>
            <w:bookmarkEnd w:id="13"/>
            <w:bookmarkEnd w:id="14"/>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393"/>
              <w:gridCol w:w="494"/>
              <w:gridCol w:w="967"/>
              <w:gridCol w:w="2829"/>
              <w:gridCol w:w="2829"/>
              <w:gridCol w:w="425"/>
            </w:tblGrid>
            <w:tr w14:paraId="5246E8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48" w:type="pct"/>
                  <w:vAlign w:val="center"/>
                </w:tcPr>
                <w:p w14:paraId="7224E13C">
                  <w:pPr>
                    <w:adjustRightInd w:val="0"/>
                    <w:snapToGrid w:val="0"/>
                    <w:jc w:val="center"/>
                    <w:rPr>
                      <w:szCs w:val="21"/>
                    </w:rPr>
                  </w:pPr>
                  <w:r>
                    <w:rPr>
                      <w:szCs w:val="21"/>
                    </w:rPr>
                    <w:t>类别</w:t>
                  </w:r>
                </w:p>
              </w:tc>
              <w:tc>
                <w:tcPr>
                  <w:tcW w:w="920" w:type="pct"/>
                  <w:gridSpan w:val="2"/>
                  <w:vAlign w:val="center"/>
                </w:tcPr>
                <w:p w14:paraId="0BE19F81">
                  <w:pPr>
                    <w:adjustRightInd w:val="0"/>
                    <w:snapToGrid w:val="0"/>
                    <w:jc w:val="center"/>
                    <w:rPr>
                      <w:szCs w:val="21"/>
                    </w:rPr>
                  </w:pPr>
                  <w:r>
                    <w:rPr>
                      <w:szCs w:val="21"/>
                    </w:rPr>
                    <w:t>项目名称</w:t>
                  </w:r>
                </w:p>
              </w:tc>
              <w:tc>
                <w:tcPr>
                  <w:tcW w:w="1782" w:type="pct"/>
                  <w:vAlign w:val="center"/>
                </w:tcPr>
                <w:p w14:paraId="06227648">
                  <w:pPr>
                    <w:adjustRightInd w:val="0"/>
                    <w:snapToGrid w:val="0"/>
                    <w:jc w:val="center"/>
                    <w:rPr>
                      <w:szCs w:val="21"/>
                    </w:rPr>
                  </w:pPr>
                  <w:r>
                    <w:rPr>
                      <w:rFonts w:hint="eastAsia"/>
                      <w:szCs w:val="21"/>
                    </w:rPr>
                    <w:t>原环评拟建内容</w:t>
                  </w:r>
                </w:p>
              </w:tc>
              <w:tc>
                <w:tcPr>
                  <w:tcW w:w="1782" w:type="pct"/>
                  <w:vAlign w:val="center"/>
                </w:tcPr>
                <w:p w14:paraId="69B0D022">
                  <w:pPr>
                    <w:adjustRightInd w:val="0"/>
                    <w:snapToGrid w:val="0"/>
                    <w:jc w:val="center"/>
                    <w:rPr>
                      <w:szCs w:val="21"/>
                    </w:rPr>
                  </w:pPr>
                  <w:r>
                    <w:rPr>
                      <w:rFonts w:hint="eastAsia"/>
                      <w:szCs w:val="21"/>
                    </w:rPr>
                    <w:t>本项目</w:t>
                  </w:r>
                  <w:r>
                    <w:rPr>
                      <w:szCs w:val="21"/>
                    </w:rPr>
                    <w:t>建设内容</w:t>
                  </w:r>
                </w:p>
              </w:tc>
              <w:tc>
                <w:tcPr>
                  <w:tcW w:w="268" w:type="pct"/>
                  <w:vAlign w:val="center"/>
                </w:tcPr>
                <w:p w14:paraId="3F2D9200">
                  <w:pPr>
                    <w:adjustRightInd w:val="0"/>
                    <w:snapToGrid w:val="0"/>
                    <w:jc w:val="center"/>
                    <w:rPr>
                      <w:szCs w:val="21"/>
                    </w:rPr>
                  </w:pPr>
                  <w:r>
                    <w:rPr>
                      <w:szCs w:val="21"/>
                    </w:rPr>
                    <w:t>备注</w:t>
                  </w:r>
                </w:p>
              </w:tc>
            </w:tr>
            <w:tr w14:paraId="3FD434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48" w:type="pct"/>
                  <w:vAlign w:val="center"/>
                </w:tcPr>
                <w:p w14:paraId="05463948">
                  <w:pPr>
                    <w:adjustRightInd w:val="0"/>
                    <w:snapToGrid w:val="0"/>
                    <w:jc w:val="center"/>
                    <w:rPr>
                      <w:szCs w:val="21"/>
                    </w:rPr>
                  </w:pPr>
                  <w:r>
                    <w:rPr>
                      <w:szCs w:val="21"/>
                    </w:rPr>
                    <w:t>主体</w:t>
                  </w:r>
                </w:p>
                <w:p w14:paraId="72102957">
                  <w:pPr>
                    <w:adjustRightInd w:val="0"/>
                    <w:snapToGrid w:val="0"/>
                    <w:jc w:val="center"/>
                    <w:rPr>
                      <w:szCs w:val="21"/>
                    </w:rPr>
                  </w:pPr>
                  <w:r>
                    <w:rPr>
                      <w:szCs w:val="21"/>
                    </w:rPr>
                    <w:t>工程</w:t>
                  </w:r>
                </w:p>
              </w:tc>
              <w:tc>
                <w:tcPr>
                  <w:tcW w:w="920" w:type="pct"/>
                  <w:gridSpan w:val="2"/>
                  <w:vAlign w:val="center"/>
                </w:tcPr>
                <w:p w14:paraId="710ED28F">
                  <w:pPr>
                    <w:adjustRightInd w:val="0"/>
                    <w:snapToGrid w:val="0"/>
                    <w:jc w:val="center"/>
                    <w:rPr>
                      <w:szCs w:val="21"/>
                    </w:rPr>
                  </w:pPr>
                  <w:r>
                    <w:rPr>
                      <w:rFonts w:hint="eastAsia"/>
                      <w:szCs w:val="21"/>
                    </w:rPr>
                    <w:t>锅炉房</w:t>
                  </w:r>
                </w:p>
              </w:tc>
              <w:tc>
                <w:tcPr>
                  <w:tcW w:w="1782" w:type="pct"/>
                  <w:vAlign w:val="center"/>
                </w:tcPr>
                <w:p w14:paraId="3CCF775C">
                  <w:pPr>
                    <w:adjustRightInd w:val="0"/>
                    <w:snapToGrid w:val="0"/>
                    <w:ind w:left="105" w:leftChars="50" w:right="105" w:rightChars="50"/>
                    <w:jc w:val="center"/>
                    <w:rPr>
                      <w:bCs/>
                      <w:szCs w:val="21"/>
                    </w:rPr>
                  </w:pPr>
                  <w:r>
                    <w:rPr>
                      <w:rFonts w:hint="eastAsia"/>
                      <w:bCs/>
                      <w:szCs w:val="21"/>
                    </w:rPr>
                    <w:t>建设锅炉房一座，建设2台</w:t>
                  </w:r>
                  <w:r>
                    <w:rPr>
                      <w:bCs/>
                      <w:szCs w:val="21"/>
                    </w:rPr>
                    <w:t>SZL20</w:t>
                  </w:r>
                  <w:r>
                    <w:rPr>
                      <w:rFonts w:hint="eastAsia"/>
                      <w:bCs/>
                      <w:szCs w:val="21"/>
                    </w:rPr>
                    <w:t>-</w:t>
                  </w:r>
                  <w:r>
                    <w:rPr>
                      <w:bCs/>
                      <w:szCs w:val="21"/>
                    </w:rPr>
                    <w:t>1.25-A</w:t>
                  </w:r>
                  <w:r>
                    <w:rPr>
                      <w:rFonts w:hint="eastAsia"/>
                      <w:bCs/>
                      <w:szCs w:val="21"/>
                    </w:rPr>
                    <w:t>Ⅲ</w:t>
                  </w:r>
                  <w:r>
                    <w:rPr>
                      <w:bCs/>
                      <w:szCs w:val="21"/>
                    </w:rPr>
                    <w:t>型</w:t>
                  </w:r>
                  <w:r>
                    <w:rPr>
                      <w:rFonts w:hint="eastAsia"/>
                      <w:bCs/>
                      <w:szCs w:val="21"/>
                    </w:rPr>
                    <w:t>20t/h</w:t>
                  </w:r>
                  <w:r>
                    <w:rPr>
                      <w:bCs/>
                      <w:szCs w:val="21"/>
                    </w:rPr>
                    <w:t>蒸汽锅炉</w:t>
                  </w:r>
                  <w:r>
                    <w:rPr>
                      <w:rFonts w:hint="eastAsia"/>
                      <w:bCs/>
                      <w:szCs w:val="21"/>
                    </w:rPr>
                    <w:t>，1台</w:t>
                  </w:r>
                  <w:r>
                    <w:rPr>
                      <w:bCs/>
                      <w:szCs w:val="21"/>
                    </w:rPr>
                    <w:t>SZL10</w:t>
                  </w:r>
                  <w:r>
                    <w:rPr>
                      <w:rFonts w:hint="eastAsia"/>
                      <w:bCs/>
                      <w:szCs w:val="21"/>
                    </w:rPr>
                    <w:t>-</w:t>
                  </w:r>
                  <w:r>
                    <w:rPr>
                      <w:bCs/>
                      <w:szCs w:val="21"/>
                    </w:rPr>
                    <w:t>1.25-A</w:t>
                  </w:r>
                  <w:r>
                    <w:rPr>
                      <w:rFonts w:hint="eastAsia"/>
                      <w:bCs/>
                      <w:szCs w:val="21"/>
                    </w:rPr>
                    <w:t>Ⅲ</w:t>
                  </w:r>
                  <w:r>
                    <w:rPr>
                      <w:bCs/>
                      <w:szCs w:val="21"/>
                    </w:rPr>
                    <w:t>型10t/h</w:t>
                  </w:r>
                  <w:r>
                    <w:rPr>
                      <w:rFonts w:hint="eastAsia"/>
                      <w:bCs/>
                      <w:szCs w:val="21"/>
                    </w:rPr>
                    <w:t>燃煤蒸汽锅炉，配套相应的输煤栈桥、炉前煤仓、室外渣仓以及烟气净化设施等</w:t>
                  </w:r>
                </w:p>
              </w:tc>
              <w:tc>
                <w:tcPr>
                  <w:tcW w:w="1782" w:type="pct"/>
                  <w:vAlign w:val="center"/>
                </w:tcPr>
                <w:p w14:paraId="60B09DC6">
                  <w:pPr>
                    <w:adjustRightInd w:val="0"/>
                    <w:snapToGrid w:val="0"/>
                    <w:ind w:left="105" w:leftChars="50" w:right="105" w:rightChars="50"/>
                    <w:jc w:val="center"/>
                    <w:rPr>
                      <w:szCs w:val="21"/>
                    </w:rPr>
                  </w:pPr>
                  <w:r>
                    <w:rPr>
                      <w:rFonts w:hint="eastAsia"/>
                      <w:bCs/>
                      <w:szCs w:val="21"/>
                    </w:rPr>
                    <w:t>建设锅炉房一座，将原环评批复拟建的2台20t/h、1台10t/h燃煤蒸汽锅炉改扩建为3台SZL20-1.25-AⅡ型20t/h燃煤蒸汽锅炉，配套相应的输煤栈桥、炉前煤仓、室外渣仓以及烟气净化设施等</w:t>
                  </w:r>
                </w:p>
              </w:tc>
              <w:tc>
                <w:tcPr>
                  <w:tcW w:w="268" w:type="pct"/>
                  <w:vAlign w:val="center"/>
                </w:tcPr>
                <w:p w14:paraId="72A1AF6F">
                  <w:pPr>
                    <w:adjustRightInd w:val="0"/>
                    <w:snapToGrid w:val="0"/>
                    <w:jc w:val="center"/>
                    <w:rPr>
                      <w:szCs w:val="21"/>
                    </w:rPr>
                  </w:pPr>
                  <w:r>
                    <w:rPr>
                      <w:rFonts w:hint="eastAsia"/>
                      <w:szCs w:val="21"/>
                    </w:rPr>
                    <w:t>改扩建</w:t>
                  </w:r>
                </w:p>
              </w:tc>
            </w:tr>
            <w:tr w14:paraId="29430C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48" w:type="pct"/>
                  <w:vMerge w:val="restart"/>
                  <w:vAlign w:val="center"/>
                </w:tcPr>
                <w:p w14:paraId="32850078">
                  <w:pPr>
                    <w:adjustRightInd w:val="0"/>
                    <w:snapToGrid w:val="0"/>
                    <w:jc w:val="center"/>
                    <w:rPr>
                      <w:szCs w:val="21"/>
                    </w:rPr>
                  </w:pPr>
                  <w:r>
                    <w:rPr>
                      <w:rFonts w:hint="eastAsia"/>
                      <w:szCs w:val="21"/>
                    </w:rPr>
                    <w:t>储运工程</w:t>
                  </w:r>
                </w:p>
              </w:tc>
              <w:tc>
                <w:tcPr>
                  <w:tcW w:w="920" w:type="pct"/>
                  <w:gridSpan w:val="2"/>
                  <w:vAlign w:val="center"/>
                </w:tcPr>
                <w:p w14:paraId="336FC300">
                  <w:pPr>
                    <w:adjustRightInd w:val="0"/>
                    <w:snapToGrid w:val="0"/>
                    <w:jc w:val="center"/>
                    <w:rPr>
                      <w:szCs w:val="21"/>
                    </w:rPr>
                  </w:pPr>
                  <w:r>
                    <w:rPr>
                      <w:rFonts w:hint="eastAsia"/>
                      <w:szCs w:val="21"/>
                    </w:rPr>
                    <w:t>输煤栈桥</w:t>
                  </w:r>
                </w:p>
              </w:tc>
              <w:tc>
                <w:tcPr>
                  <w:tcW w:w="1782" w:type="pct"/>
                  <w:vAlign w:val="center"/>
                </w:tcPr>
                <w:p w14:paraId="18319EFC">
                  <w:pPr>
                    <w:adjustRightInd w:val="0"/>
                    <w:snapToGrid w:val="0"/>
                    <w:ind w:left="105" w:leftChars="50" w:right="105" w:rightChars="50"/>
                    <w:jc w:val="center"/>
                    <w:rPr>
                      <w:bCs/>
                      <w:szCs w:val="21"/>
                    </w:rPr>
                  </w:pPr>
                  <w:r>
                    <w:rPr>
                      <w:rFonts w:hint="eastAsia"/>
                      <w:bCs/>
                      <w:szCs w:val="21"/>
                    </w:rPr>
                    <w:t>全封闭带式输煤栈桥1条，长约70m</w:t>
                  </w:r>
                </w:p>
              </w:tc>
              <w:tc>
                <w:tcPr>
                  <w:tcW w:w="1782" w:type="pct"/>
                  <w:vAlign w:val="center"/>
                </w:tcPr>
                <w:p w14:paraId="6198B4CF">
                  <w:pPr>
                    <w:adjustRightInd w:val="0"/>
                    <w:snapToGrid w:val="0"/>
                    <w:ind w:left="105" w:leftChars="50" w:right="105" w:rightChars="50"/>
                    <w:jc w:val="center"/>
                    <w:rPr>
                      <w:bCs/>
                      <w:szCs w:val="21"/>
                    </w:rPr>
                  </w:pPr>
                  <w:r>
                    <w:rPr>
                      <w:rFonts w:hint="eastAsia"/>
                      <w:bCs/>
                      <w:szCs w:val="21"/>
                    </w:rPr>
                    <w:t>全封闭带式输煤栈桥1条，长约70m</w:t>
                  </w:r>
                </w:p>
              </w:tc>
              <w:tc>
                <w:tcPr>
                  <w:tcW w:w="268" w:type="pct"/>
                  <w:vAlign w:val="center"/>
                </w:tcPr>
                <w:p w14:paraId="3A5D52EC">
                  <w:pPr>
                    <w:adjustRightInd w:val="0"/>
                    <w:snapToGrid w:val="0"/>
                    <w:jc w:val="center"/>
                    <w:rPr>
                      <w:szCs w:val="21"/>
                    </w:rPr>
                  </w:pPr>
                  <w:r>
                    <w:rPr>
                      <w:rFonts w:hint="eastAsia"/>
                      <w:szCs w:val="21"/>
                    </w:rPr>
                    <w:t>新建</w:t>
                  </w:r>
                </w:p>
              </w:tc>
            </w:tr>
            <w:tr w14:paraId="7535A8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48" w:type="pct"/>
                  <w:vMerge w:val="continue"/>
                  <w:vAlign w:val="center"/>
                </w:tcPr>
                <w:p w14:paraId="52CFB9F6">
                  <w:pPr>
                    <w:adjustRightInd w:val="0"/>
                    <w:snapToGrid w:val="0"/>
                    <w:jc w:val="center"/>
                    <w:rPr>
                      <w:szCs w:val="21"/>
                    </w:rPr>
                  </w:pPr>
                </w:p>
              </w:tc>
              <w:tc>
                <w:tcPr>
                  <w:tcW w:w="920" w:type="pct"/>
                  <w:gridSpan w:val="2"/>
                  <w:vAlign w:val="center"/>
                </w:tcPr>
                <w:p w14:paraId="061DE338">
                  <w:pPr>
                    <w:adjustRightInd w:val="0"/>
                    <w:snapToGrid w:val="0"/>
                    <w:jc w:val="center"/>
                    <w:rPr>
                      <w:szCs w:val="21"/>
                    </w:rPr>
                  </w:pPr>
                  <w:r>
                    <w:rPr>
                      <w:rFonts w:hint="eastAsia"/>
                      <w:bCs/>
                      <w:szCs w:val="21"/>
                    </w:rPr>
                    <w:t>炉前煤仓</w:t>
                  </w:r>
                </w:p>
              </w:tc>
              <w:tc>
                <w:tcPr>
                  <w:tcW w:w="1782" w:type="pct"/>
                  <w:vAlign w:val="center"/>
                </w:tcPr>
                <w:p w14:paraId="7CF87D3A">
                  <w:pPr>
                    <w:adjustRightInd w:val="0"/>
                    <w:snapToGrid w:val="0"/>
                    <w:ind w:left="105" w:leftChars="50" w:right="105" w:rightChars="50"/>
                    <w:jc w:val="center"/>
                    <w:rPr>
                      <w:bCs/>
                      <w:szCs w:val="21"/>
                    </w:rPr>
                  </w:pPr>
                  <w:r>
                    <w:rPr>
                      <w:rFonts w:hint="eastAsia"/>
                      <w:bCs/>
                      <w:szCs w:val="21"/>
                    </w:rPr>
                    <w:t>/</w:t>
                  </w:r>
                </w:p>
              </w:tc>
              <w:tc>
                <w:tcPr>
                  <w:tcW w:w="1782" w:type="pct"/>
                  <w:vAlign w:val="center"/>
                </w:tcPr>
                <w:p w14:paraId="43A28E72">
                  <w:pPr>
                    <w:adjustRightInd w:val="0"/>
                    <w:snapToGrid w:val="0"/>
                    <w:ind w:left="105" w:leftChars="50" w:right="105" w:rightChars="50"/>
                    <w:jc w:val="center"/>
                    <w:rPr>
                      <w:szCs w:val="21"/>
                    </w:rPr>
                  </w:pPr>
                  <w:r>
                    <w:rPr>
                      <w:rFonts w:hint="eastAsia"/>
                      <w:bCs/>
                      <w:szCs w:val="21"/>
                    </w:rPr>
                    <w:t>全封闭储煤仓100</w:t>
                  </w:r>
                  <w:r>
                    <w:rPr>
                      <w:bCs/>
                      <w:szCs w:val="21"/>
                    </w:rPr>
                    <w:t>m</w:t>
                  </w:r>
                  <w:r>
                    <w:rPr>
                      <w:rFonts w:hint="eastAsia"/>
                      <w:bCs/>
                      <w:szCs w:val="21"/>
                      <w:vertAlign w:val="superscript"/>
                    </w:rPr>
                    <w:t>3</w:t>
                  </w:r>
                  <w:r>
                    <w:rPr>
                      <w:rFonts w:hint="eastAsia"/>
                      <w:bCs/>
                      <w:szCs w:val="21"/>
                    </w:rPr>
                    <w:t>，储煤量120t</w:t>
                  </w:r>
                </w:p>
              </w:tc>
              <w:tc>
                <w:tcPr>
                  <w:tcW w:w="268" w:type="pct"/>
                  <w:vAlign w:val="center"/>
                </w:tcPr>
                <w:p w14:paraId="4E3F809B">
                  <w:pPr>
                    <w:adjustRightInd w:val="0"/>
                    <w:snapToGrid w:val="0"/>
                    <w:jc w:val="center"/>
                    <w:rPr>
                      <w:szCs w:val="21"/>
                    </w:rPr>
                  </w:pPr>
                  <w:r>
                    <w:rPr>
                      <w:rFonts w:hint="eastAsia"/>
                      <w:szCs w:val="21"/>
                    </w:rPr>
                    <w:t>新建</w:t>
                  </w:r>
                </w:p>
              </w:tc>
            </w:tr>
            <w:tr w14:paraId="2756A2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48" w:type="pct"/>
                  <w:vMerge w:val="continue"/>
                  <w:vAlign w:val="center"/>
                </w:tcPr>
                <w:p w14:paraId="268684B1">
                  <w:pPr>
                    <w:adjustRightInd w:val="0"/>
                    <w:snapToGrid w:val="0"/>
                    <w:jc w:val="center"/>
                    <w:rPr>
                      <w:szCs w:val="21"/>
                    </w:rPr>
                  </w:pPr>
                </w:p>
              </w:tc>
              <w:tc>
                <w:tcPr>
                  <w:tcW w:w="920" w:type="pct"/>
                  <w:gridSpan w:val="2"/>
                  <w:vAlign w:val="center"/>
                </w:tcPr>
                <w:p w14:paraId="119D3160">
                  <w:pPr>
                    <w:adjustRightInd w:val="0"/>
                    <w:snapToGrid w:val="0"/>
                    <w:jc w:val="center"/>
                    <w:rPr>
                      <w:bCs/>
                      <w:szCs w:val="21"/>
                    </w:rPr>
                  </w:pPr>
                  <w:r>
                    <w:rPr>
                      <w:rFonts w:hint="eastAsia"/>
                      <w:bCs/>
                      <w:szCs w:val="21"/>
                    </w:rPr>
                    <w:t>室外渣仓</w:t>
                  </w:r>
                </w:p>
              </w:tc>
              <w:tc>
                <w:tcPr>
                  <w:tcW w:w="1782" w:type="pct"/>
                  <w:vAlign w:val="center"/>
                </w:tcPr>
                <w:p w14:paraId="00850279">
                  <w:pPr>
                    <w:adjustRightInd w:val="0"/>
                    <w:snapToGrid w:val="0"/>
                    <w:ind w:left="105" w:leftChars="50" w:right="105" w:rightChars="50"/>
                    <w:jc w:val="center"/>
                    <w:rPr>
                      <w:bCs/>
                      <w:szCs w:val="21"/>
                    </w:rPr>
                  </w:pPr>
                  <w:r>
                    <w:rPr>
                      <w:rFonts w:hint="eastAsia"/>
                      <w:bCs/>
                      <w:szCs w:val="21"/>
                    </w:rPr>
                    <w:t>/</w:t>
                  </w:r>
                </w:p>
              </w:tc>
              <w:tc>
                <w:tcPr>
                  <w:tcW w:w="1782" w:type="pct"/>
                  <w:vAlign w:val="center"/>
                </w:tcPr>
                <w:p w14:paraId="567BF6C2">
                  <w:pPr>
                    <w:adjustRightInd w:val="0"/>
                    <w:snapToGrid w:val="0"/>
                    <w:ind w:left="105" w:leftChars="50" w:right="105" w:rightChars="50"/>
                    <w:jc w:val="center"/>
                    <w:rPr>
                      <w:bCs/>
                      <w:szCs w:val="21"/>
                    </w:rPr>
                  </w:pPr>
                  <w:r>
                    <w:rPr>
                      <w:rFonts w:hint="eastAsia"/>
                      <w:bCs/>
                      <w:szCs w:val="21"/>
                    </w:rPr>
                    <w:t>全封闭储渣仓50m</w:t>
                  </w:r>
                  <w:r>
                    <w:rPr>
                      <w:rFonts w:hint="eastAsia"/>
                      <w:bCs/>
                      <w:szCs w:val="21"/>
                      <w:vertAlign w:val="superscript"/>
                    </w:rPr>
                    <w:t>2</w:t>
                  </w:r>
                  <w:r>
                    <w:rPr>
                      <w:rFonts w:hint="eastAsia"/>
                      <w:bCs/>
                      <w:szCs w:val="21"/>
                    </w:rPr>
                    <w:t>，容积100m³</w:t>
                  </w:r>
                </w:p>
              </w:tc>
              <w:tc>
                <w:tcPr>
                  <w:tcW w:w="268" w:type="pct"/>
                  <w:vAlign w:val="center"/>
                </w:tcPr>
                <w:p w14:paraId="6CB643DF">
                  <w:pPr>
                    <w:adjustRightInd w:val="0"/>
                    <w:snapToGrid w:val="0"/>
                    <w:jc w:val="center"/>
                    <w:rPr>
                      <w:szCs w:val="21"/>
                    </w:rPr>
                  </w:pPr>
                  <w:r>
                    <w:rPr>
                      <w:rFonts w:hint="eastAsia"/>
                      <w:szCs w:val="21"/>
                    </w:rPr>
                    <w:t>新建</w:t>
                  </w:r>
                </w:p>
              </w:tc>
            </w:tr>
            <w:tr w14:paraId="700F2D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48" w:type="pct"/>
                  <w:vMerge w:val="restart"/>
                  <w:vAlign w:val="center"/>
                </w:tcPr>
                <w:p w14:paraId="419A20E0">
                  <w:pPr>
                    <w:adjustRightInd w:val="0"/>
                    <w:snapToGrid w:val="0"/>
                    <w:jc w:val="center"/>
                    <w:rPr>
                      <w:szCs w:val="21"/>
                    </w:rPr>
                  </w:pPr>
                  <w:r>
                    <w:rPr>
                      <w:rFonts w:hint="eastAsia"/>
                      <w:szCs w:val="21"/>
                    </w:rPr>
                    <w:t>公用</w:t>
                  </w:r>
                </w:p>
                <w:p w14:paraId="50EC05BE">
                  <w:pPr>
                    <w:adjustRightInd w:val="0"/>
                    <w:snapToGrid w:val="0"/>
                    <w:jc w:val="center"/>
                    <w:rPr>
                      <w:szCs w:val="21"/>
                    </w:rPr>
                  </w:pPr>
                  <w:r>
                    <w:rPr>
                      <w:szCs w:val="21"/>
                    </w:rPr>
                    <w:t>工程</w:t>
                  </w:r>
                </w:p>
              </w:tc>
              <w:tc>
                <w:tcPr>
                  <w:tcW w:w="920" w:type="pct"/>
                  <w:gridSpan w:val="2"/>
                  <w:vAlign w:val="center"/>
                </w:tcPr>
                <w:p w14:paraId="09A53819">
                  <w:pPr>
                    <w:adjustRightInd w:val="0"/>
                    <w:snapToGrid w:val="0"/>
                    <w:jc w:val="center"/>
                    <w:rPr>
                      <w:szCs w:val="21"/>
                    </w:rPr>
                  </w:pPr>
                  <w:r>
                    <w:rPr>
                      <w:rFonts w:hint="eastAsia"/>
                      <w:szCs w:val="21"/>
                    </w:rPr>
                    <w:t>软化水处理装置</w:t>
                  </w:r>
                </w:p>
              </w:tc>
              <w:tc>
                <w:tcPr>
                  <w:tcW w:w="1782" w:type="pct"/>
                  <w:vAlign w:val="center"/>
                </w:tcPr>
                <w:p w14:paraId="233EB6D5">
                  <w:pPr>
                    <w:adjustRightInd w:val="0"/>
                    <w:snapToGrid w:val="0"/>
                    <w:ind w:left="105" w:leftChars="50" w:right="105" w:rightChars="50"/>
                    <w:jc w:val="center"/>
                    <w:rPr>
                      <w:bCs/>
                      <w:szCs w:val="21"/>
                    </w:rPr>
                  </w:pPr>
                  <w:r>
                    <w:rPr>
                      <w:rFonts w:hint="eastAsia"/>
                      <w:bCs/>
                      <w:szCs w:val="21"/>
                    </w:rPr>
                    <w:t>/</w:t>
                  </w:r>
                </w:p>
              </w:tc>
              <w:tc>
                <w:tcPr>
                  <w:tcW w:w="1782" w:type="pct"/>
                  <w:vAlign w:val="center"/>
                </w:tcPr>
                <w:p w14:paraId="2265C40B">
                  <w:pPr>
                    <w:adjustRightInd w:val="0"/>
                    <w:snapToGrid w:val="0"/>
                    <w:ind w:left="105" w:leftChars="50" w:right="105" w:rightChars="50"/>
                    <w:jc w:val="center"/>
                    <w:rPr>
                      <w:szCs w:val="21"/>
                    </w:rPr>
                  </w:pPr>
                  <w:bookmarkStart w:id="15" w:name="_Hlk176422412"/>
                  <w:r>
                    <w:rPr>
                      <w:rFonts w:hint="eastAsia"/>
                      <w:bCs/>
                      <w:szCs w:val="21"/>
                    </w:rPr>
                    <w:t>新建全自动软化水处理装置，采用2台离子交换树脂器，设置2台除氧器，单台处理规模均为20t/h，软化水用于锅炉补充水</w:t>
                  </w:r>
                  <w:bookmarkEnd w:id="15"/>
                </w:p>
              </w:tc>
              <w:tc>
                <w:tcPr>
                  <w:tcW w:w="268" w:type="pct"/>
                  <w:vAlign w:val="center"/>
                </w:tcPr>
                <w:p w14:paraId="351E8CE0">
                  <w:pPr>
                    <w:adjustRightInd w:val="0"/>
                    <w:snapToGrid w:val="0"/>
                    <w:jc w:val="center"/>
                    <w:rPr>
                      <w:szCs w:val="21"/>
                    </w:rPr>
                  </w:pPr>
                  <w:r>
                    <w:rPr>
                      <w:rFonts w:hint="eastAsia"/>
                      <w:szCs w:val="21"/>
                    </w:rPr>
                    <w:t>新建</w:t>
                  </w:r>
                </w:p>
              </w:tc>
            </w:tr>
            <w:tr w14:paraId="6B42FB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48" w:type="pct"/>
                  <w:vMerge w:val="continue"/>
                  <w:vAlign w:val="center"/>
                </w:tcPr>
                <w:p w14:paraId="3CBE5C17">
                  <w:pPr>
                    <w:adjustRightInd w:val="0"/>
                    <w:snapToGrid w:val="0"/>
                    <w:jc w:val="center"/>
                    <w:rPr>
                      <w:szCs w:val="21"/>
                    </w:rPr>
                  </w:pPr>
                </w:p>
              </w:tc>
              <w:tc>
                <w:tcPr>
                  <w:tcW w:w="920" w:type="pct"/>
                  <w:gridSpan w:val="2"/>
                  <w:vAlign w:val="center"/>
                </w:tcPr>
                <w:p w14:paraId="6DDFC0E2">
                  <w:pPr>
                    <w:adjustRightInd w:val="0"/>
                    <w:snapToGrid w:val="0"/>
                    <w:jc w:val="center"/>
                    <w:rPr>
                      <w:szCs w:val="21"/>
                    </w:rPr>
                  </w:pPr>
                  <w:r>
                    <w:rPr>
                      <w:rFonts w:hint="eastAsia"/>
                      <w:szCs w:val="21"/>
                    </w:rPr>
                    <w:t>供水</w:t>
                  </w:r>
                </w:p>
              </w:tc>
              <w:tc>
                <w:tcPr>
                  <w:tcW w:w="1782" w:type="pct"/>
                  <w:vAlign w:val="center"/>
                </w:tcPr>
                <w:p w14:paraId="61642643">
                  <w:pPr>
                    <w:adjustRightInd w:val="0"/>
                    <w:snapToGrid w:val="0"/>
                    <w:ind w:left="105" w:leftChars="50" w:right="105" w:rightChars="50"/>
                    <w:jc w:val="center"/>
                    <w:rPr>
                      <w:bCs/>
                      <w:szCs w:val="21"/>
                    </w:rPr>
                  </w:pPr>
                  <w:r>
                    <w:rPr>
                      <w:rFonts w:hint="eastAsia"/>
                      <w:bCs/>
                      <w:szCs w:val="21"/>
                    </w:rPr>
                    <w:t>本项目锅炉供水来自经处理后的矿井水；</w:t>
                  </w:r>
                  <w:r>
                    <w:rPr>
                      <w:bCs/>
                      <w:szCs w:val="21"/>
                    </w:rPr>
                    <w:t>矿井生活水源采用第四系孔隙潜水</w:t>
                  </w:r>
                  <w:r>
                    <w:rPr>
                      <w:rFonts w:hint="eastAsia"/>
                      <w:bCs/>
                      <w:szCs w:val="21"/>
                    </w:rPr>
                    <w:t>，设集水井一座</w:t>
                  </w:r>
                </w:p>
              </w:tc>
              <w:tc>
                <w:tcPr>
                  <w:tcW w:w="1782" w:type="pct"/>
                  <w:vAlign w:val="center"/>
                </w:tcPr>
                <w:p w14:paraId="3BF798D6">
                  <w:pPr>
                    <w:adjustRightInd w:val="0"/>
                    <w:snapToGrid w:val="0"/>
                    <w:ind w:left="105" w:leftChars="50" w:right="105" w:rightChars="50"/>
                    <w:jc w:val="center"/>
                    <w:rPr>
                      <w:bCs/>
                      <w:szCs w:val="21"/>
                    </w:rPr>
                  </w:pPr>
                  <w:r>
                    <w:rPr>
                      <w:rFonts w:hint="eastAsia"/>
                      <w:bCs/>
                      <w:szCs w:val="21"/>
                    </w:rPr>
                    <w:t>本项目锅炉供水来自经处理后的矿井水；本项目无新增劳动定员，无新增生活用水</w:t>
                  </w:r>
                </w:p>
              </w:tc>
              <w:tc>
                <w:tcPr>
                  <w:tcW w:w="268" w:type="pct"/>
                  <w:vAlign w:val="center"/>
                </w:tcPr>
                <w:p w14:paraId="24AF119A">
                  <w:pPr>
                    <w:adjustRightInd w:val="0"/>
                    <w:snapToGrid w:val="0"/>
                    <w:jc w:val="center"/>
                    <w:rPr>
                      <w:szCs w:val="21"/>
                    </w:rPr>
                  </w:pPr>
                  <w:r>
                    <w:rPr>
                      <w:rFonts w:hint="eastAsia"/>
                      <w:szCs w:val="21"/>
                    </w:rPr>
                    <w:t>新建</w:t>
                  </w:r>
                </w:p>
              </w:tc>
            </w:tr>
            <w:tr w14:paraId="55A38D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48" w:type="pct"/>
                  <w:vMerge w:val="continue"/>
                  <w:vAlign w:val="center"/>
                </w:tcPr>
                <w:p w14:paraId="6617BCED">
                  <w:pPr>
                    <w:adjustRightInd w:val="0"/>
                    <w:snapToGrid w:val="0"/>
                    <w:jc w:val="center"/>
                    <w:rPr>
                      <w:szCs w:val="21"/>
                    </w:rPr>
                  </w:pPr>
                </w:p>
              </w:tc>
              <w:tc>
                <w:tcPr>
                  <w:tcW w:w="920" w:type="pct"/>
                  <w:gridSpan w:val="2"/>
                  <w:vAlign w:val="center"/>
                </w:tcPr>
                <w:p w14:paraId="37B7CD74">
                  <w:pPr>
                    <w:adjustRightInd w:val="0"/>
                    <w:snapToGrid w:val="0"/>
                    <w:jc w:val="center"/>
                    <w:rPr>
                      <w:szCs w:val="21"/>
                    </w:rPr>
                  </w:pPr>
                  <w:r>
                    <w:rPr>
                      <w:rFonts w:hint="eastAsia"/>
                      <w:szCs w:val="21"/>
                    </w:rPr>
                    <w:t>供电</w:t>
                  </w:r>
                </w:p>
              </w:tc>
              <w:tc>
                <w:tcPr>
                  <w:tcW w:w="1782" w:type="pct"/>
                  <w:vAlign w:val="center"/>
                </w:tcPr>
                <w:p w14:paraId="1AE67522">
                  <w:pPr>
                    <w:adjustRightInd w:val="0"/>
                    <w:snapToGrid w:val="0"/>
                    <w:ind w:left="105" w:leftChars="50" w:right="105" w:rightChars="50"/>
                    <w:jc w:val="center"/>
                    <w:rPr>
                      <w:bCs/>
                      <w:szCs w:val="21"/>
                    </w:rPr>
                  </w:pPr>
                  <w:r>
                    <w:rPr>
                      <w:rFonts w:hint="eastAsia"/>
                      <w:bCs/>
                      <w:szCs w:val="21"/>
                    </w:rPr>
                    <w:t>两回10kV进线电源分别引自矿井110kV主变电所的10kV不同母线侧，变压器选用800kVA型干式变压器2台，一工作一备用。低压开关柜选用GCS型组合式开关柜，共8台</w:t>
                  </w:r>
                </w:p>
              </w:tc>
              <w:tc>
                <w:tcPr>
                  <w:tcW w:w="1782" w:type="pct"/>
                  <w:vAlign w:val="center"/>
                </w:tcPr>
                <w:p w14:paraId="2151B090">
                  <w:pPr>
                    <w:adjustRightInd w:val="0"/>
                    <w:snapToGrid w:val="0"/>
                    <w:ind w:left="105" w:leftChars="50" w:right="105" w:rightChars="50"/>
                    <w:jc w:val="center"/>
                    <w:rPr>
                      <w:bCs/>
                      <w:szCs w:val="21"/>
                    </w:rPr>
                  </w:pPr>
                  <w:r>
                    <w:rPr>
                      <w:rFonts w:hint="eastAsia"/>
                      <w:bCs/>
                      <w:szCs w:val="21"/>
                    </w:rPr>
                    <w:t>供电来自煤矿110kV变电所</w:t>
                  </w:r>
                </w:p>
              </w:tc>
              <w:tc>
                <w:tcPr>
                  <w:tcW w:w="268" w:type="pct"/>
                  <w:vAlign w:val="center"/>
                </w:tcPr>
                <w:p w14:paraId="55EF3A7C">
                  <w:pPr>
                    <w:adjustRightInd w:val="0"/>
                    <w:snapToGrid w:val="0"/>
                    <w:jc w:val="center"/>
                    <w:rPr>
                      <w:szCs w:val="21"/>
                    </w:rPr>
                  </w:pPr>
                  <w:r>
                    <w:rPr>
                      <w:rFonts w:hint="eastAsia"/>
                      <w:szCs w:val="21"/>
                    </w:rPr>
                    <w:t>依托</w:t>
                  </w:r>
                </w:p>
              </w:tc>
            </w:tr>
            <w:tr w14:paraId="792FEA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48" w:type="pct"/>
                  <w:vMerge w:val="restart"/>
                  <w:vAlign w:val="center"/>
                </w:tcPr>
                <w:p w14:paraId="1157A6C1">
                  <w:pPr>
                    <w:adjustRightInd w:val="0"/>
                    <w:snapToGrid w:val="0"/>
                    <w:jc w:val="center"/>
                    <w:rPr>
                      <w:szCs w:val="21"/>
                    </w:rPr>
                  </w:pPr>
                  <w:r>
                    <w:rPr>
                      <w:szCs w:val="21"/>
                    </w:rPr>
                    <w:t>环保</w:t>
                  </w:r>
                </w:p>
                <w:p w14:paraId="6AA5056A">
                  <w:pPr>
                    <w:adjustRightInd w:val="0"/>
                    <w:snapToGrid w:val="0"/>
                    <w:jc w:val="center"/>
                    <w:rPr>
                      <w:szCs w:val="21"/>
                    </w:rPr>
                  </w:pPr>
                  <w:r>
                    <w:rPr>
                      <w:szCs w:val="21"/>
                    </w:rPr>
                    <w:t>工程</w:t>
                  </w:r>
                </w:p>
              </w:tc>
              <w:tc>
                <w:tcPr>
                  <w:tcW w:w="311" w:type="pct"/>
                  <w:vMerge w:val="restart"/>
                  <w:vAlign w:val="center"/>
                </w:tcPr>
                <w:p w14:paraId="57CDA267">
                  <w:pPr>
                    <w:adjustRightInd w:val="0"/>
                    <w:snapToGrid w:val="0"/>
                    <w:jc w:val="center"/>
                    <w:rPr>
                      <w:szCs w:val="21"/>
                    </w:rPr>
                  </w:pPr>
                  <w:r>
                    <w:rPr>
                      <w:szCs w:val="21"/>
                    </w:rPr>
                    <w:t>废气</w:t>
                  </w:r>
                </w:p>
              </w:tc>
              <w:tc>
                <w:tcPr>
                  <w:tcW w:w="609" w:type="pct"/>
                  <w:vAlign w:val="center"/>
                </w:tcPr>
                <w:p w14:paraId="06DC1CAB">
                  <w:pPr>
                    <w:adjustRightInd w:val="0"/>
                    <w:snapToGrid w:val="0"/>
                    <w:jc w:val="center"/>
                    <w:rPr>
                      <w:szCs w:val="21"/>
                    </w:rPr>
                  </w:pPr>
                  <w:r>
                    <w:rPr>
                      <w:rFonts w:hint="eastAsia"/>
                    </w:rPr>
                    <w:t>锅炉烟气、氨逃逸</w:t>
                  </w:r>
                </w:p>
              </w:tc>
              <w:tc>
                <w:tcPr>
                  <w:tcW w:w="1782" w:type="pct"/>
                  <w:vAlign w:val="center"/>
                </w:tcPr>
                <w:p w14:paraId="26C9E824">
                  <w:pPr>
                    <w:adjustRightInd w:val="0"/>
                    <w:snapToGrid w:val="0"/>
                    <w:ind w:left="105" w:leftChars="50" w:right="105" w:rightChars="50"/>
                    <w:jc w:val="center"/>
                    <w:rPr>
                      <w:bCs/>
                      <w:szCs w:val="21"/>
                    </w:rPr>
                  </w:pPr>
                  <w:r>
                    <w:rPr>
                      <w:rFonts w:hint="eastAsia"/>
                      <w:bCs/>
                      <w:szCs w:val="21"/>
                    </w:rPr>
                    <w:t>采用一级多管旋风除尘器+二级旋流板塔脱硫除尘（双碱法工艺），由1根60m高排气筒排放</w:t>
                  </w:r>
                </w:p>
              </w:tc>
              <w:tc>
                <w:tcPr>
                  <w:tcW w:w="1782" w:type="pct"/>
                  <w:vAlign w:val="center"/>
                </w:tcPr>
                <w:p w14:paraId="45447807">
                  <w:pPr>
                    <w:adjustRightInd w:val="0"/>
                    <w:snapToGrid w:val="0"/>
                    <w:ind w:left="105" w:leftChars="50" w:right="105" w:rightChars="50"/>
                    <w:jc w:val="center"/>
                    <w:rPr>
                      <w:szCs w:val="21"/>
                    </w:rPr>
                  </w:pPr>
                  <w:r>
                    <w:rPr>
                      <w:rFonts w:hint="eastAsia"/>
                      <w:bCs/>
                      <w:szCs w:val="21"/>
                    </w:rPr>
                    <w:t>采用炉内SNCR+3套SCR+3套旋风除尘+袋式除尘+1套氧化镁湿法脱硫处理，烟气由1根45m高排气筒（DA001）排放</w:t>
                  </w:r>
                </w:p>
              </w:tc>
              <w:tc>
                <w:tcPr>
                  <w:tcW w:w="268" w:type="pct"/>
                  <w:vMerge w:val="restart"/>
                  <w:vAlign w:val="center"/>
                </w:tcPr>
                <w:p w14:paraId="6EBD8F50">
                  <w:pPr>
                    <w:adjustRightInd w:val="0"/>
                    <w:snapToGrid w:val="0"/>
                    <w:jc w:val="center"/>
                    <w:rPr>
                      <w:szCs w:val="21"/>
                    </w:rPr>
                  </w:pPr>
                  <w:r>
                    <w:rPr>
                      <w:rFonts w:hint="eastAsia"/>
                      <w:szCs w:val="21"/>
                    </w:rPr>
                    <w:t>“三同时”</w:t>
                  </w:r>
                </w:p>
              </w:tc>
            </w:tr>
            <w:tr w14:paraId="16F349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48" w:type="pct"/>
                  <w:vMerge w:val="continue"/>
                  <w:vAlign w:val="center"/>
                </w:tcPr>
                <w:p w14:paraId="3E329D1C">
                  <w:pPr>
                    <w:adjustRightInd w:val="0"/>
                    <w:snapToGrid w:val="0"/>
                    <w:jc w:val="center"/>
                    <w:rPr>
                      <w:szCs w:val="21"/>
                    </w:rPr>
                  </w:pPr>
                </w:p>
              </w:tc>
              <w:tc>
                <w:tcPr>
                  <w:tcW w:w="311" w:type="pct"/>
                  <w:vMerge w:val="continue"/>
                  <w:vAlign w:val="center"/>
                </w:tcPr>
                <w:p w14:paraId="36C2116A">
                  <w:pPr>
                    <w:adjustRightInd w:val="0"/>
                    <w:snapToGrid w:val="0"/>
                    <w:jc w:val="center"/>
                    <w:rPr>
                      <w:szCs w:val="21"/>
                    </w:rPr>
                  </w:pPr>
                </w:p>
              </w:tc>
              <w:tc>
                <w:tcPr>
                  <w:tcW w:w="609" w:type="pct"/>
                  <w:vAlign w:val="center"/>
                </w:tcPr>
                <w:p w14:paraId="4E22EBF8">
                  <w:pPr>
                    <w:adjustRightInd w:val="0"/>
                    <w:snapToGrid w:val="0"/>
                    <w:jc w:val="center"/>
                    <w:rPr>
                      <w:szCs w:val="21"/>
                    </w:rPr>
                  </w:pPr>
                  <w:r>
                    <w:rPr>
                      <w:rFonts w:hint="eastAsia"/>
                      <w:szCs w:val="21"/>
                    </w:rPr>
                    <w:t>煤仓、渣仓无组织废气</w:t>
                  </w:r>
                </w:p>
              </w:tc>
              <w:tc>
                <w:tcPr>
                  <w:tcW w:w="1782" w:type="pct"/>
                  <w:vAlign w:val="center"/>
                </w:tcPr>
                <w:p w14:paraId="40CB6E74">
                  <w:pPr>
                    <w:adjustRightInd w:val="0"/>
                    <w:snapToGrid w:val="0"/>
                    <w:ind w:left="105" w:leftChars="50" w:right="105" w:rightChars="50"/>
                    <w:jc w:val="center"/>
                    <w:rPr>
                      <w:bCs/>
                      <w:szCs w:val="21"/>
                    </w:rPr>
                  </w:pPr>
                  <w:r>
                    <w:rPr>
                      <w:rFonts w:hint="eastAsia"/>
                      <w:bCs/>
                      <w:szCs w:val="21"/>
                    </w:rPr>
                    <w:t>/</w:t>
                  </w:r>
                </w:p>
              </w:tc>
              <w:tc>
                <w:tcPr>
                  <w:tcW w:w="1782" w:type="pct"/>
                  <w:vAlign w:val="center"/>
                </w:tcPr>
                <w:p w14:paraId="2CC3687B">
                  <w:pPr>
                    <w:adjustRightInd w:val="0"/>
                    <w:snapToGrid w:val="0"/>
                    <w:ind w:left="105" w:leftChars="50" w:right="105" w:rightChars="50"/>
                    <w:jc w:val="center"/>
                    <w:rPr>
                      <w:szCs w:val="21"/>
                    </w:rPr>
                  </w:pPr>
                  <w:r>
                    <w:rPr>
                      <w:rFonts w:hint="eastAsia"/>
                      <w:bCs/>
                      <w:szCs w:val="21"/>
                    </w:rPr>
                    <w:t>煤仓、渣仓全封闭</w:t>
                  </w:r>
                </w:p>
              </w:tc>
              <w:tc>
                <w:tcPr>
                  <w:tcW w:w="268" w:type="pct"/>
                  <w:vMerge w:val="continue"/>
                  <w:vAlign w:val="center"/>
                </w:tcPr>
                <w:p w14:paraId="5F8BF2ED">
                  <w:pPr>
                    <w:adjustRightInd w:val="0"/>
                    <w:snapToGrid w:val="0"/>
                    <w:jc w:val="center"/>
                    <w:rPr>
                      <w:szCs w:val="21"/>
                    </w:rPr>
                  </w:pPr>
                </w:p>
              </w:tc>
            </w:tr>
            <w:tr w14:paraId="068CD3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53" w:hRule="atLeast"/>
                <w:jc w:val="center"/>
              </w:trPr>
              <w:tc>
                <w:tcPr>
                  <w:tcW w:w="248" w:type="pct"/>
                  <w:vMerge w:val="continue"/>
                  <w:vAlign w:val="center"/>
                </w:tcPr>
                <w:p w14:paraId="0DF80897">
                  <w:pPr>
                    <w:adjustRightInd w:val="0"/>
                    <w:snapToGrid w:val="0"/>
                    <w:jc w:val="center"/>
                    <w:rPr>
                      <w:szCs w:val="21"/>
                    </w:rPr>
                  </w:pPr>
                </w:p>
              </w:tc>
              <w:tc>
                <w:tcPr>
                  <w:tcW w:w="311" w:type="pct"/>
                  <w:vMerge w:val="restart"/>
                  <w:vAlign w:val="center"/>
                </w:tcPr>
                <w:p w14:paraId="7F6E3A9B">
                  <w:pPr>
                    <w:adjustRightInd w:val="0"/>
                    <w:snapToGrid w:val="0"/>
                    <w:jc w:val="center"/>
                    <w:rPr>
                      <w:szCs w:val="21"/>
                    </w:rPr>
                  </w:pPr>
                  <w:r>
                    <w:rPr>
                      <w:szCs w:val="21"/>
                    </w:rPr>
                    <w:t>废水</w:t>
                  </w:r>
                </w:p>
              </w:tc>
              <w:tc>
                <w:tcPr>
                  <w:tcW w:w="609" w:type="pct"/>
                  <w:vAlign w:val="center"/>
                </w:tcPr>
                <w:p w14:paraId="42CB3D87">
                  <w:pPr>
                    <w:adjustRightInd w:val="0"/>
                    <w:snapToGrid w:val="0"/>
                    <w:jc w:val="center"/>
                    <w:rPr>
                      <w:szCs w:val="21"/>
                    </w:rPr>
                  </w:pPr>
                  <w:r>
                    <w:rPr>
                      <w:rFonts w:hint="eastAsia"/>
                      <w:szCs w:val="21"/>
                    </w:rPr>
                    <w:t>生活污水</w:t>
                  </w:r>
                </w:p>
              </w:tc>
              <w:tc>
                <w:tcPr>
                  <w:tcW w:w="1782" w:type="pct"/>
                  <w:vAlign w:val="center"/>
                </w:tcPr>
                <w:p w14:paraId="109AC17E">
                  <w:pPr>
                    <w:adjustRightInd w:val="0"/>
                    <w:snapToGrid w:val="0"/>
                    <w:ind w:left="105" w:leftChars="50" w:right="105" w:rightChars="50"/>
                    <w:jc w:val="center"/>
                    <w:rPr>
                      <w:szCs w:val="21"/>
                    </w:rPr>
                  </w:pPr>
                  <w:r>
                    <w:rPr>
                      <w:rFonts w:hint="eastAsia"/>
                      <w:szCs w:val="21"/>
                    </w:rPr>
                    <w:t>原环评设计煤矿劳动定员为1209人，生活污水最大为804.7m</w:t>
                  </w:r>
                  <w:r>
                    <w:rPr>
                      <w:rFonts w:hint="eastAsia"/>
                      <w:szCs w:val="21"/>
                      <w:vertAlign w:val="superscript"/>
                    </w:rPr>
                    <w:t>3</w:t>
                  </w:r>
                  <w:r>
                    <w:rPr>
                      <w:rFonts w:hint="eastAsia"/>
                      <w:szCs w:val="21"/>
                    </w:rPr>
                    <w:t>/d</w:t>
                  </w:r>
                </w:p>
              </w:tc>
              <w:tc>
                <w:tcPr>
                  <w:tcW w:w="1782" w:type="pct"/>
                  <w:vAlign w:val="center"/>
                </w:tcPr>
                <w:p w14:paraId="0A042935">
                  <w:pPr>
                    <w:adjustRightInd w:val="0"/>
                    <w:snapToGrid w:val="0"/>
                    <w:ind w:left="105" w:leftChars="50" w:right="105" w:rightChars="50"/>
                    <w:jc w:val="center"/>
                    <w:rPr>
                      <w:szCs w:val="21"/>
                    </w:rPr>
                  </w:pPr>
                  <w:r>
                    <w:rPr>
                      <w:rFonts w:hint="eastAsia"/>
                      <w:szCs w:val="21"/>
                    </w:rPr>
                    <w:t>项目无新增劳动定员，无新增生活污水</w:t>
                  </w:r>
                </w:p>
              </w:tc>
              <w:tc>
                <w:tcPr>
                  <w:tcW w:w="268" w:type="pct"/>
                  <w:vMerge w:val="continue"/>
                  <w:vAlign w:val="center"/>
                </w:tcPr>
                <w:p w14:paraId="5CAD7C77">
                  <w:pPr>
                    <w:adjustRightInd w:val="0"/>
                    <w:snapToGrid w:val="0"/>
                    <w:jc w:val="center"/>
                    <w:rPr>
                      <w:szCs w:val="21"/>
                    </w:rPr>
                  </w:pPr>
                </w:p>
              </w:tc>
            </w:tr>
            <w:tr w14:paraId="515711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53" w:hRule="atLeast"/>
                <w:jc w:val="center"/>
              </w:trPr>
              <w:tc>
                <w:tcPr>
                  <w:tcW w:w="248" w:type="pct"/>
                  <w:vMerge w:val="continue"/>
                  <w:vAlign w:val="center"/>
                </w:tcPr>
                <w:p w14:paraId="0E551147">
                  <w:pPr>
                    <w:adjustRightInd w:val="0"/>
                    <w:snapToGrid w:val="0"/>
                    <w:jc w:val="center"/>
                    <w:rPr>
                      <w:szCs w:val="21"/>
                    </w:rPr>
                  </w:pPr>
                </w:p>
              </w:tc>
              <w:tc>
                <w:tcPr>
                  <w:tcW w:w="311" w:type="pct"/>
                  <w:vMerge w:val="continue"/>
                  <w:vAlign w:val="center"/>
                </w:tcPr>
                <w:p w14:paraId="70847E1F">
                  <w:pPr>
                    <w:adjustRightInd w:val="0"/>
                    <w:snapToGrid w:val="0"/>
                    <w:jc w:val="center"/>
                    <w:rPr>
                      <w:szCs w:val="21"/>
                    </w:rPr>
                  </w:pPr>
                </w:p>
              </w:tc>
              <w:tc>
                <w:tcPr>
                  <w:tcW w:w="609" w:type="pct"/>
                  <w:vAlign w:val="center"/>
                </w:tcPr>
                <w:p w14:paraId="25E76758">
                  <w:pPr>
                    <w:adjustRightInd w:val="0"/>
                    <w:snapToGrid w:val="0"/>
                    <w:jc w:val="center"/>
                    <w:rPr>
                      <w:szCs w:val="21"/>
                    </w:rPr>
                  </w:pPr>
                  <w:r>
                    <w:rPr>
                      <w:rFonts w:hint="eastAsia"/>
                      <w:szCs w:val="21"/>
                    </w:rPr>
                    <w:t>软水制备排污水</w:t>
                  </w:r>
                </w:p>
              </w:tc>
              <w:tc>
                <w:tcPr>
                  <w:tcW w:w="1782" w:type="pct"/>
                  <w:vAlign w:val="center"/>
                </w:tcPr>
                <w:p w14:paraId="7019227F">
                  <w:pPr>
                    <w:adjustRightInd w:val="0"/>
                    <w:snapToGrid w:val="0"/>
                    <w:ind w:left="105" w:leftChars="50" w:right="105" w:rightChars="50"/>
                    <w:jc w:val="center"/>
                    <w:rPr>
                      <w:szCs w:val="21"/>
                    </w:rPr>
                  </w:pPr>
                  <w:r>
                    <w:rPr>
                      <w:rFonts w:hint="eastAsia"/>
                      <w:szCs w:val="21"/>
                    </w:rPr>
                    <w:t>/</w:t>
                  </w:r>
                </w:p>
              </w:tc>
              <w:tc>
                <w:tcPr>
                  <w:tcW w:w="1782" w:type="pct"/>
                  <w:vMerge w:val="restart"/>
                  <w:vAlign w:val="center"/>
                </w:tcPr>
                <w:p w14:paraId="39746D04">
                  <w:pPr>
                    <w:adjustRightInd w:val="0"/>
                    <w:snapToGrid w:val="0"/>
                    <w:ind w:left="105" w:leftChars="50" w:right="105" w:rightChars="50"/>
                    <w:jc w:val="center"/>
                    <w:rPr>
                      <w:szCs w:val="21"/>
                    </w:rPr>
                  </w:pPr>
                  <w:r>
                    <w:rPr>
                      <w:rFonts w:hint="eastAsia"/>
                      <w:szCs w:val="21"/>
                    </w:rPr>
                    <w:t>用于脱硫系统补充水，不外排</w:t>
                  </w:r>
                </w:p>
              </w:tc>
              <w:tc>
                <w:tcPr>
                  <w:tcW w:w="268" w:type="pct"/>
                  <w:vMerge w:val="continue"/>
                  <w:vAlign w:val="center"/>
                </w:tcPr>
                <w:p w14:paraId="42870852">
                  <w:pPr>
                    <w:adjustRightInd w:val="0"/>
                    <w:snapToGrid w:val="0"/>
                    <w:jc w:val="center"/>
                    <w:rPr>
                      <w:szCs w:val="21"/>
                    </w:rPr>
                  </w:pPr>
                </w:p>
              </w:tc>
            </w:tr>
            <w:tr w14:paraId="1A1087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53" w:hRule="atLeast"/>
                <w:jc w:val="center"/>
              </w:trPr>
              <w:tc>
                <w:tcPr>
                  <w:tcW w:w="248" w:type="pct"/>
                  <w:vMerge w:val="continue"/>
                  <w:vAlign w:val="center"/>
                </w:tcPr>
                <w:p w14:paraId="1451A68F">
                  <w:pPr>
                    <w:adjustRightInd w:val="0"/>
                    <w:snapToGrid w:val="0"/>
                    <w:jc w:val="center"/>
                    <w:rPr>
                      <w:szCs w:val="21"/>
                    </w:rPr>
                  </w:pPr>
                </w:p>
              </w:tc>
              <w:tc>
                <w:tcPr>
                  <w:tcW w:w="311" w:type="pct"/>
                  <w:vMerge w:val="continue"/>
                  <w:vAlign w:val="center"/>
                </w:tcPr>
                <w:p w14:paraId="1B6F7652">
                  <w:pPr>
                    <w:adjustRightInd w:val="0"/>
                    <w:snapToGrid w:val="0"/>
                    <w:jc w:val="center"/>
                    <w:rPr>
                      <w:szCs w:val="21"/>
                    </w:rPr>
                  </w:pPr>
                </w:p>
              </w:tc>
              <w:tc>
                <w:tcPr>
                  <w:tcW w:w="609" w:type="pct"/>
                  <w:vAlign w:val="center"/>
                </w:tcPr>
                <w:p w14:paraId="1E1AEE60">
                  <w:pPr>
                    <w:adjustRightInd w:val="0"/>
                    <w:snapToGrid w:val="0"/>
                    <w:jc w:val="center"/>
                    <w:rPr>
                      <w:szCs w:val="21"/>
                    </w:rPr>
                  </w:pPr>
                  <w:r>
                    <w:rPr>
                      <w:rFonts w:hint="eastAsia"/>
                      <w:szCs w:val="21"/>
                    </w:rPr>
                    <w:t>锅炉排污水</w:t>
                  </w:r>
                </w:p>
              </w:tc>
              <w:tc>
                <w:tcPr>
                  <w:tcW w:w="1782" w:type="pct"/>
                  <w:vAlign w:val="center"/>
                </w:tcPr>
                <w:p w14:paraId="22FF809B">
                  <w:pPr>
                    <w:adjustRightInd w:val="0"/>
                    <w:snapToGrid w:val="0"/>
                    <w:ind w:left="105" w:leftChars="50" w:right="105" w:rightChars="50"/>
                    <w:jc w:val="center"/>
                    <w:rPr>
                      <w:bCs/>
                      <w:szCs w:val="21"/>
                    </w:rPr>
                  </w:pPr>
                  <w:r>
                    <w:rPr>
                      <w:rFonts w:hint="eastAsia"/>
                      <w:bCs/>
                      <w:szCs w:val="21"/>
                    </w:rPr>
                    <w:t>同生活污水共同经过1200m</w:t>
                  </w:r>
                  <w:r>
                    <w:rPr>
                      <w:rFonts w:hint="eastAsia"/>
                      <w:bCs/>
                      <w:szCs w:val="21"/>
                      <w:vertAlign w:val="superscript"/>
                    </w:rPr>
                    <w:t>3</w:t>
                  </w:r>
                  <w:r>
                    <w:rPr>
                      <w:rFonts w:hint="eastAsia"/>
                      <w:bCs/>
                      <w:szCs w:val="21"/>
                    </w:rPr>
                    <w:t>/d生活污水处理站处理后回用于选煤厂补水，不外排</w:t>
                  </w:r>
                </w:p>
              </w:tc>
              <w:tc>
                <w:tcPr>
                  <w:tcW w:w="1782" w:type="pct"/>
                  <w:vMerge w:val="continue"/>
                  <w:vAlign w:val="center"/>
                </w:tcPr>
                <w:p w14:paraId="0A379067">
                  <w:pPr>
                    <w:adjustRightInd w:val="0"/>
                    <w:snapToGrid w:val="0"/>
                    <w:ind w:left="105" w:leftChars="50" w:right="105" w:rightChars="50"/>
                    <w:jc w:val="center"/>
                    <w:rPr>
                      <w:bCs/>
                      <w:szCs w:val="21"/>
                    </w:rPr>
                  </w:pPr>
                </w:p>
              </w:tc>
              <w:tc>
                <w:tcPr>
                  <w:tcW w:w="268" w:type="pct"/>
                  <w:vMerge w:val="continue"/>
                  <w:vAlign w:val="center"/>
                </w:tcPr>
                <w:p w14:paraId="10AB6363">
                  <w:pPr>
                    <w:adjustRightInd w:val="0"/>
                    <w:snapToGrid w:val="0"/>
                    <w:jc w:val="center"/>
                    <w:rPr>
                      <w:szCs w:val="21"/>
                    </w:rPr>
                  </w:pPr>
                </w:p>
              </w:tc>
            </w:tr>
            <w:tr w14:paraId="1D0735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48" w:type="pct"/>
                  <w:vMerge w:val="continue"/>
                  <w:vAlign w:val="center"/>
                </w:tcPr>
                <w:p w14:paraId="0C4E6E4C">
                  <w:pPr>
                    <w:adjustRightInd w:val="0"/>
                    <w:snapToGrid w:val="0"/>
                    <w:jc w:val="center"/>
                    <w:rPr>
                      <w:szCs w:val="21"/>
                    </w:rPr>
                  </w:pPr>
                </w:p>
              </w:tc>
              <w:tc>
                <w:tcPr>
                  <w:tcW w:w="920" w:type="pct"/>
                  <w:gridSpan w:val="2"/>
                  <w:vAlign w:val="center"/>
                </w:tcPr>
                <w:p w14:paraId="37EA1015">
                  <w:pPr>
                    <w:adjustRightInd w:val="0"/>
                    <w:snapToGrid w:val="0"/>
                    <w:jc w:val="center"/>
                    <w:rPr>
                      <w:szCs w:val="21"/>
                    </w:rPr>
                  </w:pPr>
                  <w:r>
                    <w:rPr>
                      <w:szCs w:val="21"/>
                    </w:rPr>
                    <w:t>噪声</w:t>
                  </w:r>
                </w:p>
              </w:tc>
              <w:tc>
                <w:tcPr>
                  <w:tcW w:w="1782" w:type="pct"/>
                  <w:vAlign w:val="center"/>
                </w:tcPr>
                <w:p w14:paraId="685C2B5F">
                  <w:pPr>
                    <w:adjustRightInd w:val="0"/>
                    <w:snapToGrid w:val="0"/>
                    <w:ind w:left="105" w:leftChars="50" w:right="105" w:rightChars="50"/>
                    <w:jc w:val="center"/>
                    <w:rPr>
                      <w:bCs/>
                      <w:szCs w:val="21"/>
                    </w:rPr>
                  </w:pPr>
                  <w:r>
                    <w:rPr>
                      <w:rFonts w:hint="eastAsia"/>
                      <w:bCs/>
                      <w:szCs w:val="21"/>
                    </w:rPr>
                    <w:t>高噪声设备采取厂房隔声、减振等措施</w:t>
                  </w:r>
                </w:p>
              </w:tc>
              <w:tc>
                <w:tcPr>
                  <w:tcW w:w="1782" w:type="pct"/>
                  <w:vAlign w:val="center"/>
                </w:tcPr>
                <w:p w14:paraId="2977D17E">
                  <w:pPr>
                    <w:adjustRightInd w:val="0"/>
                    <w:snapToGrid w:val="0"/>
                    <w:ind w:left="105" w:leftChars="50" w:right="105" w:rightChars="50"/>
                    <w:jc w:val="center"/>
                    <w:rPr>
                      <w:szCs w:val="21"/>
                    </w:rPr>
                  </w:pPr>
                  <w:r>
                    <w:rPr>
                      <w:bCs/>
                      <w:szCs w:val="21"/>
                    </w:rPr>
                    <w:t>高噪声设备采取厂房隔声、</w:t>
                  </w:r>
                  <w:r>
                    <w:rPr>
                      <w:rFonts w:hint="eastAsia"/>
                      <w:bCs/>
                      <w:szCs w:val="21"/>
                    </w:rPr>
                    <w:t>减振</w:t>
                  </w:r>
                  <w:r>
                    <w:rPr>
                      <w:bCs/>
                      <w:szCs w:val="21"/>
                    </w:rPr>
                    <w:t>等措施</w:t>
                  </w:r>
                </w:p>
              </w:tc>
              <w:tc>
                <w:tcPr>
                  <w:tcW w:w="268" w:type="pct"/>
                  <w:vMerge w:val="continue"/>
                  <w:vAlign w:val="center"/>
                </w:tcPr>
                <w:p w14:paraId="74AC9CC5">
                  <w:pPr>
                    <w:adjustRightInd w:val="0"/>
                    <w:snapToGrid w:val="0"/>
                    <w:jc w:val="center"/>
                    <w:rPr>
                      <w:szCs w:val="21"/>
                    </w:rPr>
                  </w:pPr>
                </w:p>
              </w:tc>
            </w:tr>
            <w:tr w14:paraId="187177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248" w:type="pct"/>
                  <w:vMerge w:val="continue"/>
                  <w:vAlign w:val="center"/>
                </w:tcPr>
                <w:p w14:paraId="388E7E6B">
                  <w:pPr>
                    <w:adjustRightInd w:val="0"/>
                    <w:snapToGrid w:val="0"/>
                    <w:jc w:val="center"/>
                    <w:rPr>
                      <w:szCs w:val="21"/>
                    </w:rPr>
                  </w:pPr>
                </w:p>
              </w:tc>
              <w:tc>
                <w:tcPr>
                  <w:tcW w:w="920" w:type="pct"/>
                  <w:gridSpan w:val="2"/>
                  <w:vAlign w:val="center"/>
                </w:tcPr>
                <w:p w14:paraId="4D94AEA1">
                  <w:pPr>
                    <w:adjustRightInd w:val="0"/>
                    <w:snapToGrid w:val="0"/>
                    <w:jc w:val="center"/>
                    <w:rPr>
                      <w:szCs w:val="21"/>
                    </w:rPr>
                  </w:pPr>
                  <w:r>
                    <w:rPr>
                      <w:rFonts w:hint="eastAsia"/>
                      <w:szCs w:val="21"/>
                    </w:rPr>
                    <w:t>固废</w:t>
                  </w:r>
                </w:p>
              </w:tc>
              <w:tc>
                <w:tcPr>
                  <w:tcW w:w="1782" w:type="pct"/>
                  <w:vAlign w:val="center"/>
                </w:tcPr>
                <w:p w14:paraId="0C8855E5">
                  <w:pPr>
                    <w:adjustRightInd w:val="0"/>
                    <w:snapToGrid w:val="0"/>
                    <w:ind w:left="105" w:leftChars="50" w:right="105" w:rightChars="50"/>
                    <w:jc w:val="center"/>
                    <w:rPr>
                      <w:bCs/>
                      <w:szCs w:val="21"/>
                    </w:rPr>
                  </w:pPr>
                  <w:r>
                    <w:rPr>
                      <w:rFonts w:hint="eastAsia"/>
                      <w:bCs/>
                      <w:szCs w:val="21"/>
                    </w:rPr>
                    <w:t>锅炉灰渣用于铺路或建材原料综合利用</w:t>
                  </w:r>
                </w:p>
              </w:tc>
              <w:tc>
                <w:tcPr>
                  <w:tcW w:w="1782" w:type="pct"/>
                  <w:vAlign w:val="center"/>
                </w:tcPr>
                <w:p w14:paraId="5BFC3592">
                  <w:pPr>
                    <w:adjustRightInd w:val="0"/>
                    <w:snapToGrid w:val="0"/>
                    <w:ind w:left="105" w:leftChars="50" w:right="105" w:rightChars="50"/>
                    <w:jc w:val="center"/>
                    <w:rPr>
                      <w:bCs/>
                      <w:szCs w:val="21"/>
                    </w:rPr>
                  </w:pPr>
                  <w:r>
                    <w:rPr>
                      <w:rFonts w:hint="eastAsia"/>
                      <w:bCs/>
                      <w:szCs w:val="21"/>
                    </w:rPr>
                    <w:t>本项目无新增劳动定员，因此无生活垃圾产生。废离子交换树脂定期更换时由厂家回收处理，锅炉灰渣用于当地铺路或建材厂综合利用、脱硫副产物用于建材厂综合利用。本次于工业场地内新建1座30m</w:t>
                  </w:r>
                  <w:r>
                    <w:rPr>
                      <w:rFonts w:hint="eastAsia"/>
                      <w:bCs/>
                      <w:szCs w:val="21"/>
                      <w:vertAlign w:val="superscript"/>
                    </w:rPr>
                    <w:t>2</w:t>
                  </w:r>
                  <w:r>
                    <w:rPr>
                      <w:rFonts w:hint="eastAsia"/>
                      <w:bCs/>
                      <w:szCs w:val="21"/>
                    </w:rPr>
                    <w:t>危废贮存库，废催化剂暂存于危废贮存库，委托有资质单位处理</w:t>
                  </w:r>
                </w:p>
              </w:tc>
              <w:tc>
                <w:tcPr>
                  <w:tcW w:w="268" w:type="pct"/>
                  <w:vMerge w:val="continue"/>
                  <w:vAlign w:val="center"/>
                </w:tcPr>
                <w:p w14:paraId="75A00F22">
                  <w:pPr>
                    <w:adjustRightInd w:val="0"/>
                    <w:snapToGrid w:val="0"/>
                    <w:jc w:val="center"/>
                    <w:rPr>
                      <w:szCs w:val="21"/>
                    </w:rPr>
                  </w:pPr>
                </w:p>
              </w:tc>
            </w:tr>
          </w:tbl>
          <w:p w14:paraId="53F5BB82">
            <w:pPr>
              <w:pStyle w:val="45"/>
              <w:spacing w:before="120" w:beforeLines="50"/>
              <w:ind w:firstLine="482"/>
              <w:rPr>
                <w:b/>
                <w:bCs/>
                <w:sz w:val="24"/>
              </w:rPr>
            </w:pPr>
            <w:r>
              <w:rPr>
                <w:b/>
                <w:bCs/>
                <w:sz w:val="24"/>
              </w:rPr>
              <w:t>3、原辅材料及能源消耗</w:t>
            </w:r>
          </w:p>
          <w:p w14:paraId="152752FB">
            <w:pPr>
              <w:adjustRightInd w:val="0"/>
              <w:snapToGrid w:val="0"/>
              <w:spacing w:line="360" w:lineRule="auto"/>
              <w:ind w:firstLine="480" w:firstLineChars="200"/>
              <w:rPr>
                <w:bCs/>
                <w:sz w:val="24"/>
              </w:rPr>
            </w:pPr>
            <w:r>
              <w:rPr>
                <w:bCs/>
                <w:sz w:val="24"/>
              </w:rPr>
              <w:t>项目主要原辅材料及能源消耗情况见下表。</w:t>
            </w:r>
          </w:p>
          <w:p w14:paraId="20A7181D">
            <w:pPr>
              <w:adjustRightInd w:val="0"/>
              <w:snapToGrid w:val="0"/>
              <w:jc w:val="center"/>
              <w:rPr>
                <w:b/>
                <w:szCs w:val="21"/>
              </w:rPr>
            </w:pPr>
            <w:bookmarkStart w:id="16" w:name="_Hlk151456286"/>
            <w:r>
              <w:rPr>
                <w:b/>
                <w:szCs w:val="21"/>
              </w:rPr>
              <w:t>表2-2  主要原辅材料及能源消耗一览表</w:t>
            </w:r>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87"/>
              <w:gridCol w:w="1106"/>
              <w:gridCol w:w="1518"/>
              <w:gridCol w:w="1383"/>
              <w:gridCol w:w="2038"/>
              <w:gridCol w:w="1205"/>
            </w:tblGrid>
            <w:tr w14:paraId="7490F6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3" w:type="pct"/>
                  <w:vAlign w:val="center"/>
                </w:tcPr>
                <w:p w14:paraId="4554DB77">
                  <w:pPr>
                    <w:adjustRightInd w:val="0"/>
                    <w:snapToGrid w:val="0"/>
                    <w:jc w:val="center"/>
                    <w:rPr>
                      <w:b/>
                      <w:bCs/>
                      <w:szCs w:val="21"/>
                    </w:rPr>
                  </w:pPr>
                  <w:r>
                    <w:rPr>
                      <w:rFonts w:hint="eastAsia"/>
                      <w:b/>
                      <w:bCs/>
                      <w:szCs w:val="21"/>
                    </w:rPr>
                    <w:t>序号</w:t>
                  </w:r>
                </w:p>
              </w:tc>
              <w:tc>
                <w:tcPr>
                  <w:tcW w:w="697" w:type="pct"/>
                  <w:vAlign w:val="center"/>
                </w:tcPr>
                <w:p w14:paraId="63743048">
                  <w:pPr>
                    <w:adjustRightInd w:val="0"/>
                    <w:snapToGrid w:val="0"/>
                    <w:jc w:val="center"/>
                    <w:rPr>
                      <w:b/>
                      <w:bCs/>
                      <w:szCs w:val="21"/>
                    </w:rPr>
                  </w:pPr>
                  <w:r>
                    <w:rPr>
                      <w:rFonts w:hint="eastAsia"/>
                      <w:b/>
                      <w:bCs/>
                      <w:szCs w:val="21"/>
                    </w:rPr>
                    <w:t>名称</w:t>
                  </w:r>
                </w:p>
              </w:tc>
              <w:tc>
                <w:tcPr>
                  <w:tcW w:w="956" w:type="pct"/>
                  <w:vAlign w:val="center"/>
                </w:tcPr>
                <w:p w14:paraId="7B6D2201">
                  <w:pPr>
                    <w:adjustRightInd w:val="0"/>
                    <w:snapToGrid w:val="0"/>
                    <w:jc w:val="center"/>
                    <w:rPr>
                      <w:b/>
                      <w:bCs/>
                      <w:szCs w:val="21"/>
                    </w:rPr>
                  </w:pPr>
                  <w:r>
                    <w:rPr>
                      <w:b/>
                      <w:bCs/>
                      <w:szCs w:val="21"/>
                    </w:rPr>
                    <w:t>年</w:t>
                  </w:r>
                  <w:r>
                    <w:rPr>
                      <w:rFonts w:hint="eastAsia"/>
                      <w:b/>
                      <w:bCs/>
                      <w:szCs w:val="21"/>
                    </w:rPr>
                    <w:t>消耗</w:t>
                  </w:r>
                  <w:r>
                    <w:rPr>
                      <w:b/>
                      <w:bCs/>
                      <w:szCs w:val="21"/>
                    </w:rPr>
                    <w:t>量（t）</w:t>
                  </w:r>
                </w:p>
              </w:tc>
              <w:tc>
                <w:tcPr>
                  <w:tcW w:w="871" w:type="pct"/>
                  <w:vAlign w:val="center"/>
                </w:tcPr>
                <w:p w14:paraId="24BE7720">
                  <w:pPr>
                    <w:adjustRightInd w:val="0"/>
                    <w:snapToGrid w:val="0"/>
                    <w:jc w:val="center"/>
                    <w:rPr>
                      <w:b/>
                      <w:bCs/>
                      <w:szCs w:val="21"/>
                    </w:rPr>
                  </w:pPr>
                  <w:r>
                    <w:rPr>
                      <w:rFonts w:hint="eastAsia"/>
                      <w:b/>
                      <w:bCs/>
                      <w:szCs w:val="21"/>
                    </w:rPr>
                    <w:t>规格</w:t>
                  </w:r>
                </w:p>
              </w:tc>
              <w:tc>
                <w:tcPr>
                  <w:tcW w:w="1284" w:type="pct"/>
                  <w:vAlign w:val="center"/>
                </w:tcPr>
                <w:p w14:paraId="39ECDCB8">
                  <w:pPr>
                    <w:adjustRightInd w:val="0"/>
                    <w:snapToGrid w:val="0"/>
                    <w:jc w:val="center"/>
                    <w:rPr>
                      <w:b/>
                      <w:bCs/>
                      <w:szCs w:val="21"/>
                    </w:rPr>
                  </w:pPr>
                  <w:r>
                    <w:rPr>
                      <w:b/>
                      <w:bCs/>
                      <w:szCs w:val="21"/>
                    </w:rPr>
                    <w:t>来源</w:t>
                  </w:r>
                  <w:r>
                    <w:rPr>
                      <w:rFonts w:hint="eastAsia"/>
                      <w:b/>
                      <w:bCs/>
                      <w:szCs w:val="21"/>
                    </w:rPr>
                    <w:t>及运输</w:t>
                  </w:r>
                </w:p>
              </w:tc>
              <w:tc>
                <w:tcPr>
                  <w:tcW w:w="759" w:type="pct"/>
                  <w:vAlign w:val="center"/>
                </w:tcPr>
                <w:p w14:paraId="4EDC4D5E">
                  <w:pPr>
                    <w:adjustRightInd w:val="0"/>
                    <w:snapToGrid w:val="0"/>
                    <w:jc w:val="center"/>
                    <w:rPr>
                      <w:b/>
                      <w:bCs/>
                      <w:szCs w:val="21"/>
                    </w:rPr>
                  </w:pPr>
                  <w:r>
                    <w:rPr>
                      <w:rFonts w:hint="eastAsia"/>
                      <w:b/>
                      <w:bCs/>
                      <w:szCs w:val="21"/>
                    </w:rPr>
                    <w:t>储存位置</w:t>
                  </w:r>
                </w:p>
              </w:tc>
            </w:tr>
            <w:tr w14:paraId="2FEB04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3" w:type="pct"/>
                  <w:vAlign w:val="center"/>
                </w:tcPr>
                <w:p w14:paraId="7857EBC8">
                  <w:pPr>
                    <w:adjustRightInd w:val="0"/>
                    <w:snapToGrid w:val="0"/>
                    <w:jc w:val="center"/>
                    <w:rPr>
                      <w:szCs w:val="21"/>
                    </w:rPr>
                  </w:pPr>
                  <w:r>
                    <w:rPr>
                      <w:rFonts w:hint="eastAsia"/>
                      <w:szCs w:val="21"/>
                    </w:rPr>
                    <w:t>1</w:t>
                  </w:r>
                </w:p>
              </w:tc>
              <w:tc>
                <w:tcPr>
                  <w:tcW w:w="697" w:type="pct"/>
                  <w:vAlign w:val="center"/>
                </w:tcPr>
                <w:p w14:paraId="5FFD608C">
                  <w:pPr>
                    <w:adjustRightInd w:val="0"/>
                    <w:snapToGrid w:val="0"/>
                    <w:jc w:val="center"/>
                    <w:rPr>
                      <w:szCs w:val="21"/>
                    </w:rPr>
                  </w:pPr>
                  <w:r>
                    <w:rPr>
                      <w:rFonts w:hint="eastAsia"/>
                      <w:szCs w:val="21"/>
                    </w:rPr>
                    <w:t>煤</w:t>
                  </w:r>
                </w:p>
              </w:tc>
              <w:tc>
                <w:tcPr>
                  <w:tcW w:w="956" w:type="pct"/>
                  <w:vAlign w:val="center"/>
                </w:tcPr>
                <w:p w14:paraId="166DD5AB">
                  <w:pPr>
                    <w:adjustRightInd w:val="0"/>
                    <w:snapToGrid w:val="0"/>
                    <w:jc w:val="center"/>
                    <w:rPr>
                      <w:szCs w:val="21"/>
                    </w:rPr>
                  </w:pPr>
                  <w:r>
                    <w:rPr>
                      <w:rFonts w:hint="eastAsia"/>
                      <w:szCs w:val="21"/>
                    </w:rPr>
                    <w:t>37630</w:t>
                  </w:r>
                </w:p>
              </w:tc>
              <w:tc>
                <w:tcPr>
                  <w:tcW w:w="871" w:type="pct"/>
                  <w:vAlign w:val="center"/>
                </w:tcPr>
                <w:p w14:paraId="0EAACFCD">
                  <w:pPr>
                    <w:adjustRightInd w:val="0"/>
                    <w:snapToGrid w:val="0"/>
                    <w:jc w:val="center"/>
                    <w:rPr>
                      <w:szCs w:val="21"/>
                    </w:rPr>
                  </w:pPr>
                  <w:r>
                    <w:rPr>
                      <w:rFonts w:hint="eastAsia"/>
                      <w:szCs w:val="21"/>
                    </w:rPr>
                    <w:t>固态</w:t>
                  </w:r>
                </w:p>
              </w:tc>
              <w:tc>
                <w:tcPr>
                  <w:tcW w:w="1284" w:type="pct"/>
                  <w:vAlign w:val="center"/>
                </w:tcPr>
                <w:p w14:paraId="49F2944F">
                  <w:pPr>
                    <w:adjustRightInd w:val="0"/>
                    <w:snapToGrid w:val="0"/>
                    <w:jc w:val="center"/>
                    <w:rPr>
                      <w:szCs w:val="21"/>
                    </w:rPr>
                  </w:pPr>
                  <w:r>
                    <w:rPr>
                      <w:rFonts w:hint="eastAsia"/>
                      <w:szCs w:val="21"/>
                    </w:rPr>
                    <w:t>自产煤</w:t>
                  </w:r>
                </w:p>
              </w:tc>
              <w:tc>
                <w:tcPr>
                  <w:tcW w:w="759" w:type="pct"/>
                  <w:vAlign w:val="center"/>
                </w:tcPr>
                <w:p w14:paraId="7A30744F">
                  <w:pPr>
                    <w:adjustRightInd w:val="0"/>
                    <w:snapToGrid w:val="0"/>
                    <w:jc w:val="center"/>
                    <w:rPr>
                      <w:szCs w:val="21"/>
                    </w:rPr>
                  </w:pPr>
                  <w:r>
                    <w:rPr>
                      <w:rFonts w:hint="eastAsia"/>
                      <w:szCs w:val="21"/>
                    </w:rPr>
                    <w:t>炉前煤仓</w:t>
                  </w:r>
                </w:p>
              </w:tc>
            </w:tr>
            <w:tr w14:paraId="168E19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3" w:type="pct"/>
                  <w:vAlign w:val="center"/>
                </w:tcPr>
                <w:p w14:paraId="660CB1A0">
                  <w:pPr>
                    <w:adjustRightInd w:val="0"/>
                    <w:snapToGrid w:val="0"/>
                    <w:jc w:val="center"/>
                    <w:rPr>
                      <w:szCs w:val="21"/>
                    </w:rPr>
                  </w:pPr>
                  <w:r>
                    <w:rPr>
                      <w:rFonts w:hint="eastAsia"/>
                      <w:szCs w:val="21"/>
                    </w:rPr>
                    <w:t>2</w:t>
                  </w:r>
                </w:p>
              </w:tc>
              <w:tc>
                <w:tcPr>
                  <w:tcW w:w="697" w:type="pct"/>
                  <w:vAlign w:val="center"/>
                </w:tcPr>
                <w:p w14:paraId="10074190">
                  <w:pPr>
                    <w:adjustRightInd w:val="0"/>
                    <w:snapToGrid w:val="0"/>
                    <w:jc w:val="center"/>
                    <w:rPr>
                      <w:szCs w:val="21"/>
                    </w:rPr>
                  </w:pPr>
                  <w:r>
                    <w:rPr>
                      <w:rFonts w:hint="eastAsia"/>
                      <w:szCs w:val="21"/>
                    </w:rPr>
                    <w:t>氧化镁</w:t>
                  </w:r>
                </w:p>
              </w:tc>
              <w:tc>
                <w:tcPr>
                  <w:tcW w:w="956" w:type="pct"/>
                  <w:vAlign w:val="center"/>
                </w:tcPr>
                <w:p w14:paraId="016ADD26">
                  <w:pPr>
                    <w:adjustRightInd w:val="0"/>
                    <w:snapToGrid w:val="0"/>
                    <w:jc w:val="center"/>
                    <w:rPr>
                      <w:szCs w:val="21"/>
                    </w:rPr>
                  </w:pPr>
                  <w:r>
                    <w:rPr>
                      <w:rFonts w:hint="eastAsia"/>
                      <w:szCs w:val="21"/>
                    </w:rPr>
                    <w:t>360</w:t>
                  </w:r>
                </w:p>
              </w:tc>
              <w:tc>
                <w:tcPr>
                  <w:tcW w:w="871" w:type="pct"/>
                  <w:vAlign w:val="center"/>
                </w:tcPr>
                <w:p w14:paraId="7BB2B83E">
                  <w:pPr>
                    <w:adjustRightInd w:val="0"/>
                    <w:snapToGrid w:val="0"/>
                    <w:jc w:val="center"/>
                    <w:rPr>
                      <w:szCs w:val="21"/>
                    </w:rPr>
                  </w:pPr>
                  <w:r>
                    <w:rPr>
                      <w:rFonts w:hint="eastAsia"/>
                      <w:szCs w:val="21"/>
                    </w:rPr>
                    <w:t>固态</w:t>
                  </w:r>
                </w:p>
              </w:tc>
              <w:tc>
                <w:tcPr>
                  <w:tcW w:w="1284" w:type="pct"/>
                  <w:vAlign w:val="center"/>
                </w:tcPr>
                <w:p w14:paraId="125320A2">
                  <w:pPr>
                    <w:adjustRightInd w:val="0"/>
                    <w:snapToGrid w:val="0"/>
                    <w:jc w:val="center"/>
                    <w:rPr>
                      <w:szCs w:val="21"/>
                    </w:rPr>
                  </w:pPr>
                  <w:r>
                    <w:rPr>
                      <w:rFonts w:hint="eastAsia"/>
                      <w:szCs w:val="21"/>
                    </w:rPr>
                    <w:t>外购</w:t>
                  </w:r>
                </w:p>
              </w:tc>
              <w:tc>
                <w:tcPr>
                  <w:tcW w:w="759" w:type="pct"/>
                  <w:vAlign w:val="center"/>
                </w:tcPr>
                <w:p w14:paraId="1A179A7B">
                  <w:pPr>
                    <w:adjustRightInd w:val="0"/>
                    <w:snapToGrid w:val="0"/>
                    <w:jc w:val="center"/>
                    <w:rPr>
                      <w:szCs w:val="21"/>
                    </w:rPr>
                  </w:pPr>
                  <w:r>
                    <w:rPr>
                      <w:rFonts w:hint="eastAsia"/>
                      <w:szCs w:val="21"/>
                    </w:rPr>
                    <w:t>脱硫车间</w:t>
                  </w:r>
                </w:p>
              </w:tc>
            </w:tr>
            <w:tr w14:paraId="4853CF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3" w:type="pct"/>
                  <w:vAlign w:val="center"/>
                </w:tcPr>
                <w:p w14:paraId="6485909B">
                  <w:pPr>
                    <w:adjustRightInd w:val="0"/>
                    <w:snapToGrid w:val="0"/>
                    <w:jc w:val="center"/>
                    <w:rPr>
                      <w:szCs w:val="21"/>
                    </w:rPr>
                  </w:pPr>
                  <w:r>
                    <w:rPr>
                      <w:rFonts w:hint="eastAsia"/>
                      <w:szCs w:val="21"/>
                    </w:rPr>
                    <w:t>3</w:t>
                  </w:r>
                </w:p>
              </w:tc>
              <w:tc>
                <w:tcPr>
                  <w:tcW w:w="697" w:type="pct"/>
                  <w:vAlign w:val="center"/>
                </w:tcPr>
                <w:p w14:paraId="73097FA5">
                  <w:pPr>
                    <w:adjustRightInd w:val="0"/>
                    <w:snapToGrid w:val="0"/>
                    <w:jc w:val="center"/>
                    <w:rPr>
                      <w:szCs w:val="21"/>
                    </w:rPr>
                  </w:pPr>
                  <w:r>
                    <w:rPr>
                      <w:rFonts w:hint="eastAsia"/>
                      <w:szCs w:val="21"/>
                    </w:rPr>
                    <w:t>尿素</w:t>
                  </w:r>
                </w:p>
              </w:tc>
              <w:tc>
                <w:tcPr>
                  <w:tcW w:w="956" w:type="pct"/>
                  <w:vAlign w:val="center"/>
                </w:tcPr>
                <w:p w14:paraId="4E72C803">
                  <w:pPr>
                    <w:adjustRightInd w:val="0"/>
                    <w:snapToGrid w:val="0"/>
                    <w:jc w:val="center"/>
                    <w:rPr>
                      <w:szCs w:val="21"/>
                    </w:rPr>
                  </w:pPr>
                  <w:r>
                    <w:rPr>
                      <w:rFonts w:hint="eastAsia"/>
                      <w:szCs w:val="21"/>
                    </w:rPr>
                    <w:t>46.2</w:t>
                  </w:r>
                </w:p>
              </w:tc>
              <w:tc>
                <w:tcPr>
                  <w:tcW w:w="871" w:type="pct"/>
                  <w:vAlign w:val="center"/>
                </w:tcPr>
                <w:p w14:paraId="24700AA9">
                  <w:pPr>
                    <w:adjustRightInd w:val="0"/>
                    <w:snapToGrid w:val="0"/>
                    <w:jc w:val="center"/>
                    <w:rPr>
                      <w:szCs w:val="21"/>
                    </w:rPr>
                  </w:pPr>
                  <w:r>
                    <w:rPr>
                      <w:rFonts w:hint="eastAsia"/>
                      <w:szCs w:val="21"/>
                    </w:rPr>
                    <w:t>固态</w:t>
                  </w:r>
                </w:p>
              </w:tc>
              <w:tc>
                <w:tcPr>
                  <w:tcW w:w="1284" w:type="pct"/>
                  <w:vAlign w:val="center"/>
                </w:tcPr>
                <w:p w14:paraId="7955BAA0">
                  <w:pPr>
                    <w:adjustRightInd w:val="0"/>
                    <w:snapToGrid w:val="0"/>
                    <w:jc w:val="center"/>
                    <w:rPr>
                      <w:szCs w:val="21"/>
                    </w:rPr>
                  </w:pPr>
                  <w:r>
                    <w:rPr>
                      <w:rFonts w:hint="eastAsia"/>
                      <w:szCs w:val="21"/>
                    </w:rPr>
                    <w:t>外购，货车运输</w:t>
                  </w:r>
                </w:p>
              </w:tc>
              <w:tc>
                <w:tcPr>
                  <w:tcW w:w="759" w:type="pct"/>
                  <w:vAlign w:val="center"/>
                </w:tcPr>
                <w:p w14:paraId="68E58608">
                  <w:pPr>
                    <w:adjustRightInd w:val="0"/>
                    <w:snapToGrid w:val="0"/>
                    <w:jc w:val="center"/>
                    <w:rPr>
                      <w:szCs w:val="21"/>
                    </w:rPr>
                  </w:pPr>
                  <w:r>
                    <w:rPr>
                      <w:rFonts w:hint="eastAsia"/>
                      <w:szCs w:val="21"/>
                    </w:rPr>
                    <w:t>锅炉房</w:t>
                  </w:r>
                </w:p>
              </w:tc>
            </w:tr>
            <w:tr w14:paraId="43029E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3" w:type="pct"/>
                  <w:vAlign w:val="center"/>
                </w:tcPr>
                <w:p w14:paraId="523DDFE2">
                  <w:pPr>
                    <w:adjustRightInd w:val="0"/>
                    <w:snapToGrid w:val="0"/>
                    <w:jc w:val="center"/>
                    <w:rPr>
                      <w:szCs w:val="21"/>
                    </w:rPr>
                  </w:pPr>
                  <w:r>
                    <w:rPr>
                      <w:rFonts w:hint="eastAsia"/>
                      <w:szCs w:val="21"/>
                    </w:rPr>
                    <w:t>4</w:t>
                  </w:r>
                </w:p>
              </w:tc>
              <w:tc>
                <w:tcPr>
                  <w:tcW w:w="697" w:type="pct"/>
                  <w:vAlign w:val="center"/>
                </w:tcPr>
                <w:p w14:paraId="2AC2B21A">
                  <w:pPr>
                    <w:adjustRightInd w:val="0"/>
                    <w:snapToGrid w:val="0"/>
                    <w:jc w:val="center"/>
                    <w:rPr>
                      <w:szCs w:val="21"/>
                    </w:rPr>
                  </w:pPr>
                  <w:r>
                    <w:rPr>
                      <w:rFonts w:hint="eastAsia"/>
                      <w:szCs w:val="21"/>
                    </w:rPr>
                    <w:t>水</w:t>
                  </w:r>
                </w:p>
              </w:tc>
              <w:tc>
                <w:tcPr>
                  <w:tcW w:w="956" w:type="pct"/>
                  <w:vAlign w:val="center"/>
                </w:tcPr>
                <w:p w14:paraId="0A37507D">
                  <w:pPr>
                    <w:adjustRightInd w:val="0"/>
                    <w:snapToGrid w:val="0"/>
                    <w:jc w:val="center"/>
                    <w:rPr>
                      <w:szCs w:val="21"/>
                    </w:rPr>
                  </w:pPr>
                  <w:r>
                    <w:rPr>
                      <w:rFonts w:hint="eastAsia"/>
                      <w:szCs w:val="21"/>
                    </w:rPr>
                    <w:t>225424.8</w:t>
                  </w:r>
                </w:p>
              </w:tc>
              <w:tc>
                <w:tcPr>
                  <w:tcW w:w="871" w:type="pct"/>
                  <w:vAlign w:val="center"/>
                </w:tcPr>
                <w:p w14:paraId="07177201">
                  <w:pPr>
                    <w:adjustRightInd w:val="0"/>
                    <w:snapToGrid w:val="0"/>
                    <w:jc w:val="center"/>
                    <w:rPr>
                      <w:szCs w:val="21"/>
                    </w:rPr>
                  </w:pPr>
                  <w:r>
                    <w:rPr>
                      <w:rFonts w:hint="eastAsia"/>
                      <w:szCs w:val="21"/>
                    </w:rPr>
                    <w:t>液态</w:t>
                  </w:r>
                </w:p>
              </w:tc>
              <w:tc>
                <w:tcPr>
                  <w:tcW w:w="2043" w:type="pct"/>
                  <w:gridSpan w:val="2"/>
                  <w:vAlign w:val="center"/>
                </w:tcPr>
                <w:p w14:paraId="297D3262">
                  <w:pPr>
                    <w:adjustRightInd w:val="0"/>
                    <w:snapToGrid w:val="0"/>
                    <w:jc w:val="center"/>
                    <w:rPr>
                      <w:szCs w:val="21"/>
                    </w:rPr>
                  </w:pPr>
                  <w:r>
                    <w:rPr>
                      <w:rFonts w:hint="eastAsia"/>
                      <w:szCs w:val="21"/>
                    </w:rPr>
                    <w:t>经处理后的矿井水</w:t>
                  </w:r>
                </w:p>
              </w:tc>
            </w:tr>
            <w:tr w14:paraId="748C7A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433" w:type="pct"/>
                  <w:vAlign w:val="center"/>
                </w:tcPr>
                <w:p w14:paraId="56972B28">
                  <w:pPr>
                    <w:adjustRightInd w:val="0"/>
                    <w:snapToGrid w:val="0"/>
                    <w:jc w:val="center"/>
                    <w:rPr>
                      <w:szCs w:val="21"/>
                    </w:rPr>
                  </w:pPr>
                  <w:r>
                    <w:rPr>
                      <w:rFonts w:hint="eastAsia"/>
                      <w:szCs w:val="21"/>
                    </w:rPr>
                    <w:t>5</w:t>
                  </w:r>
                </w:p>
              </w:tc>
              <w:tc>
                <w:tcPr>
                  <w:tcW w:w="697" w:type="pct"/>
                  <w:vAlign w:val="center"/>
                </w:tcPr>
                <w:p w14:paraId="005F878F">
                  <w:pPr>
                    <w:adjustRightInd w:val="0"/>
                    <w:snapToGrid w:val="0"/>
                    <w:jc w:val="center"/>
                    <w:rPr>
                      <w:szCs w:val="21"/>
                    </w:rPr>
                  </w:pPr>
                  <w:r>
                    <w:rPr>
                      <w:rFonts w:hint="eastAsia"/>
                      <w:szCs w:val="21"/>
                    </w:rPr>
                    <w:t>电</w:t>
                  </w:r>
                </w:p>
              </w:tc>
              <w:tc>
                <w:tcPr>
                  <w:tcW w:w="956" w:type="pct"/>
                  <w:vAlign w:val="center"/>
                </w:tcPr>
                <w:p w14:paraId="6BE02D3F">
                  <w:pPr>
                    <w:pStyle w:val="16"/>
                    <w:adjustRightInd w:val="0"/>
                    <w:snapToGrid w:val="0"/>
                    <w:spacing w:after="0"/>
                    <w:ind w:left="0" w:leftChars="0"/>
                    <w:jc w:val="center"/>
                    <w:rPr>
                      <w:szCs w:val="21"/>
                    </w:rPr>
                  </w:pPr>
                  <w:r>
                    <w:rPr>
                      <w:rFonts w:hint="eastAsia"/>
                      <w:szCs w:val="21"/>
                    </w:rPr>
                    <w:t>91.75万kWh</w:t>
                  </w:r>
                </w:p>
              </w:tc>
              <w:tc>
                <w:tcPr>
                  <w:tcW w:w="871" w:type="pct"/>
                  <w:vAlign w:val="center"/>
                </w:tcPr>
                <w:p w14:paraId="1234C1DA">
                  <w:pPr>
                    <w:pStyle w:val="18"/>
                    <w:adjustRightInd w:val="0"/>
                    <w:snapToGrid w:val="0"/>
                    <w:jc w:val="center"/>
                    <w:rPr>
                      <w:rFonts w:hint="default" w:ascii="Times New Roman" w:hAnsi="Times New Roman" w:cs="Times New Roman"/>
                    </w:rPr>
                  </w:pPr>
                  <w:r>
                    <w:rPr>
                      <w:rFonts w:ascii="Times New Roman" w:hAnsi="Times New Roman" w:cs="Times New Roman"/>
                    </w:rPr>
                    <w:t>/</w:t>
                  </w:r>
                </w:p>
              </w:tc>
              <w:tc>
                <w:tcPr>
                  <w:tcW w:w="2043" w:type="pct"/>
                  <w:gridSpan w:val="2"/>
                  <w:vAlign w:val="center"/>
                </w:tcPr>
                <w:p w14:paraId="0CFD82B8">
                  <w:pPr>
                    <w:pStyle w:val="18"/>
                    <w:adjustRightInd w:val="0"/>
                    <w:snapToGrid w:val="0"/>
                    <w:jc w:val="center"/>
                    <w:rPr>
                      <w:rFonts w:hint="default" w:ascii="Times New Roman" w:hAnsi="Times New Roman" w:cs="Times New Roman"/>
                    </w:rPr>
                  </w:pPr>
                  <w:r>
                    <w:rPr>
                      <w:rFonts w:ascii="Times New Roman" w:hAnsi="Times New Roman" w:cs="Times New Roman"/>
                    </w:rPr>
                    <w:t>工业场地</w:t>
                  </w:r>
                </w:p>
              </w:tc>
            </w:tr>
            <w:bookmarkEnd w:id="16"/>
          </w:tbl>
          <w:p w14:paraId="4C5784A5">
            <w:pPr>
              <w:adjustRightInd w:val="0"/>
              <w:snapToGrid w:val="0"/>
              <w:spacing w:line="360" w:lineRule="auto"/>
              <w:ind w:firstLine="480" w:firstLineChars="200"/>
              <w:rPr>
                <w:bCs/>
                <w:sz w:val="24"/>
              </w:rPr>
            </w:pPr>
            <w:r>
              <w:rPr>
                <w:bCs/>
                <w:sz w:val="24"/>
              </w:rPr>
              <w:t>项目主要原辅材料</w:t>
            </w:r>
            <w:r>
              <w:rPr>
                <w:rFonts w:hint="eastAsia"/>
                <w:bCs/>
                <w:sz w:val="24"/>
              </w:rPr>
              <w:t>储运方案</w:t>
            </w:r>
            <w:r>
              <w:rPr>
                <w:bCs/>
                <w:sz w:val="24"/>
              </w:rPr>
              <w:t>见下表。</w:t>
            </w:r>
          </w:p>
          <w:p w14:paraId="54887918">
            <w:pPr>
              <w:adjustRightInd w:val="0"/>
              <w:snapToGrid w:val="0"/>
              <w:jc w:val="center"/>
              <w:rPr>
                <w:b/>
                <w:szCs w:val="21"/>
              </w:rPr>
            </w:pPr>
            <w:bookmarkStart w:id="17" w:name="_Hlk171505216"/>
            <w:r>
              <w:rPr>
                <w:b/>
                <w:szCs w:val="21"/>
              </w:rPr>
              <w:t>表2-</w:t>
            </w:r>
            <w:r>
              <w:rPr>
                <w:rFonts w:hint="eastAsia"/>
                <w:b/>
                <w:szCs w:val="21"/>
              </w:rPr>
              <w:t>3</w:t>
            </w:r>
            <w:r>
              <w:rPr>
                <w:b/>
                <w:szCs w:val="21"/>
              </w:rPr>
              <w:t xml:space="preserve">  主要原辅材料</w:t>
            </w:r>
            <w:r>
              <w:rPr>
                <w:rFonts w:hint="eastAsia"/>
                <w:b/>
                <w:szCs w:val="21"/>
              </w:rPr>
              <w:t>储运方案</w:t>
            </w:r>
            <w:r>
              <w:rPr>
                <w:b/>
                <w:szCs w:val="21"/>
              </w:rPr>
              <w:t>一览表</w:t>
            </w:r>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50"/>
              <w:gridCol w:w="872"/>
              <w:gridCol w:w="1342"/>
              <w:gridCol w:w="1872"/>
              <w:gridCol w:w="1043"/>
              <w:gridCol w:w="1150"/>
              <w:gridCol w:w="1108"/>
            </w:tblGrid>
            <w:tr w14:paraId="0FE0F8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47" w:type="pct"/>
                  <w:vAlign w:val="center"/>
                </w:tcPr>
                <w:p w14:paraId="129A6EAE">
                  <w:pPr>
                    <w:adjustRightInd w:val="0"/>
                    <w:snapToGrid w:val="0"/>
                    <w:jc w:val="center"/>
                    <w:rPr>
                      <w:b/>
                      <w:bCs/>
                      <w:szCs w:val="21"/>
                    </w:rPr>
                  </w:pPr>
                  <w:r>
                    <w:rPr>
                      <w:rFonts w:hint="eastAsia"/>
                      <w:b/>
                      <w:bCs/>
                      <w:szCs w:val="21"/>
                    </w:rPr>
                    <w:t>序号</w:t>
                  </w:r>
                </w:p>
              </w:tc>
              <w:tc>
                <w:tcPr>
                  <w:tcW w:w="549" w:type="pct"/>
                  <w:vAlign w:val="center"/>
                </w:tcPr>
                <w:p w14:paraId="4994BE56">
                  <w:pPr>
                    <w:adjustRightInd w:val="0"/>
                    <w:snapToGrid w:val="0"/>
                    <w:jc w:val="center"/>
                    <w:rPr>
                      <w:b/>
                      <w:bCs/>
                      <w:szCs w:val="21"/>
                    </w:rPr>
                  </w:pPr>
                  <w:r>
                    <w:rPr>
                      <w:rFonts w:hint="eastAsia"/>
                      <w:b/>
                      <w:bCs/>
                      <w:szCs w:val="21"/>
                    </w:rPr>
                    <w:t>名称</w:t>
                  </w:r>
                </w:p>
              </w:tc>
              <w:tc>
                <w:tcPr>
                  <w:tcW w:w="845" w:type="pct"/>
                  <w:vAlign w:val="center"/>
                </w:tcPr>
                <w:p w14:paraId="6A56BAC3">
                  <w:pPr>
                    <w:adjustRightInd w:val="0"/>
                    <w:snapToGrid w:val="0"/>
                    <w:jc w:val="center"/>
                    <w:rPr>
                      <w:b/>
                      <w:bCs/>
                      <w:szCs w:val="21"/>
                    </w:rPr>
                  </w:pPr>
                  <w:r>
                    <w:rPr>
                      <w:rFonts w:hint="eastAsia"/>
                      <w:b/>
                      <w:bCs/>
                      <w:szCs w:val="21"/>
                    </w:rPr>
                    <w:t>储存方式</w:t>
                  </w:r>
                </w:p>
              </w:tc>
              <w:tc>
                <w:tcPr>
                  <w:tcW w:w="1179" w:type="pct"/>
                  <w:vAlign w:val="center"/>
                </w:tcPr>
                <w:p w14:paraId="1C47BCA9">
                  <w:pPr>
                    <w:adjustRightInd w:val="0"/>
                    <w:snapToGrid w:val="0"/>
                    <w:jc w:val="center"/>
                    <w:rPr>
                      <w:b/>
                      <w:bCs/>
                      <w:szCs w:val="21"/>
                    </w:rPr>
                  </w:pPr>
                  <w:r>
                    <w:rPr>
                      <w:rFonts w:hint="eastAsia"/>
                      <w:b/>
                      <w:bCs/>
                      <w:szCs w:val="21"/>
                    </w:rPr>
                    <w:t>储存设施规格</w:t>
                  </w:r>
                </w:p>
              </w:tc>
              <w:tc>
                <w:tcPr>
                  <w:tcW w:w="657" w:type="pct"/>
                  <w:vAlign w:val="center"/>
                </w:tcPr>
                <w:p w14:paraId="071D4F81">
                  <w:pPr>
                    <w:adjustRightInd w:val="0"/>
                    <w:snapToGrid w:val="0"/>
                    <w:jc w:val="center"/>
                    <w:rPr>
                      <w:b/>
                      <w:bCs/>
                      <w:szCs w:val="21"/>
                    </w:rPr>
                  </w:pPr>
                  <w:r>
                    <w:rPr>
                      <w:rFonts w:hint="eastAsia"/>
                      <w:b/>
                      <w:bCs/>
                      <w:szCs w:val="21"/>
                    </w:rPr>
                    <w:t>储存时间</w:t>
                  </w:r>
                </w:p>
              </w:tc>
              <w:tc>
                <w:tcPr>
                  <w:tcW w:w="724" w:type="pct"/>
                  <w:vAlign w:val="center"/>
                </w:tcPr>
                <w:p w14:paraId="0A7FAC82">
                  <w:pPr>
                    <w:adjustRightInd w:val="0"/>
                    <w:snapToGrid w:val="0"/>
                    <w:jc w:val="center"/>
                    <w:rPr>
                      <w:b/>
                      <w:bCs/>
                      <w:szCs w:val="21"/>
                    </w:rPr>
                  </w:pPr>
                  <w:r>
                    <w:rPr>
                      <w:rFonts w:hint="eastAsia"/>
                      <w:b/>
                      <w:bCs/>
                      <w:szCs w:val="21"/>
                    </w:rPr>
                    <w:t>最大储量</w:t>
                  </w:r>
                </w:p>
              </w:tc>
              <w:tc>
                <w:tcPr>
                  <w:tcW w:w="698" w:type="pct"/>
                  <w:vAlign w:val="center"/>
                </w:tcPr>
                <w:p w14:paraId="5F09A3E2">
                  <w:pPr>
                    <w:adjustRightInd w:val="0"/>
                    <w:snapToGrid w:val="0"/>
                    <w:jc w:val="center"/>
                    <w:rPr>
                      <w:b/>
                      <w:bCs/>
                      <w:szCs w:val="21"/>
                    </w:rPr>
                  </w:pPr>
                  <w:r>
                    <w:rPr>
                      <w:rFonts w:hint="eastAsia"/>
                      <w:b/>
                      <w:bCs/>
                      <w:szCs w:val="21"/>
                    </w:rPr>
                    <w:t>运输方式</w:t>
                  </w:r>
                </w:p>
              </w:tc>
            </w:tr>
            <w:tr w14:paraId="6158B3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47" w:type="pct"/>
                  <w:vAlign w:val="center"/>
                </w:tcPr>
                <w:p w14:paraId="44B6D427">
                  <w:pPr>
                    <w:adjustRightInd w:val="0"/>
                    <w:snapToGrid w:val="0"/>
                    <w:jc w:val="center"/>
                    <w:rPr>
                      <w:szCs w:val="21"/>
                    </w:rPr>
                  </w:pPr>
                  <w:r>
                    <w:rPr>
                      <w:rFonts w:hint="eastAsia"/>
                      <w:szCs w:val="21"/>
                    </w:rPr>
                    <w:t>1</w:t>
                  </w:r>
                </w:p>
              </w:tc>
              <w:tc>
                <w:tcPr>
                  <w:tcW w:w="549" w:type="pct"/>
                  <w:vAlign w:val="center"/>
                </w:tcPr>
                <w:p w14:paraId="34F5AEAA">
                  <w:pPr>
                    <w:adjustRightInd w:val="0"/>
                    <w:snapToGrid w:val="0"/>
                    <w:jc w:val="center"/>
                    <w:rPr>
                      <w:szCs w:val="21"/>
                    </w:rPr>
                  </w:pPr>
                  <w:r>
                    <w:rPr>
                      <w:rFonts w:hint="eastAsia"/>
                      <w:szCs w:val="21"/>
                    </w:rPr>
                    <w:t>煤</w:t>
                  </w:r>
                </w:p>
              </w:tc>
              <w:tc>
                <w:tcPr>
                  <w:tcW w:w="845" w:type="pct"/>
                  <w:vAlign w:val="center"/>
                </w:tcPr>
                <w:p w14:paraId="503A8912">
                  <w:pPr>
                    <w:adjustRightInd w:val="0"/>
                    <w:snapToGrid w:val="0"/>
                    <w:jc w:val="center"/>
                    <w:rPr>
                      <w:szCs w:val="21"/>
                    </w:rPr>
                  </w:pPr>
                  <w:r>
                    <w:rPr>
                      <w:rFonts w:hint="eastAsia"/>
                      <w:szCs w:val="21"/>
                    </w:rPr>
                    <w:t>炉前煤仓</w:t>
                  </w:r>
                </w:p>
              </w:tc>
              <w:tc>
                <w:tcPr>
                  <w:tcW w:w="1179" w:type="pct"/>
                  <w:vAlign w:val="center"/>
                </w:tcPr>
                <w:p w14:paraId="70A96528">
                  <w:pPr>
                    <w:adjustRightInd w:val="0"/>
                    <w:snapToGrid w:val="0"/>
                    <w:jc w:val="center"/>
                    <w:rPr>
                      <w:szCs w:val="21"/>
                    </w:rPr>
                  </w:pPr>
                  <w:r>
                    <w:rPr>
                      <w:rFonts w:hint="eastAsia"/>
                      <w:szCs w:val="21"/>
                    </w:rPr>
                    <w:t>100m</w:t>
                  </w:r>
                  <w:r>
                    <w:rPr>
                      <w:rFonts w:hint="eastAsia"/>
                      <w:szCs w:val="21"/>
                      <w:vertAlign w:val="superscript"/>
                    </w:rPr>
                    <w:t>3</w:t>
                  </w:r>
                </w:p>
              </w:tc>
              <w:tc>
                <w:tcPr>
                  <w:tcW w:w="657" w:type="pct"/>
                  <w:vAlign w:val="center"/>
                </w:tcPr>
                <w:p w14:paraId="2D9AA5C5">
                  <w:pPr>
                    <w:adjustRightInd w:val="0"/>
                    <w:snapToGrid w:val="0"/>
                    <w:jc w:val="center"/>
                    <w:rPr>
                      <w:szCs w:val="21"/>
                    </w:rPr>
                  </w:pPr>
                  <w:r>
                    <w:rPr>
                      <w:rFonts w:hint="eastAsia"/>
                      <w:szCs w:val="21"/>
                    </w:rPr>
                    <w:t>2天</w:t>
                  </w:r>
                </w:p>
              </w:tc>
              <w:tc>
                <w:tcPr>
                  <w:tcW w:w="724" w:type="pct"/>
                  <w:vAlign w:val="center"/>
                </w:tcPr>
                <w:p w14:paraId="20D64252">
                  <w:pPr>
                    <w:adjustRightInd w:val="0"/>
                    <w:snapToGrid w:val="0"/>
                    <w:jc w:val="center"/>
                    <w:rPr>
                      <w:szCs w:val="21"/>
                    </w:rPr>
                  </w:pPr>
                  <w:r>
                    <w:rPr>
                      <w:rFonts w:hint="eastAsia"/>
                      <w:szCs w:val="21"/>
                    </w:rPr>
                    <w:t>120t</w:t>
                  </w:r>
                </w:p>
              </w:tc>
              <w:tc>
                <w:tcPr>
                  <w:tcW w:w="698" w:type="pct"/>
                  <w:vAlign w:val="center"/>
                </w:tcPr>
                <w:p w14:paraId="56BB0FC4">
                  <w:pPr>
                    <w:adjustRightInd w:val="0"/>
                    <w:snapToGrid w:val="0"/>
                    <w:jc w:val="center"/>
                    <w:rPr>
                      <w:szCs w:val="21"/>
                    </w:rPr>
                  </w:pPr>
                  <w:r>
                    <w:rPr>
                      <w:rFonts w:hint="eastAsia"/>
                      <w:szCs w:val="21"/>
                    </w:rPr>
                    <w:t>输煤栈桥</w:t>
                  </w:r>
                </w:p>
              </w:tc>
            </w:tr>
            <w:tr w14:paraId="2CFDD7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47" w:type="pct"/>
                  <w:vAlign w:val="center"/>
                </w:tcPr>
                <w:p w14:paraId="7952F069">
                  <w:pPr>
                    <w:adjustRightInd w:val="0"/>
                    <w:snapToGrid w:val="0"/>
                    <w:jc w:val="center"/>
                    <w:rPr>
                      <w:szCs w:val="21"/>
                    </w:rPr>
                  </w:pPr>
                  <w:r>
                    <w:rPr>
                      <w:rFonts w:hint="eastAsia"/>
                      <w:szCs w:val="21"/>
                    </w:rPr>
                    <w:t>2</w:t>
                  </w:r>
                </w:p>
              </w:tc>
              <w:tc>
                <w:tcPr>
                  <w:tcW w:w="549" w:type="pct"/>
                  <w:vAlign w:val="center"/>
                </w:tcPr>
                <w:p w14:paraId="7DDDD56A">
                  <w:pPr>
                    <w:adjustRightInd w:val="0"/>
                    <w:snapToGrid w:val="0"/>
                    <w:jc w:val="center"/>
                    <w:rPr>
                      <w:szCs w:val="21"/>
                    </w:rPr>
                  </w:pPr>
                  <w:r>
                    <w:rPr>
                      <w:rFonts w:hint="eastAsia"/>
                      <w:szCs w:val="21"/>
                    </w:rPr>
                    <w:t>氧化镁</w:t>
                  </w:r>
                </w:p>
              </w:tc>
              <w:tc>
                <w:tcPr>
                  <w:tcW w:w="845" w:type="pct"/>
                  <w:vAlign w:val="center"/>
                </w:tcPr>
                <w:p w14:paraId="42514BA7">
                  <w:pPr>
                    <w:adjustRightInd w:val="0"/>
                    <w:snapToGrid w:val="0"/>
                    <w:jc w:val="center"/>
                    <w:rPr>
                      <w:szCs w:val="21"/>
                    </w:rPr>
                  </w:pPr>
                  <w:r>
                    <w:rPr>
                      <w:rFonts w:hint="eastAsia"/>
                      <w:szCs w:val="21"/>
                    </w:rPr>
                    <w:t>仓罐储存</w:t>
                  </w:r>
                </w:p>
              </w:tc>
              <w:tc>
                <w:tcPr>
                  <w:tcW w:w="1179" w:type="pct"/>
                  <w:vAlign w:val="center"/>
                </w:tcPr>
                <w:p w14:paraId="43D02128">
                  <w:pPr>
                    <w:adjustRightInd w:val="0"/>
                    <w:snapToGrid w:val="0"/>
                    <w:jc w:val="center"/>
                    <w:rPr>
                      <w:szCs w:val="21"/>
                    </w:rPr>
                  </w:pPr>
                  <w:r>
                    <w:rPr>
                      <w:rFonts w:hint="eastAsia"/>
                      <w:szCs w:val="21"/>
                    </w:rPr>
                    <w:t>60m</w:t>
                  </w:r>
                  <w:r>
                    <w:rPr>
                      <w:rFonts w:hint="eastAsia"/>
                      <w:szCs w:val="21"/>
                      <w:vertAlign w:val="superscript"/>
                    </w:rPr>
                    <w:t>3</w:t>
                  </w:r>
                </w:p>
              </w:tc>
              <w:tc>
                <w:tcPr>
                  <w:tcW w:w="657" w:type="pct"/>
                  <w:vAlign w:val="center"/>
                </w:tcPr>
                <w:p w14:paraId="2294CD0E">
                  <w:pPr>
                    <w:adjustRightInd w:val="0"/>
                    <w:snapToGrid w:val="0"/>
                    <w:jc w:val="center"/>
                    <w:rPr>
                      <w:szCs w:val="21"/>
                    </w:rPr>
                  </w:pPr>
                  <w:r>
                    <w:rPr>
                      <w:rFonts w:hint="eastAsia"/>
                      <w:szCs w:val="21"/>
                    </w:rPr>
                    <w:t>120天</w:t>
                  </w:r>
                </w:p>
              </w:tc>
              <w:tc>
                <w:tcPr>
                  <w:tcW w:w="724" w:type="pct"/>
                  <w:vAlign w:val="center"/>
                </w:tcPr>
                <w:p w14:paraId="418B5D8A">
                  <w:pPr>
                    <w:adjustRightInd w:val="0"/>
                    <w:snapToGrid w:val="0"/>
                    <w:jc w:val="center"/>
                    <w:rPr>
                      <w:szCs w:val="21"/>
                    </w:rPr>
                  </w:pPr>
                  <w:r>
                    <w:rPr>
                      <w:rFonts w:hint="eastAsia"/>
                      <w:szCs w:val="21"/>
                    </w:rPr>
                    <w:t>120t</w:t>
                  </w:r>
                </w:p>
              </w:tc>
              <w:tc>
                <w:tcPr>
                  <w:tcW w:w="698" w:type="pct"/>
                  <w:vAlign w:val="center"/>
                </w:tcPr>
                <w:p w14:paraId="1A904D9A">
                  <w:pPr>
                    <w:adjustRightInd w:val="0"/>
                    <w:snapToGrid w:val="0"/>
                    <w:jc w:val="center"/>
                    <w:rPr>
                      <w:szCs w:val="21"/>
                    </w:rPr>
                  </w:pPr>
                  <w:r>
                    <w:rPr>
                      <w:rFonts w:hint="eastAsia"/>
                      <w:szCs w:val="21"/>
                    </w:rPr>
                    <w:t>罐车</w:t>
                  </w:r>
                </w:p>
              </w:tc>
            </w:tr>
            <w:tr w14:paraId="0EEA80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47" w:type="pct"/>
                  <w:vAlign w:val="center"/>
                </w:tcPr>
                <w:p w14:paraId="22DB2783">
                  <w:pPr>
                    <w:adjustRightInd w:val="0"/>
                    <w:snapToGrid w:val="0"/>
                    <w:jc w:val="center"/>
                    <w:rPr>
                      <w:szCs w:val="21"/>
                    </w:rPr>
                  </w:pPr>
                  <w:r>
                    <w:rPr>
                      <w:rFonts w:hint="eastAsia"/>
                      <w:szCs w:val="21"/>
                    </w:rPr>
                    <w:t>3</w:t>
                  </w:r>
                </w:p>
              </w:tc>
              <w:tc>
                <w:tcPr>
                  <w:tcW w:w="549" w:type="pct"/>
                  <w:vAlign w:val="center"/>
                </w:tcPr>
                <w:p w14:paraId="4C87A23C">
                  <w:pPr>
                    <w:adjustRightInd w:val="0"/>
                    <w:snapToGrid w:val="0"/>
                    <w:jc w:val="center"/>
                    <w:rPr>
                      <w:szCs w:val="21"/>
                    </w:rPr>
                  </w:pPr>
                  <w:r>
                    <w:rPr>
                      <w:rFonts w:hint="eastAsia"/>
                      <w:szCs w:val="21"/>
                    </w:rPr>
                    <w:t>尿素</w:t>
                  </w:r>
                </w:p>
              </w:tc>
              <w:tc>
                <w:tcPr>
                  <w:tcW w:w="845" w:type="pct"/>
                  <w:vAlign w:val="center"/>
                </w:tcPr>
                <w:p w14:paraId="0A67A2E1">
                  <w:pPr>
                    <w:adjustRightInd w:val="0"/>
                    <w:snapToGrid w:val="0"/>
                    <w:jc w:val="center"/>
                    <w:rPr>
                      <w:szCs w:val="21"/>
                    </w:rPr>
                  </w:pPr>
                  <w:r>
                    <w:rPr>
                      <w:rFonts w:hint="eastAsia"/>
                      <w:szCs w:val="21"/>
                    </w:rPr>
                    <w:t>袋装</w:t>
                  </w:r>
                </w:p>
              </w:tc>
              <w:tc>
                <w:tcPr>
                  <w:tcW w:w="1179" w:type="pct"/>
                  <w:vAlign w:val="center"/>
                </w:tcPr>
                <w:p w14:paraId="44E0455D">
                  <w:pPr>
                    <w:adjustRightInd w:val="0"/>
                    <w:snapToGrid w:val="0"/>
                    <w:jc w:val="center"/>
                    <w:rPr>
                      <w:szCs w:val="21"/>
                    </w:rPr>
                  </w:pPr>
                  <w:r>
                    <w:rPr>
                      <w:rFonts w:hint="eastAsia"/>
                      <w:szCs w:val="21"/>
                    </w:rPr>
                    <w:t>50kg</w:t>
                  </w:r>
                </w:p>
              </w:tc>
              <w:tc>
                <w:tcPr>
                  <w:tcW w:w="657" w:type="pct"/>
                  <w:vAlign w:val="center"/>
                </w:tcPr>
                <w:p w14:paraId="6AD1E064">
                  <w:pPr>
                    <w:adjustRightInd w:val="0"/>
                    <w:snapToGrid w:val="0"/>
                    <w:jc w:val="center"/>
                    <w:rPr>
                      <w:szCs w:val="21"/>
                    </w:rPr>
                  </w:pPr>
                  <w:r>
                    <w:rPr>
                      <w:rFonts w:hint="eastAsia"/>
                      <w:szCs w:val="21"/>
                    </w:rPr>
                    <w:t>15天</w:t>
                  </w:r>
                </w:p>
              </w:tc>
              <w:tc>
                <w:tcPr>
                  <w:tcW w:w="724" w:type="pct"/>
                  <w:vAlign w:val="center"/>
                </w:tcPr>
                <w:p w14:paraId="109A53D8">
                  <w:pPr>
                    <w:adjustRightInd w:val="0"/>
                    <w:snapToGrid w:val="0"/>
                    <w:jc w:val="center"/>
                    <w:rPr>
                      <w:szCs w:val="21"/>
                    </w:rPr>
                  </w:pPr>
                  <w:r>
                    <w:rPr>
                      <w:rFonts w:hint="eastAsia"/>
                      <w:szCs w:val="21"/>
                    </w:rPr>
                    <w:t>4t</w:t>
                  </w:r>
                </w:p>
              </w:tc>
              <w:tc>
                <w:tcPr>
                  <w:tcW w:w="698" w:type="pct"/>
                  <w:vAlign w:val="center"/>
                </w:tcPr>
                <w:p w14:paraId="0B8F2E29">
                  <w:pPr>
                    <w:adjustRightInd w:val="0"/>
                    <w:snapToGrid w:val="0"/>
                    <w:jc w:val="center"/>
                    <w:rPr>
                      <w:szCs w:val="21"/>
                    </w:rPr>
                  </w:pPr>
                  <w:r>
                    <w:rPr>
                      <w:rFonts w:hint="eastAsia"/>
                      <w:szCs w:val="21"/>
                    </w:rPr>
                    <w:t>汽车运输</w:t>
                  </w:r>
                </w:p>
              </w:tc>
            </w:tr>
            <w:bookmarkEnd w:id="17"/>
          </w:tbl>
          <w:p w14:paraId="3CF20522">
            <w:pPr>
              <w:adjustRightInd w:val="0"/>
              <w:snapToGrid w:val="0"/>
              <w:spacing w:line="360" w:lineRule="auto"/>
              <w:ind w:firstLine="480" w:firstLineChars="200"/>
              <w:rPr>
                <w:bCs/>
                <w:sz w:val="24"/>
              </w:rPr>
            </w:pPr>
            <w:bookmarkStart w:id="18" w:name="_Hlk164066009"/>
            <w:r>
              <w:rPr>
                <w:rFonts w:hint="eastAsia"/>
                <w:bCs/>
                <w:sz w:val="24"/>
              </w:rPr>
              <w:t>项目锅炉燃料使用煤，燃煤消耗量37630t/a（</w:t>
            </w:r>
            <w:r>
              <w:rPr>
                <w:bCs/>
                <w:sz w:val="24"/>
              </w:rPr>
              <w:t>采暖期</w:t>
            </w:r>
            <w:r>
              <w:rPr>
                <w:rFonts w:hint="eastAsia"/>
                <w:bCs/>
                <w:sz w:val="24"/>
              </w:rPr>
              <w:t>耗煤量2</w:t>
            </w:r>
            <w:r>
              <w:rPr>
                <w:bCs/>
                <w:sz w:val="24"/>
              </w:rPr>
              <w:t>8222t，非采暖期</w:t>
            </w:r>
            <w:r>
              <w:rPr>
                <w:rFonts w:hint="eastAsia"/>
                <w:bCs/>
                <w:sz w:val="24"/>
              </w:rPr>
              <w:t>9</w:t>
            </w:r>
            <w:r>
              <w:rPr>
                <w:bCs/>
                <w:sz w:val="24"/>
              </w:rPr>
              <w:t>408t，合计</w:t>
            </w:r>
            <w:r>
              <w:rPr>
                <w:rFonts w:hint="eastAsia"/>
                <w:bCs/>
                <w:sz w:val="24"/>
              </w:rPr>
              <w:t>37630</w:t>
            </w:r>
            <w:r>
              <w:rPr>
                <w:bCs/>
                <w:sz w:val="24"/>
              </w:rPr>
              <w:t>t</w:t>
            </w:r>
            <w:r>
              <w:rPr>
                <w:rFonts w:hint="eastAsia"/>
                <w:bCs/>
                <w:sz w:val="24"/>
              </w:rPr>
              <w:t>）。</w:t>
            </w:r>
            <w:bookmarkEnd w:id="18"/>
            <w:r>
              <w:rPr>
                <w:rFonts w:hint="eastAsia"/>
                <w:bCs/>
                <w:sz w:val="24"/>
              </w:rPr>
              <w:t>根据建设单位提供资料，项目煤质分析见下表。</w:t>
            </w:r>
          </w:p>
          <w:p w14:paraId="2BBBC285">
            <w:pPr>
              <w:adjustRightInd w:val="0"/>
              <w:snapToGrid w:val="0"/>
              <w:jc w:val="center"/>
              <w:rPr>
                <w:b/>
                <w:szCs w:val="21"/>
              </w:rPr>
            </w:pPr>
            <w:r>
              <w:rPr>
                <w:rFonts w:hint="eastAsia"/>
                <w:b/>
                <w:szCs w:val="21"/>
              </w:rPr>
              <w:t>表2</w:t>
            </w:r>
            <w:r>
              <w:rPr>
                <w:b/>
                <w:szCs w:val="21"/>
              </w:rPr>
              <w:t>-</w:t>
            </w:r>
            <w:r>
              <w:rPr>
                <w:rFonts w:hint="eastAsia"/>
                <w:b/>
                <w:szCs w:val="21"/>
              </w:rPr>
              <w:t>4</w:t>
            </w:r>
            <w:r>
              <w:rPr>
                <w:b/>
                <w:szCs w:val="21"/>
              </w:rPr>
              <w:t xml:space="preserve">  </w:t>
            </w:r>
            <w:r>
              <w:rPr>
                <w:rFonts w:hint="eastAsia"/>
                <w:b/>
                <w:szCs w:val="21"/>
              </w:rPr>
              <w:t>煤质分析表</w:t>
            </w:r>
          </w:p>
          <w:tbl>
            <w:tblPr>
              <w:tblStyle w:val="31"/>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2035"/>
              <w:gridCol w:w="1514"/>
              <w:gridCol w:w="1705"/>
              <w:gridCol w:w="1721"/>
            </w:tblGrid>
            <w:tr w14:paraId="0B42D7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5" w:type="pct"/>
                  <w:tcBorders>
                    <w:tl2br w:val="nil"/>
                    <w:tr2bl w:val="nil"/>
                  </w:tcBorders>
                  <w:vAlign w:val="center"/>
                </w:tcPr>
                <w:p w14:paraId="428902FF">
                  <w:pPr>
                    <w:jc w:val="center"/>
                    <w:rPr>
                      <w:b/>
                      <w:bCs/>
                      <w:szCs w:val="21"/>
                    </w:rPr>
                  </w:pPr>
                  <w:r>
                    <w:rPr>
                      <w:b/>
                      <w:bCs/>
                      <w:szCs w:val="21"/>
                    </w:rPr>
                    <w:t>序号</w:t>
                  </w:r>
                </w:p>
              </w:tc>
              <w:tc>
                <w:tcPr>
                  <w:tcW w:w="1282" w:type="pct"/>
                  <w:tcBorders>
                    <w:tl2br w:val="nil"/>
                    <w:tr2bl w:val="nil"/>
                  </w:tcBorders>
                  <w:vAlign w:val="center"/>
                </w:tcPr>
                <w:p w14:paraId="1D44D9FD">
                  <w:pPr>
                    <w:jc w:val="center"/>
                    <w:rPr>
                      <w:b/>
                      <w:bCs/>
                      <w:szCs w:val="21"/>
                    </w:rPr>
                  </w:pPr>
                  <w:r>
                    <w:rPr>
                      <w:b/>
                      <w:bCs/>
                      <w:szCs w:val="21"/>
                    </w:rPr>
                    <w:t>项目</w:t>
                  </w:r>
                </w:p>
              </w:tc>
              <w:tc>
                <w:tcPr>
                  <w:tcW w:w="954" w:type="pct"/>
                  <w:tcBorders>
                    <w:tl2br w:val="nil"/>
                    <w:tr2bl w:val="nil"/>
                  </w:tcBorders>
                  <w:vAlign w:val="center"/>
                </w:tcPr>
                <w:p w14:paraId="756B8138">
                  <w:pPr>
                    <w:jc w:val="center"/>
                    <w:rPr>
                      <w:b/>
                      <w:bCs/>
                      <w:szCs w:val="21"/>
                    </w:rPr>
                  </w:pPr>
                  <w:r>
                    <w:rPr>
                      <w:b/>
                      <w:bCs/>
                      <w:szCs w:val="21"/>
                    </w:rPr>
                    <w:t>符号</w:t>
                  </w:r>
                </w:p>
              </w:tc>
              <w:tc>
                <w:tcPr>
                  <w:tcW w:w="1074" w:type="pct"/>
                  <w:tcBorders>
                    <w:tl2br w:val="nil"/>
                    <w:tr2bl w:val="nil"/>
                  </w:tcBorders>
                  <w:vAlign w:val="center"/>
                </w:tcPr>
                <w:p w14:paraId="38493808">
                  <w:pPr>
                    <w:jc w:val="center"/>
                    <w:rPr>
                      <w:b/>
                      <w:bCs/>
                      <w:szCs w:val="21"/>
                    </w:rPr>
                  </w:pPr>
                  <w:r>
                    <w:rPr>
                      <w:b/>
                      <w:bCs/>
                      <w:szCs w:val="21"/>
                    </w:rPr>
                    <w:t>数值</w:t>
                  </w:r>
                </w:p>
              </w:tc>
              <w:tc>
                <w:tcPr>
                  <w:tcW w:w="1084" w:type="pct"/>
                  <w:tcBorders>
                    <w:tl2br w:val="nil"/>
                    <w:tr2bl w:val="nil"/>
                  </w:tcBorders>
                  <w:vAlign w:val="center"/>
                </w:tcPr>
                <w:p w14:paraId="6BF759F4">
                  <w:pPr>
                    <w:jc w:val="center"/>
                    <w:rPr>
                      <w:b/>
                      <w:bCs/>
                      <w:szCs w:val="21"/>
                    </w:rPr>
                  </w:pPr>
                  <w:r>
                    <w:rPr>
                      <w:b/>
                      <w:bCs/>
                      <w:szCs w:val="21"/>
                    </w:rPr>
                    <w:t>单位</w:t>
                  </w:r>
                </w:p>
              </w:tc>
            </w:tr>
            <w:tr w14:paraId="5BCDA2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5" w:type="pct"/>
                  <w:tcBorders>
                    <w:tl2br w:val="nil"/>
                    <w:tr2bl w:val="nil"/>
                  </w:tcBorders>
                  <w:vAlign w:val="center"/>
                </w:tcPr>
                <w:p w14:paraId="1E5919BC">
                  <w:pPr>
                    <w:jc w:val="center"/>
                    <w:rPr>
                      <w:bCs/>
                      <w:szCs w:val="21"/>
                    </w:rPr>
                  </w:pPr>
                  <w:r>
                    <w:rPr>
                      <w:bCs/>
                      <w:szCs w:val="21"/>
                    </w:rPr>
                    <w:t>1</w:t>
                  </w:r>
                </w:p>
              </w:tc>
              <w:tc>
                <w:tcPr>
                  <w:tcW w:w="1282" w:type="pct"/>
                  <w:tcBorders>
                    <w:tl2br w:val="nil"/>
                    <w:tr2bl w:val="nil"/>
                  </w:tcBorders>
                  <w:vAlign w:val="center"/>
                </w:tcPr>
                <w:p w14:paraId="5B3D0DDF">
                  <w:pPr>
                    <w:jc w:val="center"/>
                    <w:rPr>
                      <w:bCs/>
                      <w:szCs w:val="21"/>
                    </w:rPr>
                  </w:pPr>
                  <w:r>
                    <w:rPr>
                      <w:bCs/>
                      <w:szCs w:val="21"/>
                    </w:rPr>
                    <w:t>收到基</w:t>
                  </w:r>
                  <w:r>
                    <w:rPr>
                      <w:rFonts w:hint="eastAsia"/>
                      <w:bCs/>
                      <w:szCs w:val="21"/>
                    </w:rPr>
                    <w:t>全硫</w:t>
                  </w:r>
                </w:p>
              </w:tc>
              <w:tc>
                <w:tcPr>
                  <w:tcW w:w="954" w:type="pct"/>
                  <w:tcBorders>
                    <w:tl2br w:val="nil"/>
                    <w:tr2bl w:val="nil"/>
                  </w:tcBorders>
                  <w:vAlign w:val="center"/>
                </w:tcPr>
                <w:p w14:paraId="504A1647">
                  <w:pPr>
                    <w:jc w:val="center"/>
                    <w:rPr>
                      <w:bCs/>
                      <w:szCs w:val="21"/>
                    </w:rPr>
                  </w:pPr>
                  <w:r>
                    <w:rPr>
                      <w:bCs/>
                      <w:szCs w:val="21"/>
                    </w:rPr>
                    <w:t>St.a</w:t>
                  </w:r>
                  <w:r>
                    <w:rPr>
                      <w:rFonts w:hint="eastAsia"/>
                      <w:bCs/>
                      <w:szCs w:val="21"/>
                    </w:rPr>
                    <w:t>i</w:t>
                  </w:r>
                </w:p>
              </w:tc>
              <w:tc>
                <w:tcPr>
                  <w:tcW w:w="1074" w:type="pct"/>
                  <w:tcBorders>
                    <w:tl2br w:val="nil"/>
                    <w:tr2bl w:val="nil"/>
                  </w:tcBorders>
                  <w:vAlign w:val="center"/>
                </w:tcPr>
                <w:p w14:paraId="45457BB5">
                  <w:pPr>
                    <w:jc w:val="center"/>
                    <w:rPr>
                      <w:bCs/>
                      <w:szCs w:val="21"/>
                    </w:rPr>
                  </w:pPr>
                  <w:r>
                    <w:rPr>
                      <w:rFonts w:hint="eastAsia"/>
                      <w:bCs/>
                      <w:szCs w:val="21"/>
                    </w:rPr>
                    <w:t>0.18</w:t>
                  </w:r>
                </w:p>
              </w:tc>
              <w:tc>
                <w:tcPr>
                  <w:tcW w:w="1084" w:type="pct"/>
                  <w:tcBorders>
                    <w:tl2br w:val="nil"/>
                    <w:tr2bl w:val="nil"/>
                  </w:tcBorders>
                  <w:vAlign w:val="center"/>
                </w:tcPr>
                <w:p w14:paraId="15A7A766">
                  <w:pPr>
                    <w:jc w:val="center"/>
                    <w:rPr>
                      <w:szCs w:val="21"/>
                    </w:rPr>
                  </w:pPr>
                  <w:r>
                    <w:rPr>
                      <w:bCs/>
                      <w:szCs w:val="21"/>
                    </w:rPr>
                    <w:t>%</w:t>
                  </w:r>
                </w:p>
              </w:tc>
            </w:tr>
            <w:tr w14:paraId="095311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5" w:type="pct"/>
                  <w:tcBorders>
                    <w:tl2br w:val="nil"/>
                    <w:tr2bl w:val="nil"/>
                  </w:tcBorders>
                  <w:vAlign w:val="center"/>
                </w:tcPr>
                <w:p w14:paraId="3ADEE59D">
                  <w:pPr>
                    <w:jc w:val="center"/>
                    <w:rPr>
                      <w:bCs/>
                      <w:szCs w:val="21"/>
                    </w:rPr>
                  </w:pPr>
                  <w:r>
                    <w:rPr>
                      <w:bCs/>
                      <w:szCs w:val="21"/>
                    </w:rPr>
                    <w:t>2</w:t>
                  </w:r>
                </w:p>
              </w:tc>
              <w:tc>
                <w:tcPr>
                  <w:tcW w:w="1282" w:type="pct"/>
                  <w:tcBorders>
                    <w:tl2br w:val="nil"/>
                    <w:tr2bl w:val="nil"/>
                  </w:tcBorders>
                  <w:vAlign w:val="center"/>
                </w:tcPr>
                <w:p w14:paraId="141B78A1">
                  <w:pPr>
                    <w:jc w:val="center"/>
                    <w:rPr>
                      <w:bCs/>
                      <w:szCs w:val="21"/>
                    </w:rPr>
                  </w:pPr>
                  <w:r>
                    <w:rPr>
                      <w:rFonts w:hint="eastAsia"/>
                      <w:bCs/>
                      <w:szCs w:val="21"/>
                    </w:rPr>
                    <w:t>空气干燥基全硫</w:t>
                  </w:r>
                </w:p>
              </w:tc>
              <w:tc>
                <w:tcPr>
                  <w:tcW w:w="954" w:type="pct"/>
                  <w:tcBorders>
                    <w:tl2br w:val="nil"/>
                    <w:tr2bl w:val="nil"/>
                  </w:tcBorders>
                  <w:vAlign w:val="center"/>
                </w:tcPr>
                <w:p w14:paraId="7CEF72A1">
                  <w:pPr>
                    <w:jc w:val="center"/>
                    <w:rPr>
                      <w:bCs/>
                      <w:szCs w:val="21"/>
                    </w:rPr>
                  </w:pPr>
                  <w:r>
                    <w:rPr>
                      <w:bCs/>
                      <w:szCs w:val="21"/>
                    </w:rPr>
                    <w:t>St.a</w:t>
                  </w:r>
                  <w:r>
                    <w:rPr>
                      <w:rFonts w:hint="eastAsia"/>
                      <w:bCs/>
                      <w:szCs w:val="21"/>
                    </w:rPr>
                    <w:t>d</w:t>
                  </w:r>
                </w:p>
              </w:tc>
              <w:tc>
                <w:tcPr>
                  <w:tcW w:w="1074" w:type="pct"/>
                  <w:tcBorders>
                    <w:tl2br w:val="nil"/>
                    <w:tr2bl w:val="nil"/>
                  </w:tcBorders>
                  <w:vAlign w:val="center"/>
                </w:tcPr>
                <w:p w14:paraId="090D88E5">
                  <w:pPr>
                    <w:jc w:val="center"/>
                    <w:rPr>
                      <w:bCs/>
                      <w:szCs w:val="21"/>
                    </w:rPr>
                  </w:pPr>
                  <w:r>
                    <w:rPr>
                      <w:rFonts w:hint="eastAsia"/>
                      <w:bCs/>
                      <w:szCs w:val="21"/>
                    </w:rPr>
                    <w:t>0.21</w:t>
                  </w:r>
                </w:p>
              </w:tc>
              <w:tc>
                <w:tcPr>
                  <w:tcW w:w="1084" w:type="pct"/>
                  <w:tcBorders>
                    <w:tl2br w:val="nil"/>
                    <w:tr2bl w:val="nil"/>
                  </w:tcBorders>
                  <w:vAlign w:val="center"/>
                </w:tcPr>
                <w:p w14:paraId="67497D26">
                  <w:pPr>
                    <w:jc w:val="center"/>
                    <w:rPr>
                      <w:bCs/>
                      <w:szCs w:val="21"/>
                    </w:rPr>
                  </w:pPr>
                  <w:r>
                    <w:rPr>
                      <w:rFonts w:hint="eastAsia"/>
                      <w:bCs/>
                      <w:szCs w:val="21"/>
                    </w:rPr>
                    <w:t>%</w:t>
                  </w:r>
                </w:p>
              </w:tc>
            </w:tr>
            <w:tr w14:paraId="1F9223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5" w:type="pct"/>
                  <w:tcBorders>
                    <w:tl2br w:val="nil"/>
                    <w:tr2bl w:val="nil"/>
                  </w:tcBorders>
                  <w:vAlign w:val="center"/>
                </w:tcPr>
                <w:p w14:paraId="03F1BDAC">
                  <w:pPr>
                    <w:jc w:val="center"/>
                    <w:rPr>
                      <w:bCs/>
                      <w:szCs w:val="21"/>
                    </w:rPr>
                  </w:pPr>
                  <w:r>
                    <w:rPr>
                      <w:bCs/>
                      <w:szCs w:val="21"/>
                    </w:rPr>
                    <w:t>3</w:t>
                  </w:r>
                </w:p>
              </w:tc>
              <w:tc>
                <w:tcPr>
                  <w:tcW w:w="1282" w:type="pct"/>
                  <w:tcBorders>
                    <w:tl2br w:val="nil"/>
                    <w:tr2bl w:val="nil"/>
                  </w:tcBorders>
                  <w:vAlign w:val="center"/>
                </w:tcPr>
                <w:p w14:paraId="6C060FED">
                  <w:pPr>
                    <w:jc w:val="center"/>
                    <w:rPr>
                      <w:bCs/>
                      <w:szCs w:val="21"/>
                    </w:rPr>
                  </w:pPr>
                  <w:r>
                    <w:rPr>
                      <w:rFonts w:hint="eastAsia"/>
                      <w:bCs/>
                      <w:szCs w:val="21"/>
                    </w:rPr>
                    <w:t>干燥基全硫</w:t>
                  </w:r>
                </w:p>
              </w:tc>
              <w:tc>
                <w:tcPr>
                  <w:tcW w:w="954" w:type="pct"/>
                  <w:tcBorders>
                    <w:tl2br w:val="nil"/>
                    <w:tr2bl w:val="nil"/>
                  </w:tcBorders>
                  <w:vAlign w:val="center"/>
                </w:tcPr>
                <w:p w14:paraId="3F9DE9E3">
                  <w:pPr>
                    <w:jc w:val="center"/>
                    <w:rPr>
                      <w:bCs/>
                      <w:szCs w:val="21"/>
                    </w:rPr>
                  </w:pPr>
                  <w:r>
                    <w:rPr>
                      <w:rFonts w:hint="eastAsia"/>
                      <w:bCs/>
                      <w:szCs w:val="21"/>
                    </w:rPr>
                    <w:t>St</w:t>
                  </w:r>
                  <w:r>
                    <w:rPr>
                      <w:bCs/>
                      <w:szCs w:val="21"/>
                    </w:rPr>
                    <w:t>.</w:t>
                  </w:r>
                  <w:r>
                    <w:rPr>
                      <w:rFonts w:hint="eastAsia"/>
                      <w:bCs/>
                      <w:szCs w:val="21"/>
                    </w:rPr>
                    <w:t>d</w:t>
                  </w:r>
                </w:p>
              </w:tc>
              <w:tc>
                <w:tcPr>
                  <w:tcW w:w="1074" w:type="pct"/>
                  <w:tcBorders>
                    <w:tl2br w:val="nil"/>
                    <w:tr2bl w:val="nil"/>
                  </w:tcBorders>
                  <w:vAlign w:val="center"/>
                </w:tcPr>
                <w:p w14:paraId="28228DCC">
                  <w:pPr>
                    <w:jc w:val="center"/>
                    <w:rPr>
                      <w:bCs/>
                      <w:szCs w:val="21"/>
                    </w:rPr>
                  </w:pPr>
                  <w:r>
                    <w:rPr>
                      <w:rFonts w:hint="eastAsia"/>
                      <w:bCs/>
                      <w:szCs w:val="21"/>
                    </w:rPr>
                    <w:t>0.22</w:t>
                  </w:r>
                </w:p>
              </w:tc>
              <w:tc>
                <w:tcPr>
                  <w:tcW w:w="1084" w:type="pct"/>
                  <w:tcBorders>
                    <w:tl2br w:val="nil"/>
                    <w:tr2bl w:val="nil"/>
                  </w:tcBorders>
                  <w:vAlign w:val="center"/>
                </w:tcPr>
                <w:p w14:paraId="50A686E7">
                  <w:pPr>
                    <w:jc w:val="center"/>
                    <w:rPr>
                      <w:bCs/>
                      <w:szCs w:val="21"/>
                    </w:rPr>
                  </w:pPr>
                  <w:r>
                    <w:rPr>
                      <w:bCs/>
                      <w:szCs w:val="21"/>
                    </w:rPr>
                    <w:t>%</w:t>
                  </w:r>
                </w:p>
              </w:tc>
            </w:tr>
            <w:tr w14:paraId="50C2DA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5" w:type="pct"/>
                  <w:tcBorders>
                    <w:tl2br w:val="nil"/>
                    <w:tr2bl w:val="nil"/>
                  </w:tcBorders>
                  <w:vAlign w:val="center"/>
                </w:tcPr>
                <w:p w14:paraId="7AF185F7">
                  <w:pPr>
                    <w:jc w:val="center"/>
                    <w:rPr>
                      <w:bCs/>
                      <w:szCs w:val="21"/>
                    </w:rPr>
                  </w:pPr>
                  <w:r>
                    <w:rPr>
                      <w:bCs/>
                      <w:szCs w:val="21"/>
                    </w:rPr>
                    <w:t>4</w:t>
                  </w:r>
                </w:p>
              </w:tc>
              <w:tc>
                <w:tcPr>
                  <w:tcW w:w="1282" w:type="pct"/>
                  <w:tcBorders>
                    <w:tl2br w:val="nil"/>
                    <w:tr2bl w:val="nil"/>
                  </w:tcBorders>
                  <w:vAlign w:val="center"/>
                </w:tcPr>
                <w:p w14:paraId="1EAD4354">
                  <w:pPr>
                    <w:jc w:val="center"/>
                    <w:rPr>
                      <w:bCs/>
                      <w:szCs w:val="21"/>
                    </w:rPr>
                  </w:pPr>
                  <w:r>
                    <w:rPr>
                      <w:rFonts w:hint="eastAsia"/>
                      <w:bCs/>
                      <w:szCs w:val="21"/>
                    </w:rPr>
                    <w:t>干燥基</w:t>
                  </w:r>
                  <w:r>
                    <w:rPr>
                      <w:bCs/>
                      <w:szCs w:val="21"/>
                    </w:rPr>
                    <w:t>灰分</w:t>
                  </w:r>
                </w:p>
              </w:tc>
              <w:tc>
                <w:tcPr>
                  <w:tcW w:w="954" w:type="pct"/>
                  <w:tcBorders>
                    <w:tl2br w:val="nil"/>
                    <w:tr2bl w:val="nil"/>
                  </w:tcBorders>
                  <w:vAlign w:val="center"/>
                </w:tcPr>
                <w:p w14:paraId="77FCA4E2">
                  <w:pPr>
                    <w:jc w:val="center"/>
                    <w:rPr>
                      <w:bCs/>
                      <w:szCs w:val="21"/>
                    </w:rPr>
                  </w:pPr>
                  <w:r>
                    <w:rPr>
                      <w:bCs/>
                      <w:szCs w:val="21"/>
                    </w:rPr>
                    <w:t>Ad</w:t>
                  </w:r>
                </w:p>
              </w:tc>
              <w:tc>
                <w:tcPr>
                  <w:tcW w:w="1074" w:type="pct"/>
                  <w:tcBorders>
                    <w:tl2br w:val="nil"/>
                    <w:tr2bl w:val="nil"/>
                  </w:tcBorders>
                  <w:vAlign w:val="center"/>
                </w:tcPr>
                <w:p w14:paraId="324E7B39">
                  <w:pPr>
                    <w:jc w:val="center"/>
                    <w:rPr>
                      <w:bCs/>
                      <w:szCs w:val="21"/>
                    </w:rPr>
                  </w:pPr>
                  <w:r>
                    <w:rPr>
                      <w:rFonts w:hint="eastAsia"/>
                      <w:bCs/>
                      <w:szCs w:val="21"/>
                    </w:rPr>
                    <w:t>5.56</w:t>
                  </w:r>
                </w:p>
              </w:tc>
              <w:tc>
                <w:tcPr>
                  <w:tcW w:w="1084" w:type="pct"/>
                  <w:tcBorders>
                    <w:tl2br w:val="nil"/>
                    <w:tr2bl w:val="nil"/>
                  </w:tcBorders>
                  <w:vAlign w:val="center"/>
                </w:tcPr>
                <w:p w14:paraId="07D9FCC6">
                  <w:pPr>
                    <w:jc w:val="center"/>
                    <w:rPr>
                      <w:bCs/>
                      <w:szCs w:val="21"/>
                    </w:rPr>
                  </w:pPr>
                  <w:r>
                    <w:rPr>
                      <w:bCs/>
                      <w:szCs w:val="21"/>
                    </w:rPr>
                    <w:t>%</w:t>
                  </w:r>
                </w:p>
              </w:tc>
            </w:tr>
            <w:tr w14:paraId="3D4214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5" w:type="pct"/>
                  <w:tcBorders>
                    <w:tl2br w:val="nil"/>
                    <w:tr2bl w:val="nil"/>
                  </w:tcBorders>
                  <w:vAlign w:val="center"/>
                </w:tcPr>
                <w:p w14:paraId="6C5EAAF5">
                  <w:pPr>
                    <w:jc w:val="center"/>
                    <w:rPr>
                      <w:bCs/>
                      <w:szCs w:val="21"/>
                    </w:rPr>
                  </w:pPr>
                  <w:r>
                    <w:rPr>
                      <w:bCs/>
                      <w:szCs w:val="21"/>
                    </w:rPr>
                    <w:t>5</w:t>
                  </w:r>
                </w:p>
              </w:tc>
              <w:tc>
                <w:tcPr>
                  <w:tcW w:w="1282" w:type="pct"/>
                  <w:tcBorders>
                    <w:tl2br w:val="nil"/>
                    <w:tr2bl w:val="nil"/>
                  </w:tcBorders>
                  <w:vAlign w:val="center"/>
                </w:tcPr>
                <w:p w14:paraId="06D1638E">
                  <w:pPr>
                    <w:jc w:val="center"/>
                    <w:rPr>
                      <w:bCs/>
                      <w:szCs w:val="21"/>
                    </w:rPr>
                  </w:pPr>
                  <w:r>
                    <w:rPr>
                      <w:rFonts w:hint="eastAsia"/>
                      <w:bCs/>
                      <w:szCs w:val="21"/>
                    </w:rPr>
                    <w:t>收到基灰分</w:t>
                  </w:r>
                </w:p>
              </w:tc>
              <w:tc>
                <w:tcPr>
                  <w:tcW w:w="954" w:type="pct"/>
                  <w:tcBorders>
                    <w:tl2br w:val="nil"/>
                    <w:tr2bl w:val="nil"/>
                  </w:tcBorders>
                  <w:vAlign w:val="center"/>
                </w:tcPr>
                <w:p w14:paraId="29E4FD74">
                  <w:pPr>
                    <w:jc w:val="center"/>
                    <w:rPr>
                      <w:bCs/>
                      <w:szCs w:val="21"/>
                    </w:rPr>
                  </w:pPr>
                  <w:r>
                    <w:rPr>
                      <w:rFonts w:hint="eastAsia"/>
                      <w:bCs/>
                      <w:szCs w:val="21"/>
                    </w:rPr>
                    <w:t>Aar</w:t>
                  </w:r>
                </w:p>
              </w:tc>
              <w:tc>
                <w:tcPr>
                  <w:tcW w:w="1074" w:type="pct"/>
                  <w:tcBorders>
                    <w:tl2br w:val="nil"/>
                    <w:tr2bl w:val="nil"/>
                  </w:tcBorders>
                  <w:vAlign w:val="center"/>
                </w:tcPr>
                <w:p w14:paraId="50DC0DD3">
                  <w:pPr>
                    <w:jc w:val="center"/>
                    <w:rPr>
                      <w:bCs/>
                      <w:szCs w:val="21"/>
                    </w:rPr>
                  </w:pPr>
                  <w:r>
                    <w:rPr>
                      <w:rFonts w:hint="eastAsia"/>
                      <w:bCs/>
                      <w:szCs w:val="21"/>
                    </w:rPr>
                    <w:t>4.54</w:t>
                  </w:r>
                </w:p>
              </w:tc>
              <w:tc>
                <w:tcPr>
                  <w:tcW w:w="1084" w:type="pct"/>
                  <w:tcBorders>
                    <w:tl2br w:val="nil"/>
                    <w:tr2bl w:val="nil"/>
                  </w:tcBorders>
                  <w:vAlign w:val="center"/>
                </w:tcPr>
                <w:p w14:paraId="250B4AD2">
                  <w:pPr>
                    <w:jc w:val="center"/>
                    <w:rPr>
                      <w:bCs/>
                      <w:szCs w:val="21"/>
                    </w:rPr>
                  </w:pPr>
                  <w:r>
                    <w:rPr>
                      <w:bCs/>
                      <w:szCs w:val="21"/>
                    </w:rPr>
                    <w:t>%</w:t>
                  </w:r>
                </w:p>
              </w:tc>
            </w:tr>
            <w:tr w14:paraId="5A3EA3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5" w:type="pct"/>
                  <w:tcBorders>
                    <w:tl2br w:val="nil"/>
                    <w:tr2bl w:val="nil"/>
                  </w:tcBorders>
                  <w:vAlign w:val="center"/>
                </w:tcPr>
                <w:p w14:paraId="5E528308">
                  <w:pPr>
                    <w:jc w:val="center"/>
                    <w:rPr>
                      <w:bCs/>
                      <w:szCs w:val="21"/>
                    </w:rPr>
                  </w:pPr>
                  <w:r>
                    <w:rPr>
                      <w:rFonts w:hint="eastAsia"/>
                      <w:bCs/>
                      <w:szCs w:val="21"/>
                    </w:rPr>
                    <w:t>6</w:t>
                  </w:r>
                </w:p>
              </w:tc>
              <w:tc>
                <w:tcPr>
                  <w:tcW w:w="1282" w:type="pct"/>
                  <w:tcBorders>
                    <w:tl2br w:val="nil"/>
                    <w:tr2bl w:val="nil"/>
                  </w:tcBorders>
                  <w:vAlign w:val="center"/>
                </w:tcPr>
                <w:p w14:paraId="1E79BFB2">
                  <w:pPr>
                    <w:jc w:val="center"/>
                    <w:rPr>
                      <w:bCs/>
                      <w:szCs w:val="21"/>
                    </w:rPr>
                  </w:pPr>
                  <w:r>
                    <w:rPr>
                      <w:rFonts w:hint="eastAsia"/>
                      <w:bCs/>
                      <w:szCs w:val="21"/>
                    </w:rPr>
                    <w:t>干燥基</w:t>
                  </w:r>
                  <w:r>
                    <w:rPr>
                      <w:bCs/>
                      <w:szCs w:val="21"/>
                    </w:rPr>
                    <w:t>挥发分</w:t>
                  </w:r>
                </w:p>
              </w:tc>
              <w:tc>
                <w:tcPr>
                  <w:tcW w:w="954" w:type="pct"/>
                  <w:tcBorders>
                    <w:tl2br w:val="nil"/>
                    <w:tr2bl w:val="nil"/>
                  </w:tcBorders>
                  <w:vAlign w:val="center"/>
                </w:tcPr>
                <w:p w14:paraId="3FBBD7D2">
                  <w:pPr>
                    <w:jc w:val="center"/>
                    <w:rPr>
                      <w:bCs/>
                      <w:szCs w:val="21"/>
                    </w:rPr>
                  </w:pPr>
                  <w:r>
                    <w:rPr>
                      <w:bCs/>
                      <w:szCs w:val="21"/>
                    </w:rPr>
                    <w:t>Vdaf</w:t>
                  </w:r>
                </w:p>
              </w:tc>
              <w:tc>
                <w:tcPr>
                  <w:tcW w:w="1074" w:type="pct"/>
                  <w:tcBorders>
                    <w:tl2br w:val="nil"/>
                    <w:tr2bl w:val="nil"/>
                  </w:tcBorders>
                  <w:vAlign w:val="center"/>
                </w:tcPr>
                <w:p w14:paraId="24536A0F">
                  <w:pPr>
                    <w:jc w:val="center"/>
                    <w:rPr>
                      <w:bCs/>
                      <w:szCs w:val="21"/>
                    </w:rPr>
                  </w:pPr>
                  <w:r>
                    <w:rPr>
                      <w:rFonts w:hint="eastAsia"/>
                      <w:bCs/>
                      <w:szCs w:val="21"/>
                    </w:rPr>
                    <w:t>33.83</w:t>
                  </w:r>
                </w:p>
              </w:tc>
              <w:tc>
                <w:tcPr>
                  <w:tcW w:w="1084" w:type="pct"/>
                  <w:tcBorders>
                    <w:tl2br w:val="nil"/>
                    <w:tr2bl w:val="nil"/>
                  </w:tcBorders>
                  <w:vAlign w:val="center"/>
                </w:tcPr>
                <w:p w14:paraId="2F1881F7">
                  <w:pPr>
                    <w:jc w:val="center"/>
                    <w:rPr>
                      <w:bCs/>
                      <w:szCs w:val="21"/>
                    </w:rPr>
                  </w:pPr>
                  <w:r>
                    <w:rPr>
                      <w:bCs/>
                      <w:szCs w:val="21"/>
                    </w:rPr>
                    <w:t>%</w:t>
                  </w:r>
                </w:p>
              </w:tc>
            </w:tr>
            <w:tr w14:paraId="332E70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5" w:type="pct"/>
                  <w:tcBorders>
                    <w:tl2br w:val="nil"/>
                    <w:tr2bl w:val="nil"/>
                  </w:tcBorders>
                  <w:vAlign w:val="center"/>
                </w:tcPr>
                <w:p w14:paraId="300A4CEF">
                  <w:pPr>
                    <w:jc w:val="center"/>
                    <w:rPr>
                      <w:bCs/>
                      <w:szCs w:val="21"/>
                    </w:rPr>
                  </w:pPr>
                  <w:r>
                    <w:rPr>
                      <w:bCs/>
                      <w:szCs w:val="21"/>
                    </w:rPr>
                    <w:t>7</w:t>
                  </w:r>
                </w:p>
              </w:tc>
              <w:tc>
                <w:tcPr>
                  <w:tcW w:w="1282" w:type="pct"/>
                  <w:tcBorders>
                    <w:tl2br w:val="nil"/>
                    <w:tr2bl w:val="nil"/>
                  </w:tcBorders>
                  <w:vAlign w:val="center"/>
                </w:tcPr>
                <w:p w14:paraId="16362F83">
                  <w:pPr>
                    <w:jc w:val="center"/>
                    <w:rPr>
                      <w:bCs/>
                      <w:szCs w:val="21"/>
                    </w:rPr>
                  </w:pPr>
                  <w:r>
                    <w:rPr>
                      <w:bCs/>
                      <w:szCs w:val="21"/>
                    </w:rPr>
                    <w:t>全水分</w:t>
                  </w:r>
                </w:p>
              </w:tc>
              <w:tc>
                <w:tcPr>
                  <w:tcW w:w="954" w:type="pct"/>
                  <w:tcBorders>
                    <w:tl2br w:val="nil"/>
                    <w:tr2bl w:val="nil"/>
                  </w:tcBorders>
                  <w:vAlign w:val="center"/>
                </w:tcPr>
                <w:p w14:paraId="37C98164">
                  <w:pPr>
                    <w:jc w:val="center"/>
                    <w:rPr>
                      <w:bCs/>
                      <w:szCs w:val="21"/>
                    </w:rPr>
                  </w:pPr>
                  <w:r>
                    <w:rPr>
                      <w:bCs/>
                      <w:szCs w:val="21"/>
                    </w:rPr>
                    <w:t>Mt</w:t>
                  </w:r>
                </w:p>
              </w:tc>
              <w:tc>
                <w:tcPr>
                  <w:tcW w:w="1074" w:type="pct"/>
                  <w:tcBorders>
                    <w:tl2br w:val="nil"/>
                    <w:tr2bl w:val="nil"/>
                  </w:tcBorders>
                  <w:vAlign w:val="center"/>
                </w:tcPr>
                <w:p w14:paraId="4875BA23">
                  <w:pPr>
                    <w:jc w:val="center"/>
                    <w:rPr>
                      <w:bCs/>
                      <w:szCs w:val="21"/>
                    </w:rPr>
                  </w:pPr>
                  <w:r>
                    <w:rPr>
                      <w:rFonts w:hint="eastAsia"/>
                      <w:bCs/>
                      <w:szCs w:val="21"/>
                    </w:rPr>
                    <w:t>18.3</w:t>
                  </w:r>
                </w:p>
              </w:tc>
              <w:tc>
                <w:tcPr>
                  <w:tcW w:w="1084" w:type="pct"/>
                  <w:tcBorders>
                    <w:tl2br w:val="nil"/>
                    <w:tr2bl w:val="nil"/>
                  </w:tcBorders>
                  <w:vAlign w:val="center"/>
                </w:tcPr>
                <w:p w14:paraId="67729E43">
                  <w:pPr>
                    <w:jc w:val="center"/>
                    <w:rPr>
                      <w:bCs/>
                      <w:szCs w:val="21"/>
                    </w:rPr>
                  </w:pPr>
                  <w:r>
                    <w:rPr>
                      <w:bCs/>
                      <w:szCs w:val="21"/>
                    </w:rPr>
                    <w:t>%</w:t>
                  </w:r>
                </w:p>
              </w:tc>
            </w:tr>
            <w:tr w14:paraId="27EF35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5" w:type="pct"/>
                  <w:tcBorders>
                    <w:tl2br w:val="nil"/>
                    <w:tr2bl w:val="nil"/>
                  </w:tcBorders>
                  <w:vAlign w:val="center"/>
                </w:tcPr>
                <w:p w14:paraId="179D764D">
                  <w:pPr>
                    <w:jc w:val="center"/>
                    <w:rPr>
                      <w:bCs/>
                      <w:szCs w:val="21"/>
                    </w:rPr>
                  </w:pPr>
                  <w:r>
                    <w:rPr>
                      <w:rFonts w:hint="eastAsia"/>
                      <w:bCs/>
                      <w:szCs w:val="21"/>
                    </w:rPr>
                    <w:t>8</w:t>
                  </w:r>
                </w:p>
              </w:tc>
              <w:tc>
                <w:tcPr>
                  <w:tcW w:w="1282" w:type="pct"/>
                  <w:tcBorders>
                    <w:tl2br w:val="nil"/>
                    <w:tr2bl w:val="nil"/>
                  </w:tcBorders>
                  <w:vAlign w:val="center"/>
                </w:tcPr>
                <w:p w14:paraId="0ED01F20">
                  <w:pPr>
                    <w:jc w:val="center"/>
                    <w:rPr>
                      <w:bCs/>
                      <w:szCs w:val="21"/>
                    </w:rPr>
                  </w:pPr>
                  <w:r>
                    <w:rPr>
                      <w:bCs/>
                      <w:szCs w:val="21"/>
                    </w:rPr>
                    <w:t>收到基低位发热量</w:t>
                  </w:r>
                </w:p>
              </w:tc>
              <w:tc>
                <w:tcPr>
                  <w:tcW w:w="954" w:type="pct"/>
                  <w:tcBorders>
                    <w:tl2br w:val="nil"/>
                    <w:tr2bl w:val="nil"/>
                  </w:tcBorders>
                  <w:vAlign w:val="center"/>
                </w:tcPr>
                <w:p w14:paraId="6146B61C">
                  <w:pPr>
                    <w:jc w:val="center"/>
                    <w:rPr>
                      <w:bCs/>
                      <w:szCs w:val="21"/>
                    </w:rPr>
                  </w:pPr>
                  <w:r>
                    <w:rPr>
                      <w:bCs/>
                      <w:szCs w:val="21"/>
                    </w:rPr>
                    <w:t>Qnet,ar</w:t>
                  </w:r>
                </w:p>
              </w:tc>
              <w:tc>
                <w:tcPr>
                  <w:tcW w:w="1074" w:type="pct"/>
                  <w:tcBorders>
                    <w:tl2br w:val="nil"/>
                    <w:tr2bl w:val="nil"/>
                  </w:tcBorders>
                  <w:vAlign w:val="center"/>
                </w:tcPr>
                <w:p w14:paraId="70C545CE">
                  <w:pPr>
                    <w:jc w:val="center"/>
                    <w:rPr>
                      <w:bCs/>
                      <w:szCs w:val="21"/>
                    </w:rPr>
                  </w:pPr>
                  <w:r>
                    <w:rPr>
                      <w:rFonts w:hint="eastAsia"/>
                      <w:bCs/>
                      <w:szCs w:val="21"/>
                    </w:rPr>
                    <w:t>5688</w:t>
                  </w:r>
                </w:p>
              </w:tc>
              <w:tc>
                <w:tcPr>
                  <w:tcW w:w="1084" w:type="pct"/>
                  <w:tcBorders>
                    <w:tl2br w:val="nil"/>
                    <w:tr2bl w:val="nil"/>
                  </w:tcBorders>
                  <w:vAlign w:val="center"/>
                </w:tcPr>
                <w:p w14:paraId="5B13F6C8">
                  <w:pPr>
                    <w:jc w:val="center"/>
                    <w:rPr>
                      <w:bCs/>
                      <w:szCs w:val="21"/>
                    </w:rPr>
                  </w:pPr>
                  <w:r>
                    <w:rPr>
                      <w:rFonts w:hint="eastAsia"/>
                      <w:bCs/>
                      <w:szCs w:val="21"/>
                    </w:rPr>
                    <w:t>kcal</w:t>
                  </w:r>
                  <w:r>
                    <w:rPr>
                      <w:bCs/>
                      <w:szCs w:val="21"/>
                    </w:rPr>
                    <w:t>/kg</w:t>
                  </w:r>
                </w:p>
              </w:tc>
            </w:tr>
            <w:tr w14:paraId="1B3B0D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5" w:type="pct"/>
                  <w:tcBorders>
                    <w:tl2br w:val="nil"/>
                    <w:tr2bl w:val="nil"/>
                  </w:tcBorders>
                  <w:vAlign w:val="center"/>
                </w:tcPr>
                <w:p w14:paraId="1B37517E">
                  <w:pPr>
                    <w:jc w:val="center"/>
                    <w:rPr>
                      <w:bCs/>
                      <w:szCs w:val="21"/>
                    </w:rPr>
                  </w:pPr>
                  <w:r>
                    <w:rPr>
                      <w:rFonts w:hint="eastAsia"/>
                      <w:bCs/>
                      <w:szCs w:val="21"/>
                    </w:rPr>
                    <w:t>9</w:t>
                  </w:r>
                </w:p>
              </w:tc>
              <w:tc>
                <w:tcPr>
                  <w:tcW w:w="1282" w:type="pct"/>
                  <w:tcBorders>
                    <w:tl2br w:val="nil"/>
                    <w:tr2bl w:val="nil"/>
                  </w:tcBorders>
                  <w:vAlign w:val="center"/>
                </w:tcPr>
                <w:p w14:paraId="343E022D">
                  <w:pPr>
                    <w:jc w:val="center"/>
                    <w:rPr>
                      <w:bCs/>
                      <w:szCs w:val="21"/>
                    </w:rPr>
                  </w:pPr>
                  <w:r>
                    <w:rPr>
                      <w:rFonts w:hint="eastAsia"/>
                      <w:bCs/>
                      <w:szCs w:val="21"/>
                    </w:rPr>
                    <w:t>空气干燥基高位发热量</w:t>
                  </w:r>
                </w:p>
              </w:tc>
              <w:tc>
                <w:tcPr>
                  <w:tcW w:w="954" w:type="pct"/>
                  <w:tcBorders>
                    <w:tl2br w:val="nil"/>
                    <w:tr2bl w:val="nil"/>
                  </w:tcBorders>
                  <w:vAlign w:val="center"/>
                </w:tcPr>
                <w:p w14:paraId="49E6430D">
                  <w:pPr>
                    <w:jc w:val="center"/>
                    <w:rPr>
                      <w:bCs/>
                      <w:szCs w:val="21"/>
                    </w:rPr>
                  </w:pPr>
                  <w:r>
                    <w:rPr>
                      <w:bCs/>
                      <w:szCs w:val="21"/>
                    </w:rPr>
                    <w:t>Q</w:t>
                  </w:r>
                  <w:r>
                    <w:rPr>
                      <w:rFonts w:hint="eastAsia"/>
                      <w:bCs/>
                      <w:szCs w:val="21"/>
                    </w:rPr>
                    <w:t>gr</w:t>
                  </w:r>
                  <w:r>
                    <w:rPr>
                      <w:bCs/>
                      <w:szCs w:val="21"/>
                    </w:rPr>
                    <w:t>,a</w:t>
                  </w:r>
                  <w:r>
                    <w:rPr>
                      <w:rFonts w:hint="eastAsia"/>
                      <w:bCs/>
                      <w:szCs w:val="21"/>
                    </w:rPr>
                    <w:t>d</w:t>
                  </w:r>
                </w:p>
              </w:tc>
              <w:tc>
                <w:tcPr>
                  <w:tcW w:w="1074" w:type="pct"/>
                  <w:tcBorders>
                    <w:tl2br w:val="nil"/>
                    <w:tr2bl w:val="nil"/>
                  </w:tcBorders>
                  <w:vAlign w:val="center"/>
                </w:tcPr>
                <w:p w14:paraId="21A7273C">
                  <w:pPr>
                    <w:jc w:val="center"/>
                    <w:rPr>
                      <w:bCs/>
                      <w:szCs w:val="21"/>
                    </w:rPr>
                  </w:pPr>
                  <w:r>
                    <w:rPr>
                      <w:rFonts w:hint="eastAsia"/>
                      <w:bCs/>
                      <w:szCs w:val="21"/>
                    </w:rPr>
                    <w:t>6917</w:t>
                  </w:r>
                </w:p>
              </w:tc>
              <w:tc>
                <w:tcPr>
                  <w:tcW w:w="1084" w:type="pct"/>
                  <w:tcBorders>
                    <w:tl2br w:val="nil"/>
                    <w:tr2bl w:val="nil"/>
                  </w:tcBorders>
                  <w:vAlign w:val="center"/>
                </w:tcPr>
                <w:p w14:paraId="2498F6A6">
                  <w:pPr>
                    <w:jc w:val="center"/>
                    <w:rPr>
                      <w:bCs/>
                      <w:szCs w:val="21"/>
                    </w:rPr>
                  </w:pPr>
                  <w:r>
                    <w:rPr>
                      <w:bCs/>
                      <w:szCs w:val="21"/>
                    </w:rPr>
                    <w:t>kcal/kg</w:t>
                  </w:r>
                </w:p>
              </w:tc>
            </w:tr>
            <w:tr w14:paraId="7EF2B2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05" w:type="pct"/>
                  <w:tcBorders>
                    <w:tl2br w:val="nil"/>
                    <w:tr2bl w:val="nil"/>
                  </w:tcBorders>
                  <w:vAlign w:val="center"/>
                </w:tcPr>
                <w:p w14:paraId="5F16FBE5">
                  <w:pPr>
                    <w:jc w:val="center"/>
                    <w:rPr>
                      <w:bCs/>
                      <w:szCs w:val="21"/>
                    </w:rPr>
                  </w:pPr>
                  <w:r>
                    <w:rPr>
                      <w:rFonts w:hint="eastAsia"/>
                      <w:bCs/>
                      <w:szCs w:val="21"/>
                    </w:rPr>
                    <w:t>10</w:t>
                  </w:r>
                </w:p>
              </w:tc>
              <w:tc>
                <w:tcPr>
                  <w:tcW w:w="1282" w:type="pct"/>
                  <w:tcBorders>
                    <w:tl2br w:val="nil"/>
                    <w:tr2bl w:val="nil"/>
                  </w:tcBorders>
                  <w:vAlign w:val="center"/>
                </w:tcPr>
                <w:p w14:paraId="0FCA5B9B">
                  <w:pPr>
                    <w:jc w:val="center"/>
                    <w:rPr>
                      <w:bCs/>
                      <w:szCs w:val="21"/>
                    </w:rPr>
                  </w:pPr>
                  <w:r>
                    <w:rPr>
                      <w:rFonts w:hint="eastAsia"/>
                      <w:bCs/>
                      <w:szCs w:val="21"/>
                    </w:rPr>
                    <w:t>焦渣特性</w:t>
                  </w:r>
                </w:p>
              </w:tc>
              <w:tc>
                <w:tcPr>
                  <w:tcW w:w="954" w:type="pct"/>
                  <w:tcBorders>
                    <w:tl2br w:val="nil"/>
                    <w:tr2bl w:val="nil"/>
                  </w:tcBorders>
                  <w:vAlign w:val="center"/>
                </w:tcPr>
                <w:p w14:paraId="612913DC">
                  <w:pPr>
                    <w:jc w:val="center"/>
                    <w:rPr>
                      <w:bCs/>
                      <w:szCs w:val="21"/>
                    </w:rPr>
                  </w:pPr>
                  <w:r>
                    <w:rPr>
                      <w:rFonts w:hint="eastAsia"/>
                      <w:bCs/>
                      <w:szCs w:val="21"/>
                    </w:rPr>
                    <w:t>CRC</w:t>
                  </w:r>
                </w:p>
              </w:tc>
              <w:tc>
                <w:tcPr>
                  <w:tcW w:w="1074" w:type="pct"/>
                  <w:tcBorders>
                    <w:tl2br w:val="nil"/>
                    <w:tr2bl w:val="nil"/>
                  </w:tcBorders>
                  <w:vAlign w:val="center"/>
                </w:tcPr>
                <w:p w14:paraId="7FEBD4DB">
                  <w:pPr>
                    <w:jc w:val="center"/>
                    <w:rPr>
                      <w:bCs/>
                      <w:szCs w:val="21"/>
                    </w:rPr>
                  </w:pPr>
                  <w:r>
                    <w:rPr>
                      <w:rFonts w:hint="eastAsia"/>
                      <w:bCs/>
                      <w:szCs w:val="21"/>
                    </w:rPr>
                    <w:t>2</w:t>
                  </w:r>
                </w:p>
              </w:tc>
              <w:tc>
                <w:tcPr>
                  <w:tcW w:w="1084" w:type="pct"/>
                  <w:tcBorders>
                    <w:tl2br w:val="nil"/>
                    <w:tr2bl w:val="nil"/>
                  </w:tcBorders>
                  <w:vAlign w:val="center"/>
                </w:tcPr>
                <w:p w14:paraId="1551D204">
                  <w:pPr>
                    <w:jc w:val="center"/>
                    <w:rPr>
                      <w:bCs/>
                      <w:szCs w:val="21"/>
                    </w:rPr>
                  </w:pPr>
                </w:p>
              </w:tc>
            </w:tr>
          </w:tbl>
          <w:p w14:paraId="2C2FB01F">
            <w:pPr>
              <w:adjustRightInd w:val="0"/>
              <w:snapToGrid w:val="0"/>
              <w:spacing w:line="360" w:lineRule="auto"/>
              <w:ind w:firstLine="480" w:firstLineChars="200"/>
              <w:rPr>
                <w:bCs/>
                <w:sz w:val="24"/>
              </w:rPr>
            </w:pPr>
            <w:r>
              <w:rPr>
                <w:rFonts w:hint="eastAsia"/>
                <w:bCs/>
                <w:sz w:val="24"/>
              </w:rPr>
              <w:t>氧化镁：</w:t>
            </w:r>
          </w:p>
          <w:p w14:paraId="640B85A1">
            <w:pPr>
              <w:adjustRightInd w:val="0"/>
              <w:snapToGrid w:val="0"/>
              <w:spacing w:line="360" w:lineRule="auto"/>
              <w:ind w:firstLine="480" w:firstLineChars="200"/>
              <w:rPr>
                <w:bCs/>
                <w:sz w:val="24"/>
              </w:rPr>
            </w:pPr>
            <w:r>
              <w:rPr>
                <w:bCs/>
                <w:sz w:val="24"/>
              </w:rPr>
              <w:t>氧化镁俗称苦土，也称镁氧，氧化镁是碱性氧化物</w:t>
            </w:r>
            <w:r>
              <w:rPr>
                <w:rFonts w:hint="eastAsia"/>
                <w:bCs/>
                <w:sz w:val="24"/>
              </w:rPr>
              <w:t>，</w:t>
            </w:r>
            <w:r>
              <w:rPr>
                <w:bCs/>
                <w:sz w:val="24"/>
              </w:rPr>
              <w:t>具有碱性氧化物的通性，属于胶凝材料。白色粉末（淡黄色为氮化镁），无臭、无味、无毒，是典型的碱土金属氧化物，化学式MgO。熔点为2852℃，沸点为3600℃，相对密度为3.58(25℃)。溶于酸和铵盐溶液，不溶于酒精。在水中溶解度为0.00062 g/100 mL (0 °C)。暴露在空气中，容易吸收水分和二氧化碳而逐渐成为碱式碳酸镁，轻质品较重质品更快，与水结合在一定条件下生成氢氧化镁，呈微碱性反应，饱和水溶液的pH为10.3。</w:t>
            </w:r>
          </w:p>
          <w:p w14:paraId="114B3C33">
            <w:pPr>
              <w:adjustRightInd w:val="0"/>
              <w:snapToGrid w:val="0"/>
              <w:spacing w:line="360" w:lineRule="auto"/>
              <w:ind w:firstLine="480" w:firstLineChars="200"/>
              <w:rPr>
                <w:bCs/>
                <w:sz w:val="24"/>
              </w:rPr>
            </w:pPr>
            <w:r>
              <w:rPr>
                <w:rFonts w:hint="eastAsia"/>
                <w:bCs/>
                <w:sz w:val="24"/>
              </w:rPr>
              <w:t>尿素：</w:t>
            </w:r>
          </w:p>
          <w:p w14:paraId="7D443B84">
            <w:pPr>
              <w:adjustRightInd w:val="0"/>
              <w:snapToGrid w:val="0"/>
              <w:spacing w:line="360" w:lineRule="auto"/>
              <w:ind w:firstLine="480" w:firstLineChars="200"/>
              <w:rPr>
                <w:bCs/>
                <w:sz w:val="24"/>
              </w:rPr>
            </w:pPr>
            <w:r>
              <w:rPr>
                <w:rFonts w:hint="eastAsia"/>
                <w:bCs/>
                <w:sz w:val="24"/>
              </w:rPr>
              <w:t>白色晶体或粉末，无臭，味微苦。</w:t>
            </w:r>
            <w:r>
              <w:rPr>
                <w:bCs/>
                <w:sz w:val="24"/>
              </w:rPr>
              <w:t>熔点：约 ‌132.7℃</w:t>
            </w:r>
            <w:r>
              <w:rPr>
                <w:rFonts w:hint="eastAsia"/>
                <w:bCs/>
                <w:sz w:val="24"/>
              </w:rPr>
              <w:t>，加热至</w:t>
            </w:r>
            <w:r>
              <w:rPr>
                <w:bCs/>
                <w:sz w:val="24"/>
              </w:rPr>
              <w:t xml:space="preserve"> ‌150</w:t>
            </w:r>
            <w:r>
              <w:rPr>
                <w:rFonts w:hint="eastAsia"/>
                <w:bCs/>
                <w:sz w:val="24"/>
              </w:rPr>
              <w:t>℃以上</w:t>
            </w:r>
            <w:r>
              <w:rPr>
                <w:bCs/>
                <w:sz w:val="24"/>
              </w:rPr>
              <w:t xml:space="preserve">‌ </w:t>
            </w:r>
            <w:r>
              <w:rPr>
                <w:rFonts w:hint="eastAsia"/>
                <w:bCs/>
                <w:sz w:val="24"/>
              </w:rPr>
              <w:t>分解，生成缩二脲、氨气和二氧化碳。易溶于水（</w:t>
            </w:r>
            <w:r>
              <w:rPr>
                <w:bCs/>
                <w:sz w:val="24"/>
              </w:rPr>
              <w:t>25</w:t>
            </w:r>
            <w:r>
              <w:rPr>
                <w:rFonts w:hint="eastAsia"/>
                <w:bCs/>
                <w:sz w:val="24"/>
              </w:rPr>
              <w:t>℃时</w:t>
            </w:r>
            <w:r>
              <w:rPr>
                <w:bCs/>
                <w:sz w:val="24"/>
              </w:rPr>
              <w:t xml:space="preserve"> ‌108 g/100 mL‌</w:t>
            </w:r>
            <w:r>
              <w:rPr>
                <w:rFonts w:hint="eastAsia"/>
                <w:bCs/>
                <w:sz w:val="24"/>
              </w:rPr>
              <w:t>），水溶液呈中性，密度</w:t>
            </w:r>
            <w:r>
              <w:rPr>
                <w:bCs/>
                <w:sz w:val="24"/>
              </w:rPr>
              <w:t>‌</w:t>
            </w:r>
            <w:r>
              <w:rPr>
                <w:rFonts w:hint="eastAsia"/>
                <w:bCs/>
                <w:sz w:val="24"/>
              </w:rPr>
              <w:t>约</w:t>
            </w:r>
            <w:r>
              <w:rPr>
                <w:bCs/>
                <w:sz w:val="24"/>
              </w:rPr>
              <w:t xml:space="preserve"> ‌1.32 g/cm</w:t>
            </w:r>
            <w:r>
              <w:rPr>
                <w:rFonts w:hint="eastAsia"/>
                <w:bCs/>
                <w:sz w:val="24"/>
                <w:vertAlign w:val="superscript"/>
              </w:rPr>
              <w:t>3</w:t>
            </w:r>
            <w:r>
              <w:rPr>
                <w:rFonts w:hint="eastAsia"/>
                <w:bCs/>
                <w:sz w:val="24"/>
              </w:rPr>
              <w:t>。</w:t>
            </w:r>
            <w:r>
              <w:rPr>
                <w:rFonts w:hint="cs"/>
                <w:bCs/>
                <w:sz w:val="24"/>
              </w:rPr>
              <w:t>‌</w:t>
            </w:r>
            <w:r>
              <w:rPr>
                <w:rFonts w:hint="eastAsia"/>
                <w:bCs/>
                <w:sz w:val="24"/>
              </w:rPr>
              <w:t>酸性条件</w:t>
            </w:r>
            <w:r>
              <w:rPr>
                <w:bCs/>
                <w:sz w:val="24"/>
              </w:rPr>
              <w:t>‌</w:t>
            </w:r>
            <w:r>
              <w:rPr>
                <w:rFonts w:hint="eastAsia"/>
                <w:bCs/>
                <w:sz w:val="24"/>
              </w:rPr>
              <w:t>下水解生成</w:t>
            </w:r>
            <w:r>
              <w:rPr>
                <w:bCs/>
                <w:sz w:val="24"/>
              </w:rPr>
              <w:t xml:space="preserve"> ‌CO₂‌ </w:t>
            </w:r>
            <w:r>
              <w:rPr>
                <w:rFonts w:hint="eastAsia"/>
                <w:bCs/>
                <w:sz w:val="24"/>
              </w:rPr>
              <w:t>和</w:t>
            </w:r>
            <w:r>
              <w:rPr>
                <w:bCs/>
                <w:sz w:val="24"/>
              </w:rPr>
              <w:t xml:space="preserve"> ‌NH₄⁺‌</w:t>
            </w:r>
            <w:r>
              <w:rPr>
                <w:rFonts w:hint="eastAsia"/>
                <w:bCs/>
                <w:sz w:val="24"/>
              </w:rPr>
              <w:t>，碱性条件下（或尿素酶催化）水解生成</w:t>
            </w:r>
            <w:r>
              <w:rPr>
                <w:bCs/>
                <w:sz w:val="24"/>
              </w:rPr>
              <w:t xml:space="preserve"> ‌NH₃‌ </w:t>
            </w:r>
            <w:r>
              <w:rPr>
                <w:rFonts w:hint="eastAsia"/>
                <w:bCs/>
                <w:sz w:val="24"/>
              </w:rPr>
              <w:t>和</w:t>
            </w:r>
            <w:r>
              <w:rPr>
                <w:bCs/>
                <w:sz w:val="24"/>
              </w:rPr>
              <w:t xml:space="preserve"> ‌CO₃²⁻‌</w:t>
            </w:r>
            <w:r>
              <w:rPr>
                <w:rFonts w:hint="eastAsia"/>
                <w:bCs/>
                <w:sz w:val="24"/>
              </w:rPr>
              <w:t>。</w:t>
            </w:r>
          </w:p>
          <w:p w14:paraId="307D0BB6">
            <w:pPr>
              <w:pStyle w:val="45"/>
              <w:spacing w:before="120" w:beforeLines="50"/>
              <w:ind w:firstLine="482"/>
              <w:rPr>
                <w:b/>
                <w:bCs/>
                <w:sz w:val="24"/>
              </w:rPr>
            </w:pPr>
            <w:r>
              <w:rPr>
                <w:b/>
                <w:bCs/>
                <w:sz w:val="24"/>
              </w:rPr>
              <w:t>5、主要设备组成</w:t>
            </w:r>
          </w:p>
          <w:p w14:paraId="4837003C">
            <w:pPr>
              <w:pStyle w:val="45"/>
              <w:spacing w:before="120" w:beforeLines="50"/>
              <w:ind w:firstLine="480"/>
              <w:rPr>
                <w:sz w:val="24"/>
              </w:rPr>
            </w:pPr>
            <w:r>
              <w:rPr>
                <w:rFonts w:hint="eastAsia"/>
                <w:bCs/>
                <w:sz w:val="24"/>
              </w:rPr>
              <w:t>本</w:t>
            </w:r>
            <w:r>
              <w:rPr>
                <w:bCs/>
                <w:sz w:val="24"/>
              </w:rPr>
              <w:t>项目</w:t>
            </w:r>
            <w:r>
              <w:rPr>
                <w:rFonts w:hint="eastAsia"/>
                <w:bCs/>
                <w:sz w:val="24"/>
              </w:rPr>
              <w:t>主要</w:t>
            </w:r>
            <w:r>
              <w:rPr>
                <w:bCs/>
                <w:sz w:val="24"/>
              </w:rPr>
              <w:t>设备配置情况如下表所示。</w:t>
            </w:r>
          </w:p>
          <w:p w14:paraId="0110E3B4">
            <w:pPr>
              <w:adjustRightInd w:val="0"/>
              <w:snapToGrid w:val="0"/>
              <w:jc w:val="center"/>
              <w:rPr>
                <w:b/>
                <w:szCs w:val="21"/>
              </w:rPr>
            </w:pPr>
            <w:r>
              <w:rPr>
                <w:rFonts w:hint="eastAsia"/>
                <w:b/>
                <w:szCs w:val="21"/>
              </w:rPr>
              <w:t>表</w:t>
            </w:r>
            <w:r>
              <w:rPr>
                <w:b/>
                <w:szCs w:val="21"/>
              </w:rPr>
              <w:t xml:space="preserve">2-5  </w:t>
            </w:r>
            <w:r>
              <w:rPr>
                <w:rFonts w:hint="eastAsia"/>
                <w:b/>
                <w:szCs w:val="21"/>
              </w:rPr>
              <w:t>项目主要设备一览表</w:t>
            </w:r>
          </w:p>
          <w:tbl>
            <w:tblPr>
              <w:tblStyle w:val="31"/>
              <w:tblW w:w="5000" w:type="pct"/>
              <w:tblInd w:w="0" w:type="dxa"/>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Layout w:type="autofit"/>
              <w:tblCellMar>
                <w:top w:w="0" w:type="dxa"/>
                <w:left w:w="0" w:type="dxa"/>
                <w:bottom w:w="0" w:type="dxa"/>
                <w:right w:w="0" w:type="dxa"/>
              </w:tblCellMar>
            </w:tblPr>
            <w:tblGrid>
              <w:gridCol w:w="601"/>
              <w:gridCol w:w="2219"/>
              <w:gridCol w:w="560"/>
              <w:gridCol w:w="559"/>
              <w:gridCol w:w="2380"/>
              <w:gridCol w:w="1618"/>
            </w:tblGrid>
            <w:tr w14:paraId="1D875982">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0" w:hRule="atLeast"/>
              </w:trPr>
              <w:tc>
                <w:tcPr>
                  <w:tcW w:w="379" w:type="pct"/>
                  <w:tcMar>
                    <w:top w:w="15" w:type="dxa"/>
                    <w:left w:w="15" w:type="dxa"/>
                    <w:bottom w:w="0" w:type="dxa"/>
                    <w:right w:w="15" w:type="dxa"/>
                  </w:tcMar>
                  <w:vAlign w:val="center"/>
                </w:tcPr>
                <w:p w14:paraId="7FFC2510">
                  <w:pPr>
                    <w:pStyle w:val="45"/>
                    <w:spacing w:line="240" w:lineRule="auto"/>
                    <w:ind w:firstLine="0" w:firstLineChars="0"/>
                    <w:jc w:val="center"/>
                    <w:rPr>
                      <w:szCs w:val="21"/>
                    </w:rPr>
                  </w:pPr>
                  <w:r>
                    <w:rPr>
                      <w:rFonts w:hint="eastAsia"/>
                      <w:szCs w:val="21"/>
                    </w:rPr>
                    <w:t>序号</w:t>
                  </w:r>
                </w:p>
              </w:tc>
              <w:tc>
                <w:tcPr>
                  <w:tcW w:w="1398" w:type="pct"/>
                  <w:tcMar>
                    <w:top w:w="15" w:type="dxa"/>
                    <w:left w:w="15" w:type="dxa"/>
                    <w:bottom w:w="0" w:type="dxa"/>
                    <w:right w:w="15" w:type="dxa"/>
                  </w:tcMar>
                  <w:vAlign w:val="center"/>
                </w:tcPr>
                <w:p w14:paraId="0726CB42">
                  <w:pPr>
                    <w:pStyle w:val="45"/>
                    <w:spacing w:line="240" w:lineRule="auto"/>
                    <w:ind w:firstLine="0" w:firstLineChars="0"/>
                    <w:jc w:val="center"/>
                    <w:rPr>
                      <w:szCs w:val="21"/>
                    </w:rPr>
                  </w:pPr>
                  <w:r>
                    <w:rPr>
                      <w:rFonts w:hint="eastAsia"/>
                      <w:szCs w:val="21"/>
                    </w:rPr>
                    <w:t>设备名称</w:t>
                  </w:r>
                </w:p>
              </w:tc>
              <w:tc>
                <w:tcPr>
                  <w:tcW w:w="353" w:type="pct"/>
                  <w:tcMar>
                    <w:top w:w="15" w:type="dxa"/>
                    <w:left w:w="15" w:type="dxa"/>
                    <w:bottom w:w="0" w:type="dxa"/>
                    <w:right w:w="15" w:type="dxa"/>
                  </w:tcMar>
                  <w:vAlign w:val="center"/>
                </w:tcPr>
                <w:p w14:paraId="765045F7">
                  <w:pPr>
                    <w:pStyle w:val="45"/>
                    <w:spacing w:line="240" w:lineRule="auto"/>
                    <w:ind w:firstLine="0" w:firstLineChars="0"/>
                    <w:jc w:val="center"/>
                    <w:rPr>
                      <w:szCs w:val="21"/>
                    </w:rPr>
                  </w:pPr>
                  <w:r>
                    <w:rPr>
                      <w:rFonts w:hint="eastAsia"/>
                      <w:szCs w:val="21"/>
                    </w:rPr>
                    <w:t>单位</w:t>
                  </w:r>
                </w:p>
              </w:tc>
              <w:tc>
                <w:tcPr>
                  <w:tcW w:w="352" w:type="pct"/>
                  <w:tcMar>
                    <w:top w:w="15" w:type="dxa"/>
                    <w:left w:w="15" w:type="dxa"/>
                    <w:bottom w:w="0" w:type="dxa"/>
                    <w:right w:w="15" w:type="dxa"/>
                  </w:tcMar>
                  <w:vAlign w:val="center"/>
                </w:tcPr>
                <w:p w14:paraId="00990E45">
                  <w:pPr>
                    <w:pStyle w:val="45"/>
                    <w:spacing w:line="240" w:lineRule="auto"/>
                    <w:ind w:firstLine="0" w:firstLineChars="0"/>
                    <w:jc w:val="center"/>
                    <w:rPr>
                      <w:szCs w:val="21"/>
                    </w:rPr>
                  </w:pPr>
                  <w:r>
                    <w:rPr>
                      <w:rFonts w:hint="eastAsia"/>
                      <w:szCs w:val="21"/>
                    </w:rPr>
                    <w:t>数量</w:t>
                  </w:r>
                </w:p>
              </w:tc>
              <w:tc>
                <w:tcPr>
                  <w:tcW w:w="1499" w:type="pct"/>
                  <w:tcMar>
                    <w:top w:w="15" w:type="dxa"/>
                    <w:left w:w="15" w:type="dxa"/>
                    <w:bottom w:w="0" w:type="dxa"/>
                    <w:right w:w="15" w:type="dxa"/>
                  </w:tcMar>
                  <w:vAlign w:val="center"/>
                </w:tcPr>
                <w:p w14:paraId="0AC51229">
                  <w:pPr>
                    <w:pStyle w:val="45"/>
                    <w:spacing w:line="240" w:lineRule="auto"/>
                    <w:ind w:firstLine="0" w:firstLineChars="0"/>
                    <w:jc w:val="center"/>
                    <w:rPr>
                      <w:szCs w:val="21"/>
                    </w:rPr>
                  </w:pPr>
                  <w:r>
                    <w:rPr>
                      <w:rFonts w:hint="eastAsia"/>
                      <w:szCs w:val="21"/>
                    </w:rPr>
                    <w:t>型号规格</w:t>
                  </w:r>
                </w:p>
              </w:tc>
              <w:tc>
                <w:tcPr>
                  <w:tcW w:w="1019" w:type="pct"/>
                  <w:vAlign w:val="center"/>
                </w:tcPr>
                <w:p w14:paraId="45565F00">
                  <w:pPr>
                    <w:pStyle w:val="45"/>
                    <w:spacing w:line="240" w:lineRule="auto"/>
                    <w:ind w:firstLine="0" w:firstLineChars="0"/>
                    <w:jc w:val="center"/>
                    <w:rPr>
                      <w:szCs w:val="21"/>
                    </w:rPr>
                  </w:pPr>
                  <w:r>
                    <w:rPr>
                      <w:rFonts w:hint="eastAsia"/>
                      <w:szCs w:val="21"/>
                    </w:rPr>
                    <w:t>备注</w:t>
                  </w:r>
                </w:p>
              </w:tc>
            </w:tr>
            <w:tr w14:paraId="5E25AC48">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6C818B91">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40D4347C">
                  <w:pPr>
                    <w:pStyle w:val="45"/>
                    <w:spacing w:line="240" w:lineRule="auto"/>
                    <w:ind w:firstLine="0" w:firstLineChars="0"/>
                    <w:jc w:val="center"/>
                    <w:rPr>
                      <w:szCs w:val="21"/>
                    </w:rPr>
                  </w:pPr>
                  <w:r>
                    <w:rPr>
                      <w:rFonts w:hint="eastAsia"/>
                    </w:rPr>
                    <w:t>燃煤蒸汽锅炉</w:t>
                  </w:r>
                </w:p>
              </w:tc>
              <w:tc>
                <w:tcPr>
                  <w:tcW w:w="353" w:type="pct"/>
                  <w:tcMar>
                    <w:top w:w="15" w:type="dxa"/>
                    <w:left w:w="15" w:type="dxa"/>
                    <w:bottom w:w="0" w:type="dxa"/>
                    <w:right w:w="15" w:type="dxa"/>
                  </w:tcMar>
                  <w:vAlign w:val="center"/>
                </w:tcPr>
                <w:p w14:paraId="27EE47CC">
                  <w:pPr>
                    <w:pStyle w:val="45"/>
                    <w:spacing w:line="240" w:lineRule="auto"/>
                    <w:ind w:firstLine="0" w:firstLineChars="0"/>
                    <w:jc w:val="center"/>
                    <w:rPr>
                      <w:szCs w:val="21"/>
                    </w:rPr>
                  </w:pPr>
                  <w:r>
                    <w:rPr>
                      <w:rFonts w:hint="eastAsia" w:cs="宋体"/>
                      <w:bCs/>
                      <w:szCs w:val="21"/>
                      <w:lang w:bidi="ar"/>
                    </w:rPr>
                    <w:t>台</w:t>
                  </w:r>
                </w:p>
              </w:tc>
              <w:tc>
                <w:tcPr>
                  <w:tcW w:w="352" w:type="pct"/>
                  <w:tcMar>
                    <w:top w:w="15" w:type="dxa"/>
                    <w:left w:w="15" w:type="dxa"/>
                    <w:bottom w:w="0" w:type="dxa"/>
                    <w:right w:w="15" w:type="dxa"/>
                  </w:tcMar>
                  <w:vAlign w:val="center"/>
                </w:tcPr>
                <w:p w14:paraId="7B453346">
                  <w:pPr>
                    <w:pStyle w:val="45"/>
                    <w:spacing w:line="240" w:lineRule="auto"/>
                    <w:ind w:firstLine="0" w:firstLineChars="0"/>
                    <w:jc w:val="center"/>
                    <w:rPr>
                      <w:szCs w:val="21"/>
                    </w:rPr>
                  </w:pPr>
                  <w:r>
                    <w:rPr>
                      <w:rFonts w:hint="eastAsia"/>
                      <w:kern w:val="0"/>
                      <w:szCs w:val="21"/>
                      <w:lang w:bidi="ar"/>
                    </w:rPr>
                    <w:t>3</w:t>
                  </w:r>
                </w:p>
              </w:tc>
              <w:tc>
                <w:tcPr>
                  <w:tcW w:w="1499" w:type="pct"/>
                  <w:tcMar>
                    <w:top w:w="15" w:type="dxa"/>
                    <w:left w:w="15" w:type="dxa"/>
                    <w:bottom w:w="0" w:type="dxa"/>
                    <w:right w:w="15" w:type="dxa"/>
                  </w:tcMar>
                  <w:vAlign w:val="center"/>
                </w:tcPr>
                <w:p w14:paraId="28CD004A">
                  <w:pPr>
                    <w:pStyle w:val="45"/>
                    <w:spacing w:line="240" w:lineRule="auto"/>
                    <w:ind w:firstLine="0" w:firstLineChars="0"/>
                    <w:jc w:val="center"/>
                    <w:rPr>
                      <w:szCs w:val="21"/>
                    </w:rPr>
                  </w:pPr>
                  <w:r>
                    <w:rPr>
                      <w:rFonts w:hint="eastAsia" w:cs="宋体"/>
                      <w:kern w:val="0"/>
                      <w:szCs w:val="21"/>
                      <w:lang w:bidi="ar"/>
                    </w:rPr>
                    <w:t>SZL20-1.25-AⅡ链条炉排蒸汽锅炉，20t/h</w:t>
                  </w:r>
                </w:p>
              </w:tc>
              <w:tc>
                <w:tcPr>
                  <w:tcW w:w="1019" w:type="pct"/>
                  <w:vAlign w:val="center"/>
                </w:tcPr>
                <w:p w14:paraId="5B90D419">
                  <w:pPr>
                    <w:pStyle w:val="45"/>
                    <w:spacing w:line="240" w:lineRule="auto"/>
                    <w:ind w:firstLine="0" w:firstLineChars="0"/>
                    <w:jc w:val="center"/>
                    <w:rPr>
                      <w:szCs w:val="21"/>
                    </w:rPr>
                  </w:pPr>
                  <w:r>
                    <w:rPr>
                      <w:rFonts w:hint="eastAsia"/>
                      <w:szCs w:val="21"/>
                    </w:rPr>
                    <w:t>采暖期均运行，非采暖期运行1台2</w:t>
                  </w:r>
                  <w:r>
                    <w:rPr>
                      <w:szCs w:val="21"/>
                    </w:rPr>
                    <w:t>0</w:t>
                  </w:r>
                  <w:r>
                    <w:rPr>
                      <w:rFonts w:hint="eastAsia"/>
                      <w:szCs w:val="21"/>
                    </w:rPr>
                    <w:t>t/h</w:t>
                  </w:r>
                </w:p>
              </w:tc>
            </w:tr>
            <w:tr w14:paraId="4D85A617">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04899968">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2DCED15F">
                  <w:pPr>
                    <w:pStyle w:val="45"/>
                    <w:spacing w:line="240" w:lineRule="auto"/>
                    <w:ind w:firstLine="0" w:firstLineChars="0"/>
                    <w:jc w:val="center"/>
                    <w:rPr>
                      <w:szCs w:val="21"/>
                    </w:rPr>
                  </w:pPr>
                  <w:r>
                    <w:rPr>
                      <w:rFonts w:hint="eastAsia"/>
                    </w:rPr>
                    <w:t>电控柜</w:t>
                  </w:r>
                </w:p>
              </w:tc>
              <w:tc>
                <w:tcPr>
                  <w:tcW w:w="353" w:type="pct"/>
                  <w:tcMar>
                    <w:top w:w="15" w:type="dxa"/>
                    <w:left w:w="15" w:type="dxa"/>
                    <w:bottom w:w="0" w:type="dxa"/>
                    <w:right w:w="15" w:type="dxa"/>
                  </w:tcMar>
                  <w:vAlign w:val="center"/>
                </w:tcPr>
                <w:p w14:paraId="7242F1E4">
                  <w:pPr>
                    <w:pStyle w:val="45"/>
                    <w:spacing w:line="240" w:lineRule="auto"/>
                    <w:ind w:firstLine="0" w:firstLineChars="0"/>
                    <w:jc w:val="center"/>
                    <w:rPr>
                      <w:szCs w:val="21"/>
                    </w:rPr>
                  </w:pPr>
                  <w:r>
                    <w:rPr>
                      <w:rFonts w:hint="eastAsia" w:cs="宋体"/>
                      <w:bCs/>
                      <w:szCs w:val="21"/>
                      <w:lang w:bidi="ar"/>
                    </w:rPr>
                    <w:t>台</w:t>
                  </w:r>
                </w:p>
              </w:tc>
              <w:tc>
                <w:tcPr>
                  <w:tcW w:w="352" w:type="pct"/>
                  <w:tcMar>
                    <w:top w:w="15" w:type="dxa"/>
                    <w:left w:w="15" w:type="dxa"/>
                    <w:bottom w:w="0" w:type="dxa"/>
                    <w:right w:w="15" w:type="dxa"/>
                  </w:tcMar>
                  <w:vAlign w:val="center"/>
                </w:tcPr>
                <w:p w14:paraId="0D46A381">
                  <w:pPr>
                    <w:pStyle w:val="45"/>
                    <w:spacing w:line="240" w:lineRule="auto"/>
                    <w:ind w:firstLine="0" w:firstLineChars="0"/>
                    <w:jc w:val="center"/>
                    <w:rPr>
                      <w:szCs w:val="21"/>
                    </w:rPr>
                  </w:pPr>
                  <w:r>
                    <w:rPr>
                      <w:rFonts w:hint="eastAsia"/>
                      <w:kern w:val="0"/>
                      <w:szCs w:val="21"/>
                      <w:lang w:bidi="ar"/>
                    </w:rPr>
                    <w:t>8</w:t>
                  </w:r>
                </w:p>
              </w:tc>
              <w:tc>
                <w:tcPr>
                  <w:tcW w:w="1499" w:type="pct"/>
                  <w:tcMar>
                    <w:top w:w="15" w:type="dxa"/>
                    <w:left w:w="15" w:type="dxa"/>
                    <w:bottom w:w="0" w:type="dxa"/>
                    <w:right w:w="15" w:type="dxa"/>
                  </w:tcMar>
                  <w:vAlign w:val="center"/>
                </w:tcPr>
                <w:p w14:paraId="69FB4016">
                  <w:pPr>
                    <w:pStyle w:val="45"/>
                    <w:spacing w:line="240" w:lineRule="auto"/>
                    <w:ind w:firstLine="0" w:firstLineChars="0"/>
                    <w:jc w:val="center"/>
                    <w:rPr>
                      <w:szCs w:val="21"/>
                    </w:rPr>
                  </w:pPr>
                  <w:r>
                    <w:rPr>
                      <w:rFonts w:hint="eastAsia" w:cs="宋体"/>
                      <w:kern w:val="0"/>
                      <w:szCs w:val="21"/>
                      <w:lang w:bidi="ar"/>
                    </w:rPr>
                    <w:t>GCS型组合式开关柜</w:t>
                  </w:r>
                </w:p>
              </w:tc>
              <w:tc>
                <w:tcPr>
                  <w:tcW w:w="1019" w:type="pct"/>
                  <w:vAlign w:val="center"/>
                </w:tcPr>
                <w:p w14:paraId="66D67CFB">
                  <w:pPr>
                    <w:pStyle w:val="45"/>
                    <w:spacing w:line="240" w:lineRule="auto"/>
                    <w:ind w:firstLine="0" w:firstLineChars="0"/>
                    <w:jc w:val="center"/>
                    <w:rPr>
                      <w:szCs w:val="21"/>
                    </w:rPr>
                  </w:pPr>
                </w:p>
              </w:tc>
            </w:tr>
            <w:tr w14:paraId="094150CE">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1B419254">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3D976F6A">
                  <w:pPr>
                    <w:pStyle w:val="45"/>
                    <w:spacing w:line="240" w:lineRule="auto"/>
                    <w:ind w:firstLine="0" w:firstLineChars="0"/>
                    <w:jc w:val="center"/>
                    <w:rPr>
                      <w:szCs w:val="21"/>
                    </w:rPr>
                  </w:pPr>
                  <w:r>
                    <w:rPr>
                      <w:rFonts w:hint="eastAsia"/>
                    </w:rPr>
                    <w:t>全自动水处理设施</w:t>
                  </w:r>
                </w:p>
              </w:tc>
              <w:tc>
                <w:tcPr>
                  <w:tcW w:w="353" w:type="pct"/>
                  <w:tcMar>
                    <w:top w:w="15" w:type="dxa"/>
                    <w:left w:w="15" w:type="dxa"/>
                    <w:bottom w:w="0" w:type="dxa"/>
                    <w:right w:w="15" w:type="dxa"/>
                  </w:tcMar>
                  <w:vAlign w:val="center"/>
                </w:tcPr>
                <w:p w14:paraId="759A199C">
                  <w:pPr>
                    <w:pStyle w:val="45"/>
                    <w:spacing w:line="240" w:lineRule="auto"/>
                    <w:ind w:firstLine="0" w:firstLineChars="0"/>
                    <w:jc w:val="center"/>
                    <w:rPr>
                      <w:szCs w:val="21"/>
                    </w:rPr>
                  </w:pPr>
                  <w:r>
                    <w:rPr>
                      <w:rFonts w:hint="eastAsia" w:cs="宋体"/>
                      <w:bCs/>
                      <w:szCs w:val="21"/>
                      <w:lang w:bidi="ar"/>
                    </w:rPr>
                    <w:t>套</w:t>
                  </w:r>
                </w:p>
              </w:tc>
              <w:tc>
                <w:tcPr>
                  <w:tcW w:w="352" w:type="pct"/>
                  <w:tcMar>
                    <w:top w:w="15" w:type="dxa"/>
                    <w:left w:w="15" w:type="dxa"/>
                    <w:bottom w:w="0" w:type="dxa"/>
                    <w:right w:w="15" w:type="dxa"/>
                  </w:tcMar>
                  <w:vAlign w:val="center"/>
                </w:tcPr>
                <w:p w14:paraId="33D5694A">
                  <w:pPr>
                    <w:pStyle w:val="45"/>
                    <w:spacing w:line="240" w:lineRule="auto"/>
                    <w:ind w:firstLine="0" w:firstLineChars="0"/>
                    <w:jc w:val="center"/>
                    <w:rPr>
                      <w:szCs w:val="21"/>
                    </w:rPr>
                  </w:pPr>
                  <w:r>
                    <w:rPr>
                      <w:rFonts w:hint="eastAsia"/>
                      <w:kern w:val="0"/>
                      <w:szCs w:val="21"/>
                      <w:lang w:bidi="ar"/>
                    </w:rPr>
                    <w:t>3</w:t>
                  </w:r>
                </w:p>
              </w:tc>
              <w:tc>
                <w:tcPr>
                  <w:tcW w:w="1499" w:type="pct"/>
                  <w:tcMar>
                    <w:top w:w="15" w:type="dxa"/>
                    <w:left w:w="15" w:type="dxa"/>
                    <w:bottom w:w="0" w:type="dxa"/>
                    <w:right w:w="15" w:type="dxa"/>
                  </w:tcMar>
                  <w:vAlign w:val="center"/>
                </w:tcPr>
                <w:p w14:paraId="1D34F9DA">
                  <w:pPr>
                    <w:pStyle w:val="45"/>
                    <w:spacing w:line="240" w:lineRule="auto"/>
                    <w:ind w:firstLine="0" w:firstLineChars="0"/>
                    <w:jc w:val="center"/>
                    <w:rPr>
                      <w:szCs w:val="21"/>
                    </w:rPr>
                  </w:pPr>
                  <w:r>
                    <w:rPr>
                      <w:rFonts w:hint="eastAsia" w:cs="宋体"/>
                      <w:kern w:val="0"/>
                      <w:szCs w:val="21"/>
                      <w:lang w:bidi="ar"/>
                    </w:rPr>
                    <w:t>25t/h</w:t>
                  </w:r>
                </w:p>
              </w:tc>
              <w:tc>
                <w:tcPr>
                  <w:tcW w:w="1019" w:type="pct"/>
                  <w:vAlign w:val="center"/>
                </w:tcPr>
                <w:p w14:paraId="1461DBFE">
                  <w:pPr>
                    <w:pStyle w:val="45"/>
                    <w:spacing w:line="240" w:lineRule="auto"/>
                    <w:ind w:firstLine="0" w:firstLineChars="0"/>
                    <w:jc w:val="center"/>
                    <w:rPr>
                      <w:szCs w:val="21"/>
                    </w:rPr>
                  </w:pPr>
                </w:p>
              </w:tc>
            </w:tr>
            <w:tr w14:paraId="3384280A">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29C5A4C9">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1E4F8478">
                  <w:pPr>
                    <w:pStyle w:val="45"/>
                    <w:spacing w:line="240" w:lineRule="auto"/>
                    <w:ind w:firstLine="0" w:firstLineChars="0"/>
                    <w:jc w:val="center"/>
                    <w:rPr>
                      <w:szCs w:val="21"/>
                    </w:rPr>
                  </w:pPr>
                  <w:r>
                    <w:rPr>
                      <w:rFonts w:hint="eastAsia"/>
                    </w:rPr>
                    <w:t>给水泵</w:t>
                  </w:r>
                </w:p>
              </w:tc>
              <w:tc>
                <w:tcPr>
                  <w:tcW w:w="353" w:type="pct"/>
                  <w:tcMar>
                    <w:top w:w="15" w:type="dxa"/>
                    <w:left w:w="15" w:type="dxa"/>
                    <w:bottom w:w="0" w:type="dxa"/>
                    <w:right w:w="15" w:type="dxa"/>
                  </w:tcMar>
                  <w:vAlign w:val="center"/>
                </w:tcPr>
                <w:p w14:paraId="6B99B413">
                  <w:pPr>
                    <w:pStyle w:val="45"/>
                    <w:spacing w:line="240" w:lineRule="auto"/>
                    <w:ind w:firstLine="0" w:firstLineChars="0"/>
                    <w:jc w:val="center"/>
                    <w:rPr>
                      <w:szCs w:val="21"/>
                    </w:rPr>
                  </w:pPr>
                  <w:r>
                    <w:rPr>
                      <w:rFonts w:hint="eastAsia" w:cs="宋体"/>
                      <w:bCs/>
                      <w:szCs w:val="21"/>
                      <w:lang w:bidi="ar"/>
                    </w:rPr>
                    <w:t>台</w:t>
                  </w:r>
                </w:p>
              </w:tc>
              <w:tc>
                <w:tcPr>
                  <w:tcW w:w="352" w:type="pct"/>
                  <w:tcMar>
                    <w:top w:w="15" w:type="dxa"/>
                    <w:left w:w="15" w:type="dxa"/>
                    <w:bottom w:w="0" w:type="dxa"/>
                    <w:right w:w="15" w:type="dxa"/>
                  </w:tcMar>
                  <w:vAlign w:val="center"/>
                </w:tcPr>
                <w:p w14:paraId="029E3DDC">
                  <w:pPr>
                    <w:pStyle w:val="45"/>
                    <w:spacing w:line="240" w:lineRule="auto"/>
                    <w:ind w:firstLine="0" w:firstLineChars="0"/>
                    <w:jc w:val="center"/>
                    <w:rPr>
                      <w:szCs w:val="21"/>
                    </w:rPr>
                  </w:pPr>
                  <w:r>
                    <w:rPr>
                      <w:rFonts w:hint="eastAsia"/>
                      <w:kern w:val="0"/>
                      <w:szCs w:val="21"/>
                      <w:lang w:bidi="ar"/>
                    </w:rPr>
                    <w:t>3</w:t>
                  </w:r>
                </w:p>
              </w:tc>
              <w:tc>
                <w:tcPr>
                  <w:tcW w:w="1499" w:type="pct"/>
                  <w:tcMar>
                    <w:top w:w="15" w:type="dxa"/>
                    <w:left w:w="15" w:type="dxa"/>
                    <w:bottom w:w="0" w:type="dxa"/>
                    <w:right w:w="15" w:type="dxa"/>
                  </w:tcMar>
                  <w:vAlign w:val="center"/>
                </w:tcPr>
                <w:p w14:paraId="0BB7C544">
                  <w:pPr>
                    <w:pStyle w:val="45"/>
                    <w:spacing w:line="240" w:lineRule="auto"/>
                    <w:ind w:firstLine="0" w:firstLineChars="0"/>
                    <w:jc w:val="center"/>
                    <w:rPr>
                      <w:szCs w:val="21"/>
                    </w:rPr>
                  </w:pPr>
                  <w:r>
                    <w:rPr>
                      <w:rFonts w:hint="eastAsia" w:cs="宋体"/>
                      <w:kern w:val="0"/>
                      <w:szCs w:val="21"/>
                      <w:lang w:bidi="ar"/>
                    </w:rPr>
                    <w:t>流量：25 m</w:t>
                  </w:r>
                  <w:r>
                    <w:rPr>
                      <w:rFonts w:hint="eastAsia" w:cs="宋体"/>
                      <w:kern w:val="0"/>
                      <w:szCs w:val="21"/>
                      <w:vertAlign w:val="superscript"/>
                      <w:lang w:bidi="ar"/>
                    </w:rPr>
                    <w:t>3</w:t>
                  </w:r>
                  <w:r>
                    <w:rPr>
                      <w:rFonts w:cs="宋体"/>
                      <w:kern w:val="0"/>
                      <w:szCs w:val="21"/>
                      <w:lang w:bidi="ar"/>
                    </w:rPr>
                    <w:t>/h</w:t>
                  </w:r>
                </w:p>
              </w:tc>
              <w:tc>
                <w:tcPr>
                  <w:tcW w:w="1019" w:type="pct"/>
                  <w:vAlign w:val="center"/>
                </w:tcPr>
                <w:p w14:paraId="241778DB">
                  <w:pPr>
                    <w:pStyle w:val="45"/>
                    <w:spacing w:line="240" w:lineRule="auto"/>
                    <w:ind w:firstLine="0" w:firstLineChars="0"/>
                    <w:jc w:val="center"/>
                    <w:rPr>
                      <w:szCs w:val="21"/>
                    </w:rPr>
                  </w:pPr>
                </w:p>
              </w:tc>
            </w:tr>
            <w:tr w14:paraId="4B7AD780">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71" w:hRule="atLeast"/>
              </w:trPr>
              <w:tc>
                <w:tcPr>
                  <w:tcW w:w="379" w:type="pct"/>
                  <w:tcMar>
                    <w:top w:w="15" w:type="dxa"/>
                    <w:left w:w="15" w:type="dxa"/>
                    <w:bottom w:w="0" w:type="dxa"/>
                    <w:right w:w="15" w:type="dxa"/>
                  </w:tcMar>
                  <w:vAlign w:val="center"/>
                </w:tcPr>
                <w:p w14:paraId="7000E4F4">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6D5C5A9D">
                  <w:pPr>
                    <w:pStyle w:val="45"/>
                    <w:spacing w:line="240" w:lineRule="auto"/>
                    <w:ind w:firstLine="0" w:firstLineChars="0"/>
                    <w:jc w:val="center"/>
                    <w:rPr>
                      <w:szCs w:val="21"/>
                    </w:rPr>
                  </w:pPr>
                  <w:r>
                    <w:rPr>
                      <w:rFonts w:hint="eastAsia"/>
                    </w:rPr>
                    <w:t>除氧器</w:t>
                  </w:r>
                </w:p>
              </w:tc>
              <w:tc>
                <w:tcPr>
                  <w:tcW w:w="353" w:type="pct"/>
                  <w:tcMar>
                    <w:top w:w="15" w:type="dxa"/>
                    <w:left w:w="15" w:type="dxa"/>
                    <w:bottom w:w="0" w:type="dxa"/>
                    <w:right w:w="15" w:type="dxa"/>
                  </w:tcMar>
                  <w:vAlign w:val="center"/>
                </w:tcPr>
                <w:p w14:paraId="0B0D25E9">
                  <w:pPr>
                    <w:pStyle w:val="45"/>
                    <w:spacing w:line="240" w:lineRule="auto"/>
                    <w:ind w:firstLine="0" w:firstLineChars="0"/>
                    <w:jc w:val="center"/>
                    <w:rPr>
                      <w:szCs w:val="21"/>
                    </w:rPr>
                  </w:pPr>
                  <w:r>
                    <w:rPr>
                      <w:rFonts w:hint="eastAsia" w:cs="宋体"/>
                      <w:bCs/>
                      <w:szCs w:val="21"/>
                      <w:lang w:bidi="ar"/>
                    </w:rPr>
                    <w:t>台</w:t>
                  </w:r>
                </w:p>
              </w:tc>
              <w:tc>
                <w:tcPr>
                  <w:tcW w:w="352" w:type="pct"/>
                  <w:tcMar>
                    <w:top w:w="15" w:type="dxa"/>
                    <w:left w:w="15" w:type="dxa"/>
                    <w:bottom w:w="0" w:type="dxa"/>
                    <w:right w:w="15" w:type="dxa"/>
                  </w:tcMar>
                  <w:vAlign w:val="center"/>
                </w:tcPr>
                <w:p w14:paraId="12740C47">
                  <w:pPr>
                    <w:pStyle w:val="45"/>
                    <w:spacing w:line="240" w:lineRule="auto"/>
                    <w:ind w:firstLine="0" w:firstLineChars="0"/>
                    <w:jc w:val="center"/>
                    <w:rPr>
                      <w:szCs w:val="21"/>
                    </w:rPr>
                  </w:pPr>
                  <w:r>
                    <w:rPr>
                      <w:rFonts w:hint="eastAsia"/>
                      <w:kern w:val="0"/>
                      <w:szCs w:val="21"/>
                      <w:lang w:bidi="ar"/>
                    </w:rPr>
                    <w:t>3</w:t>
                  </w:r>
                </w:p>
              </w:tc>
              <w:tc>
                <w:tcPr>
                  <w:tcW w:w="1499" w:type="pct"/>
                  <w:tcMar>
                    <w:top w:w="15" w:type="dxa"/>
                    <w:left w:w="15" w:type="dxa"/>
                    <w:bottom w:w="0" w:type="dxa"/>
                    <w:right w:w="15" w:type="dxa"/>
                  </w:tcMar>
                  <w:vAlign w:val="center"/>
                </w:tcPr>
                <w:p w14:paraId="0907AEDA">
                  <w:pPr>
                    <w:pStyle w:val="45"/>
                    <w:spacing w:line="240" w:lineRule="auto"/>
                    <w:ind w:firstLine="0" w:firstLineChars="0"/>
                    <w:jc w:val="center"/>
                    <w:rPr>
                      <w:szCs w:val="21"/>
                    </w:rPr>
                  </w:pPr>
                  <w:r>
                    <w:rPr>
                      <w:rFonts w:hint="eastAsia" w:cs="宋体"/>
                      <w:kern w:val="0"/>
                      <w:szCs w:val="21"/>
                      <w:lang w:bidi="ar"/>
                    </w:rPr>
                    <w:t>JR20型热力除氧器</w:t>
                  </w:r>
                </w:p>
              </w:tc>
              <w:tc>
                <w:tcPr>
                  <w:tcW w:w="1019" w:type="pct"/>
                  <w:vAlign w:val="center"/>
                </w:tcPr>
                <w:p w14:paraId="06CB975F">
                  <w:pPr>
                    <w:pStyle w:val="45"/>
                    <w:spacing w:line="240" w:lineRule="auto"/>
                    <w:ind w:firstLine="0" w:firstLineChars="0"/>
                    <w:jc w:val="center"/>
                    <w:rPr>
                      <w:szCs w:val="21"/>
                    </w:rPr>
                  </w:pPr>
                </w:p>
              </w:tc>
            </w:tr>
            <w:tr w14:paraId="6A60B551">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42AA27FC">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14CCCA43">
                  <w:pPr>
                    <w:pStyle w:val="45"/>
                    <w:spacing w:line="240" w:lineRule="auto"/>
                    <w:ind w:firstLine="0" w:firstLineChars="0"/>
                    <w:jc w:val="center"/>
                    <w:rPr>
                      <w:szCs w:val="21"/>
                    </w:rPr>
                  </w:pPr>
                  <w:r>
                    <w:rPr>
                      <w:rFonts w:hint="eastAsia"/>
                      <w:szCs w:val="21"/>
                    </w:rPr>
                    <w:t>引风机</w:t>
                  </w:r>
                </w:p>
              </w:tc>
              <w:tc>
                <w:tcPr>
                  <w:tcW w:w="353" w:type="pct"/>
                  <w:tcMar>
                    <w:top w:w="15" w:type="dxa"/>
                    <w:left w:w="15" w:type="dxa"/>
                    <w:bottom w:w="0" w:type="dxa"/>
                    <w:right w:w="15" w:type="dxa"/>
                  </w:tcMar>
                  <w:vAlign w:val="center"/>
                </w:tcPr>
                <w:p w14:paraId="0F782C68">
                  <w:pPr>
                    <w:pStyle w:val="45"/>
                    <w:spacing w:line="240" w:lineRule="auto"/>
                    <w:ind w:firstLine="0" w:firstLineChars="0"/>
                    <w:jc w:val="center"/>
                    <w:rPr>
                      <w:szCs w:val="21"/>
                    </w:rPr>
                  </w:pPr>
                  <w:r>
                    <w:rPr>
                      <w:rFonts w:hint="eastAsia" w:cs="宋体"/>
                      <w:bCs/>
                      <w:szCs w:val="21"/>
                      <w:lang w:bidi="ar"/>
                    </w:rPr>
                    <w:t>套</w:t>
                  </w:r>
                </w:p>
              </w:tc>
              <w:tc>
                <w:tcPr>
                  <w:tcW w:w="352" w:type="pct"/>
                  <w:tcMar>
                    <w:top w:w="15" w:type="dxa"/>
                    <w:left w:w="15" w:type="dxa"/>
                    <w:bottom w:w="0" w:type="dxa"/>
                    <w:right w:w="15" w:type="dxa"/>
                  </w:tcMar>
                  <w:vAlign w:val="center"/>
                </w:tcPr>
                <w:p w14:paraId="104C50E0">
                  <w:pPr>
                    <w:pStyle w:val="45"/>
                    <w:spacing w:line="240" w:lineRule="auto"/>
                    <w:ind w:firstLine="0" w:firstLineChars="0"/>
                    <w:jc w:val="center"/>
                    <w:rPr>
                      <w:szCs w:val="21"/>
                    </w:rPr>
                  </w:pPr>
                  <w:r>
                    <w:rPr>
                      <w:rFonts w:hint="eastAsia"/>
                      <w:kern w:val="0"/>
                      <w:szCs w:val="21"/>
                      <w:lang w:bidi="ar"/>
                    </w:rPr>
                    <w:t>3</w:t>
                  </w:r>
                </w:p>
              </w:tc>
              <w:tc>
                <w:tcPr>
                  <w:tcW w:w="1499" w:type="pct"/>
                  <w:tcMar>
                    <w:top w:w="15" w:type="dxa"/>
                    <w:left w:w="15" w:type="dxa"/>
                    <w:bottom w:w="0" w:type="dxa"/>
                    <w:right w:w="15" w:type="dxa"/>
                  </w:tcMar>
                  <w:vAlign w:val="center"/>
                </w:tcPr>
                <w:p w14:paraId="5AC7529A">
                  <w:pPr>
                    <w:pStyle w:val="45"/>
                    <w:spacing w:line="240" w:lineRule="auto"/>
                    <w:ind w:firstLine="0" w:firstLineChars="0"/>
                    <w:jc w:val="center"/>
                    <w:rPr>
                      <w:szCs w:val="21"/>
                    </w:rPr>
                  </w:pPr>
                </w:p>
              </w:tc>
              <w:tc>
                <w:tcPr>
                  <w:tcW w:w="1019" w:type="pct"/>
                  <w:vAlign w:val="center"/>
                </w:tcPr>
                <w:p w14:paraId="2BB8C4C0">
                  <w:pPr>
                    <w:pStyle w:val="45"/>
                    <w:spacing w:line="240" w:lineRule="auto"/>
                    <w:ind w:firstLine="0" w:firstLineChars="0"/>
                    <w:jc w:val="center"/>
                    <w:rPr>
                      <w:szCs w:val="21"/>
                    </w:rPr>
                  </w:pPr>
                </w:p>
              </w:tc>
            </w:tr>
            <w:tr w14:paraId="4F9F30ED">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0CD718A2">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32D8B480">
                  <w:pPr>
                    <w:pStyle w:val="45"/>
                    <w:spacing w:line="240" w:lineRule="auto"/>
                    <w:ind w:firstLine="0" w:firstLineChars="0"/>
                    <w:jc w:val="center"/>
                    <w:rPr>
                      <w:szCs w:val="21"/>
                    </w:rPr>
                  </w:pPr>
                  <w:r>
                    <w:rPr>
                      <w:rFonts w:hint="eastAsia"/>
                      <w:szCs w:val="21"/>
                    </w:rPr>
                    <w:t>尿素溶解罐</w:t>
                  </w:r>
                </w:p>
              </w:tc>
              <w:tc>
                <w:tcPr>
                  <w:tcW w:w="353" w:type="pct"/>
                  <w:tcMar>
                    <w:top w:w="15" w:type="dxa"/>
                    <w:left w:w="15" w:type="dxa"/>
                    <w:bottom w:w="0" w:type="dxa"/>
                    <w:right w:w="15" w:type="dxa"/>
                  </w:tcMar>
                  <w:vAlign w:val="center"/>
                </w:tcPr>
                <w:p w14:paraId="3E916E70">
                  <w:pPr>
                    <w:pStyle w:val="45"/>
                    <w:spacing w:line="240" w:lineRule="auto"/>
                    <w:ind w:firstLine="0" w:firstLineChars="0"/>
                    <w:jc w:val="center"/>
                    <w:rPr>
                      <w:rFonts w:cs="宋体"/>
                      <w:bCs/>
                      <w:szCs w:val="21"/>
                      <w:lang w:bidi="ar"/>
                    </w:rPr>
                  </w:pPr>
                  <w:r>
                    <w:rPr>
                      <w:rFonts w:hint="eastAsia" w:cs="宋体"/>
                      <w:bCs/>
                      <w:szCs w:val="21"/>
                      <w:lang w:bidi="ar"/>
                    </w:rPr>
                    <w:t>台</w:t>
                  </w:r>
                </w:p>
              </w:tc>
              <w:tc>
                <w:tcPr>
                  <w:tcW w:w="352" w:type="pct"/>
                  <w:tcMar>
                    <w:top w:w="15" w:type="dxa"/>
                    <w:left w:w="15" w:type="dxa"/>
                    <w:bottom w:w="0" w:type="dxa"/>
                    <w:right w:w="15" w:type="dxa"/>
                  </w:tcMar>
                  <w:vAlign w:val="center"/>
                </w:tcPr>
                <w:p w14:paraId="6C4693A7">
                  <w:pPr>
                    <w:pStyle w:val="45"/>
                    <w:spacing w:line="240" w:lineRule="auto"/>
                    <w:ind w:firstLine="0" w:firstLineChars="0"/>
                    <w:jc w:val="center"/>
                    <w:rPr>
                      <w:kern w:val="0"/>
                      <w:szCs w:val="21"/>
                      <w:lang w:bidi="ar"/>
                    </w:rPr>
                  </w:pPr>
                  <w:r>
                    <w:rPr>
                      <w:rFonts w:hint="eastAsia" w:cs="宋体"/>
                      <w:bCs/>
                      <w:szCs w:val="21"/>
                      <w:lang w:bidi="ar"/>
                    </w:rPr>
                    <w:t>1</w:t>
                  </w:r>
                </w:p>
              </w:tc>
              <w:tc>
                <w:tcPr>
                  <w:tcW w:w="1499" w:type="pct"/>
                  <w:tcMar>
                    <w:top w:w="15" w:type="dxa"/>
                    <w:left w:w="15" w:type="dxa"/>
                    <w:bottom w:w="0" w:type="dxa"/>
                    <w:right w:w="15" w:type="dxa"/>
                  </w:tcMar>
                  <w:vAlign w:val="center"/>
                </w:tcPr>
                <w:p w14:paraId="6A9B6D1E">
                  <w:pPr>
                    <w:pStyle w:val="45"/>
                    <w:spacing w:line="240" w:lineRule="auto"/>
                    <w:ind w:firstLine="0" w:firstLineChars="0"/>
                    <w:jc w:val="center"/>
                    <w:rPr>
                      <w:szCs w:val="21"/>
                    </w:rPr>
                  </w:pPr>
                  <w:r>
                    <w:rPr>
                      <w:rFonts w:hint="eastAsia"/>
                      <w:szCs w:val="21"/>
                    </w:rPr>
                    <w:t>容积</w:t>
                  </w:r>
                  <w:r>
                    <w:rPr>
                      <w:szCs w:val="21"/>
                    </w:rPr>
                    <w:t>2m</w:t>
                  </w:r>
                  <w:r>
                    <w:rPr>
                      <w:szCs w:val="21"/>
                      <w:vertAlign w:val="superscript"/>
                    </w:rPr>
                    <w:t>3</w:t>
                  </w:r>
                  <w:r>
                    <w:rPr>
                      <w:rFonts w:hint="eastAsia"/>
                      <w:szCs w:val="21"/>
                    </w:rPr>
                    <w:t>，材质</w:t>
                  </w:r>
                  <w:r>
                    <w:rPr>
                      <w:szCs w:val="21"/>
                    </w:rPr>
                    <w:t>304</w:t>
                  </w:r>
                </w:p>
              </w:tc>
              <w:tc>
                <w:tcPr>
                  <w:tcW w:w="1019" w:type="pct"/>
                  <w:vAlign w:val="center"/>
                </w:tcPr>
                <w:p w14:paraId="67B6170D">
                  <w:pPr>
                    <w:pStyle w:val="45"/>
                    <w:spacing w:line="240" w:lineRule="auto"/>
                    <w:ind w:firstLine="0" w:firstLineChars="0"/>
                    <w:jc w:val="center"/>
                    <w:rPr>
                      <w:szCs w:val="21"/>
                    </w:rPr>
                  </w:pPr>
                </w:p>
              </w:tc>
            </w:tr>
            <w:tr w14:paraId="2FA21084">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7DDB4B9A">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60F05AB7">
                  <w:pPr>
                    <w:pStyle w:val="45"/>
                    <w:spacing w:line="240" w:lineRule="auto"/>
                    <w:ind w:firstLine="0" w:firstLineChars="0"/>
                    <w:jc w:val="center"/>
                    <w:rPr>
                      <w:szCs w:val="21"/>
                    </w:rPr>
                  </w:pPr>
                  <w:r>
                    <w:rPr>
                      <w:rFonts w:hint="eastAsia"/>
                      <w:szCs w:val="21"/>
                    </w:rPr>
                    <w:t>尿素溶液储罐</w:t>
                  </w:r>
                </w:p>
              </w:tc>
              <w:tc>
                <w:tcPr>
                  <w:tcW w:w="353" w:type="pct"/>
                  <w:tcMar>
                    <w:top w:w="15" w:type="dxa"/>
                    <w:left w:w="15" w:type="dxa"/>
                    <w:bottom w:w="0" w:type="dxa"/>
                    <w:right w:w="15" w:type="dxa"/>
                  </w:tcMar>
                  <w:vAlign w:val="center"/>
                </w:tcPr>
                <w:p w14:paraId="7FD4FD69">
                  <w:pPr>
                    <w:pStyle w:val="45"/>
                    <w:spacing w:line="240" w:lineRule="auto"/>
                    <w:ind w:firstLine="0" w:firstLineChars="0"/>
                    <w:jc w:val="center"/>
                    <w:rPr>
                      <w:rFonts w:cs="宋体"/>
                      <w:bCs/>
                      <w:szCs w:val="21"/>
                      <w:lang w:bidi="ar"/>
                    </w:rPr>
                  </w:pPr>
                  <w:r>
                    <w:rPr>
                      <w:rFonts w:hint="eastAsia" w:cs="宋体"/>
                      <w:bCs/>
                      <w:szCs w:val="21"/>
                      <w:lang w:bidi="ar"/>
                    </w:rPr>
                    <w:t>台</w:t>
                  </w:r>
                </w:p>
              </w:tc>
              <w:tc>
                <w:tcPr>
                  <w:tcW w:w="352" w:type="pct"/>
                  <w:tcMar>
                    <w:top w:w="15" w:type="dxa"/>
                    <w:left w:w="15" w:type="dxa"/>
                    <w:bottom w:w="0" w:type="dxa"/>
                    <w:right w:w="15" w:type="dxa"/>
                  </w:tcMar>
                  <w:vAlign w:val="center"/>
                </w:tcPr>
                <w:p w14:paraId="290AAAAB">
                  <w:pPr>
                    <w:pStyle w:val="45"/>
                    <w:spacing w:line="240" w:lineRule="auto"/>
                    <w:ind w:firstLine="0" w:firstLineChars="0"/>
                    <w:jc w:val="center"/>
                    <w:rPr>
                      <w:kern w:val="0"/>
                      <w:szCs w:val="21"/>
                      <w:lang w:bidi="ar"/>
                    </w:rPr>
                  </w:pPr>
                  <w:r>
                    <w:rPr>
                      <w:rFonts w:hint="eastAsia" w:cs="宋体"/>
                      <w:bCs/>
                      <w:szCs w:val="21"/>
                      <w:lang w:bidi="ar"/>
                    </w:rPr>
                    <w:t>1</w:t>
                  </w:r>
                </w:p>
              </w:tc>
              <w:tc>
                <w:tcPr>
                  <w:tcW w:w="1499" w:type="pct"/>
                  <w:tcMar>
                    <w:top w:w="15" w:type="dxa"/>
                    <w:left w:w="15" w:type="dxa"/>
                    <w:bottom w:w="0" w:type="dxa"/>
                    <w:right w:w="15" w:type="dxa"/>
                  </w:tcMar>
                  <w:vAlign w:val="center"/>
                </w:tcPr>
                <w:p w14:paraId="19422FF9">
                  <w:pPr>
                    <w:pStyle w:val="45"/>
                    <w:spacing w:line="240" w:lineRule="auto"/>
                    <w:ind w:firstLine="0" w:firstLineChars="0"/>
                    <w:jc w:val="center"/>
                    <w:rPr>
                      <w:szCs w:val="21"/>
                    </w:rPr>
                  </w:pPr>
                  <w:r>
                    <w:rPr>
                      <w:rFonts w:hint="eastAsia"/>
                      <w:szCs w:val="21"/>
                    </w:rPr>
                    <w:t>容积5</w:t>
                  </w:r>
                  <w:r>
                    <w:rPr>
                      <w:szCs w:val="21"/>
                    </w:rPr>
                    <w:t>m</w:t>
                  </w:r>
                  <w:r>
                    <w:rPr>
                      <w:szCs w:val="21"/>
                      <w:vertAlign w:val="superscript"/>
                    </w:rPr>
                    <w:t>3</w:t>
                  </w:r>
                  <w:r>
                    <w:rPr>
                      <w:rFonts w:hint="eastAsia"/>
                      <w:szCs w:val="21"/>
                    </w:rPr>
                    <w:t>，材质</w:t>
                  </w:r>
                  <w:r>
                    <w:rPr>
                      <w:szCs w:val="21"/>
                    </w:rPr>
                    <w:t>304</w:t>
                  </w:r>
                </w:p>
              </w:tc>
              <w:tc>
                <w:tcPr>
                  <w:tcW w:w="1019" w:type="pct"/>
                  <w:vAlign w:val="center"/>
                </w:tcPr>
                <w:p w14:paraId="1B3732BC">
                  <w:pPr>
                    <w:pStyle w:val="45"/>
                    <w:spacing w:line="240" w:lineRule="auto"/>
                    <w:ind w:firstLine="0" w:firstLineChars="0"/>
                    <w:jc w:val="center"/>
                    <w:rPr>
                      <w:szCs w:val="21"/>
                    </w:rPr>
                  </w:pPr>
                </w:p>
              </w:tc>
            </w:tr>
            <w:tr w14:paraId="110E740D">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4662B719">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541706A8">
                  <w:pPr>
                    <w:pStyle w:val="45"/>
                    <w:spacing w:line="240" w:lineRule="auto"/>
                    <w:ind w:firstLine="0" w:firstLineChars="0"/>
                    <w:jc w:val="center"/>
                    <w:rPr>
                      <w:szCs w:val="21"/>
                    </w:rPr>
                  </w:pPr>
                  <w:r>
                    <w:rPr>
                      <w:rFonts w:hint="eastAsia"/>
                      <w:kern w:val="0"/>
                      <w:szCs w:val="20"/>
                    </w:rPr>
                    <w:t>尿素溶液输送泵</w:t>
                  </w:r>
                </w:p>
              </w:tc>
              <w:tc>
                <w:tcPr>
                  <w:tcW w:w="353" w:type="pct"/>
                  <w:tcMar>
                    <w:top w:w="15" w:type="dxa"/>
                    <w:left w:w="15" w:type="dxa"/>
                    <w:bottom w:w="0" w:type="dxa"/>
                    <w:right w:w="15" w:type="dxa"/>
                  </w:tcMar>
                  <w:vAlign w:val="center"/>
                </w:tcPr>
                <w:p w14:paraId="12674D4D">
                  <w:pPr>
                    <w:pStyle w:val="45"/>
                    <w:spacing w:line="240" w:lineRule="auto"/>
                    <w:ind w:firstLine="0" w:firstLineChars="0"/>
                    <w:jc w:val="center"/>
                    <w:rPr>
                      <w:rFonts w:cs="宋体"/>
                      <w:bCs/>
                      <w:szCs w:val="21"/>
                      <w:lang w:bidi="ar"/>
                    </w:rPr>
                  </w:pPr>
                  <w:r>
                    <w:rPr>
                      <w:rFonts w:hint="eastAsia" w:cs="宋体"/>
                      <w:bCs/>
                      <w:szCs w:val="21"/>
                      <w:lang w:bidi="ar"/>
                    </w:rPr>
                    <w:t>台</w:t>
                  </w:r>
                </w:p>
              </w:tc>
              <w:tc>
                <w:tcPr>
                  <w:tcW w:w="352" w:type="pct"/>
                  <w:tcMar>
                    <w:top w:w="15" w:type="dxa"/>
                    <w:left w:w="15" w:type="dxa"/>
                    <w:bottom w:w="0" w:type="dxa"/>
                    <w:right w:w="15" w:type="dxa"/>
                  </w:tcMar>
                  <w:vAlign w:val="center"/>
                </w:tcPr>
                <w:p w14:paraId="200D3687">
                  <w:pPr>
                    <w:pStyle w:val="45"/>
                    <w:spacing w:line="240" w:lineRule="auto"/>
                    <w:ind w:firstLine="0" w:firstLineChars="0"/>
                    <w:jc w:val="center"/>
                    <w:rPr>
                      <w:kern w:val="0"/>
                      <w:szCs w:val="21"/>
                      <w:lang w:bidi="ar"/>
                    </w:rPr>
                  </w:pPr>
                  <w:r>
                    <w:rPr>
                      <w:rFonts w:hint="eastAsia" w:cs="宋体"/>
                      <w:bCs/>
                      <w:szCs w:val="21"/>
                      <w:lang w:bidi="ar"/>
                    </w:rPr>
                    <w:t>2</w:t>
                  </w:r>
                </w:p>
              </w:tc>
              <w:tc>
                <w:tcPr>
                  <w:tcW w:w="1499" w:type="pct"/>
                  <w:tcMar>
                    <w:top w:w="15" w:type="dxa"/>
                    <w:left w:w="15" w:type="dxa"/>
                    <w:bottom w:w="0" w:type="dxa"/>
                    <w:right w:w="15" w:type="dxa"/>
                  </w:tcMar>
                  <w:vAlign w:val="center"/>
                </w:tcPr>
                <w:p w14:paraId="35F18B52">
                  <w:pPr>
                    <w:pStyle w:val="45"/>
                    <w:spacing w:line="240" w:lineRule="auto"/>
                    <w:ind w:firstLine="0" w:firstLineChars="0"/>
                    <w:jc w:val="center"/>
                    <w:rPr>
                      <w:szCs w:val="21"/>
                    </w:rPr>
                  </w:pPr>
                  <w:r>
                    <w:rPr>
                      <w:kern w:val="0"/>
                      <w:szCs w:val="20"/>
                    </w:rPr>
                    <w:t>输送流量Q=0.6m</w:t>
                  </w:r>
                  <w:r>
                    <w:rPr>
                      <w:kern w:val="0"/>
                      <w:szCs w:val="20"/>
                      <w:vertAlign w:val="superscript"/>
                    </w:rPr>
                    <w:t>3</w:t>
                  </w:r>
                  <w:r>
                    <w:rPr>
                      <w:kern w:val="0"/>
                      <w:szCs w:val="20"/>
                    </w:rPr>
                    <w:t>/hr，扬程H=100m，材质：304</w:t>
                  </w:r>
                </w:p>
              </w:tc>
              <w:tc>
                <w:tcPr>
                  <w:tcW w:w="1019" w:type="pct"/>
                  <w:vAlign w:val="center"/>
                </w:tcPr>
                <w:p w14:paraId="0E7A9E10">
                  <w:pPr>
                    <w:pStyle w:val="45"/>
                    <w:spacing w:line="240" w:lineRule="auto"/>
                    <w:ind w:firstLine="0" w:firstLineChars="0"/>
                    <w:jc w:val="center"/>
                    <w:rPr>
                      <w:szCs w:val="21"/>
                    </w:rPr>
                  </w:pPr>
                </w:p>
              </w:tc>
            </w:tr>
            <w:tr w14:paraId="6F671324">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2069AD09">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111FE97F">
                  <w:pPr>
                    <w:pStyle w:val="45"/>
                    <w:spacing w:line="240" w:lineRule="auto"/>
                    <w:ind w:firstLine="0" w:firstLineChars="0"/>
                    <w:jc w:val="center"/>
                    <w:rPr>
                      <w:szCs w:val="21"/>
                    </w:rPr>
                  </w:pPr>
                  <w:r>
                    <w:rPr>
                      <w:rFonts w:hint="eastAsia"/>
                      <w:kern w:val="0"/>
                      <w:szCs w:val="20"/>
                    </w:rPr>
                    <w:t>尿素溶液转运泵</w:t>
                  </w:r>
                </w:p>
              </w:tc>
              <w:tc>
                <w:tcPr>
                  <w:tcW w:w="353" w:type="pct"/>
                  <w:tcMar>
                    <w:top w:w="15" w:type="dxa"/>
                    <w:left w:w="15" w:type="dxa"/>
                    <w:bottom w:w="0" w:type="dxa"/>
                    <w:right w:w="15" w:type="dxa"/>
                  </w:tcMar>
                  <w:vAlign w:val="center"/>
                </w:tcPr>
                <w:p w14:paraId="104D5B98">
                  <w:pPr>
                    <w:pStyle w:val="45"/>
                    <w:spacing w:line="240" w:lineRule="auto"/>
                    <w:ind w:firstLine="0" w:firstLineChars="0"/>
                    <w:jc w:val="center"/>
                    <w:rPr>
                      <w:rFonts w:cs="宋体"/>
                      <w:bCs/>
                      <w:szCs w:val="21"/>
                      <w:lang w:bidi="ar"/>
                    </w:rPr>
                  </w:pPr>
                  <w:r>
                    <w:rPr>
                      <w:rFonts w:hint="eastAsia" w:cs="宋体"/>
                      <w:bCs/>
                      <w:szCs w:val="21"/>
                      <w:lang w:bidi="ar"/>
                    </w:rPr>
                    <w:t>台</w:t>
                  </w:r>
                </w:p>
              </w:tc>
              <w:tc>
                <w:tcPr>
                  <w:tcW w:w="352" w:type="pct"/>
                  <w:tcMar>
                    <w:top w:w="15" w:type="dxa"/>
                    <w:left w:w="15" w:type="dxa"/>
                    <w:bottom w:w="0" w:type="dxa"/>
                    <w:right w:w="15" w:type="dxa"/>
                  </w:tcMar>
                  <w:vAlign w:val="center"/>
                </w:tcPr>
                <w:p w14:paraId="02BFA160">
                  <w:pPr>
                    <w:pStyle w:val="45"/>
                    <w:spacing w:line="240" w:lineRule="auto"/>
                    <w:ind w:firstLine="0" w:firstLineChars="0"/>
                    <w:jc w:val="center"/>
                    <w:rPr>
                      <w:kern w:val="0"/>
                      <w:szCs w:val="21"/>
                      <w:lang w:bidi="ar"/>
                    </w:rPr>
                  </w:pPr>
                  <w:r>
                    <w:rPr>
                      <w:rFonts w:hint="eastAsia" w:cs="宋体"/>
                      <w:bCs/>
                      <w:szCs w:val="21"/>
                      <w:lang w:bidi="ar"/>
                    </w:rPr>
                    <w:t>2</w:t>
                  </w:r>
                </w:p>
              </w:tc>
              <w:tc>
                <w:tcPr>
                  <w:tcW w:w="1499" w:type="pct"/>
                  <w:tcMar>
                    <w:top w:w="15" w:type="dxa"/>
                    <w:left w:w="15" w:type="dxa"/>
                    <w:bottom w:w="0" w:type="dxa"/>
                    <w:right w:w="15" w:type="dxa"/>
                  </w:tcMar>
                  <w:vAlign w:val="center"/>
                </w:tcPr>
                <w:p w14:paraId="0C9E9A79">
                  <w:pPr>
                    <w:pStyle w:val="45"/>
                    <w:spacing w:line="240" w:lineRule="auto"/>
                    <w:ind w:firstLine="0" w:firstLineChars="0"/>
                    <w:jc w:val="center"/>
                    <w:rPr>
                      <w:szCs w:val="21"/>
                    </w:rPr>
                  </w:pPr>
                  <w:r>
                    <w:rPr>
                      <w:kern w:val="0"/>
                      <w:szCs w:val="20"/>
                    </w:rPr>
                    <w:t>输送流量Q=2m</w:t>
                  </w:r>
                  <w:r>
                    <w:rPr>
                      <w:kern w:val="0"/>
                      <w:szCs w:val="20"/>
                      <w:vertAlign w:val="superscript"/>
                    </w:rPr>
                    <w:t>3</w:t>
                  </w:r>
                  <w:r>
                    <w:rPr>
                      <w:kern w:val="0"/>
                      <w:szCs w:val="20"/>
                    </w:rPr>
                    <w:t>/hr，扬程H=15m</w:t>
                  </w:r>
                </w:p>
              </w:tc>
              <w:tc>
                <w:tcPr>
                  <w:tcW w:w="1019" w:type="pct"/>
                  <w:vAlign w:val="center"/>
                </w:tcPr>
                <w:p w14:paraId="3B98C916">
                  <w:pPr>
                    <w:pStyle w:val="45"/>
                    <w:spacing w:line="240" w:lineRule="auto"/>
                    <w:ind w:firstLine="0" w:firstLineChars="0"/>
                    <w:jc w:val="center"/>
                    <w:rPr>
                      <w:szCs w:val="21"/>
                    </w:rPr>
                  </w:pPr>
                </w:p>
              </w:tc>
            </w:tr>
            <w:tr w14:paraId="1B69D68A">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5D07C051">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0D69C702">
                  <w:pPr>
                    <w:pStyle w:val="45"/>
                    <w:spacing w:line="240" w:lineRule="auto"/>
                    <w:ind w:firstLine="0" w:firstLineChars="0"/>
                    <w:jc w:val="center"/>
                    <w:rPr>
                      <w:szCs w:val="21"/>
                    </w:rPr>
                  </w:pPr>
                  <w:r>
                    <w:rPr>
                      <w:rFonts w:hint="eastAsia"/>
                      <w:szCs w:val="21"/>
                    </w:rPr>
                    <w:t>尿素溶液计量调节喷射装置</w:t>
                  </w:r>
                </w:p>
              </w:tc>
              <w:tc>
                <w:tcPr>
                  <w:tcW w:w="353" w:type="pct"/>
                  <w:tcMar>
                    <w:top w:w="15" w:type="dxa"/>
                    <w:left w:w="15" w:type="dxa"/>
                    <w:bottom w:w="0" w:type="dxa"/>
                    <w:right w:w="15" w:type="dxa"/>
                  </w:tcMar>
                  <w:vAlign w:val="center"/>
                </w:tcPr>
                <w:p w14:paraId="2E045A90">
                  <w:pPr>
                    <w:pStyle w:val="45"/>
                    <w:spacing w:line="240" w:lineRule="auto"/>
                    <w:ind w:firstLine="0" w:firstLineChars="0"/>
                    <w:jc w:val="center"/>
                    <w:rPr>
                      <w:rFonts w:cs="宋体"/>
                      <w:bCs/>
                      <w:szCs w:val="21"/>
                      <w:lang w:bidi="ar"/>
                    </w:rPr>
                  </w:pPr>
                  <w:r>
                    <w:rPr>
                      <w:rFonts w:hint="eastAsia"/>
                      <w:kern w:val="0"/>
                      <w:szCs w:val="20"/>
                    </w:rPr>
                    <w:t>套</w:t>
                  </w:r>
                </w:p>
              </w:tc>
              <w:tc>
                <w:tcPr>
                  <w:tcW w:w="352" w:type="pct"/>
                  <w:tcMar>
                    <w:top w:w="15" w:type="dxa"/>
                    <w:left w:w="15" w:type="dxa"/>
                    <w:bottom w:w="0" w:type="dxa"/>
                    <w:right w:w="15" w:type="dxa"/>
                  </w:tcMar>
                  <w:vAlign w:val="center"/>
                </w:tcPr>
                <w:p w14:paraId="7813210C">
                  <w:pPr>
                    <w:pStyle w:val="45"/>
                    <w:spacing w:line="240" w:lineRule="auto"/>
                    <w:ind w:firstLine="0" w:firstLineChars="0"/>
                    <w:jc w:val="center"/>
                    <w:rPr>
                      <w:kern w:val="0"/>
                      <w:szCs w:val="21"/>
                      <w:lang w:bidi="ar"/>
                    </w:rPr>
                  </w:pPr>
                  <w:r>
                    <w:rPr>
                      <w:kern w:val="0"/>
                      <w:szCs w:val="20"/>
                    </w:rPr>
                    <w:t>3</w:t>
                  </w:r>
                </w:p>
              </w:tc>
              <w:tc>
                <w:tcPr>
                  <w:tcW w:w="1499" w:type="pct"/>
                  <w:tcMar>
                    <w:top w:w="15" w:type="dxa"/>
                    <w:left w:w="15" w:type="dxa"/>
                    <w:bottom w:w="0" w:type="dxa"/>
                    <w:right w:w="15" w:type="dxa"/>
                  </w:tcMar>
                  <w:vAlign w:val="center"/>
                </w:tcPr>
                <w:p w14:paraId="10E7C84B">
                  <w:pPr>
                    <w:pStyle w:val="45"/>
                    <w:spacing w:line="240" w:lineRule="auto"/>
                    <w:ind w:firstLine="0" w:firstLineChars="0"/>
                    <w:jc w:val="center"/>
                    <w:rPr>
                      <w:szCs w:val="21"/>
                    </w:rPr>
                  </w:pPr>
                </w:p>
              </w:tc>
              <w:tc>
                <w:tcPr>
                  <w:tcW w:w="1019" w:type="pct"/>
                  <w:vAlign w:val="center"/>
                </w:tcPr>
                <w:p w14:paraId="26FB8D56">
                  <w:pPr>
                    <w:pStyle w:val="45"/>
                    <w:spacing w:line="240" w:lineRule="auto"/>
                    <w:ind w:firstLine="0" w:firstLineChars="0"/>
                    <w:jc w:val="center"/>
                    <w:rPr>
                      <w:szCs w:val="21"/>
                    </w:rPr>
                  </w:pPr>
                </w:p>
              </w:tc>
            </w:tr>
            <w:tr w14:paraId="6950A518">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6969F8AB">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2175B8ED">
                  <w:pPr>
                    <w:pStyle w:val="45"/>
                    <w:spacing w:line="240" w:lineRule="auto"/>
                    <w:ind w:firstLine="0" w:firstLineChars="0"/>
                    <w:jc w:val="center"/>
                    <w:rPr>
                      <w:szCs w:val="21"/>
                    </w:rPr>
                  </w:pPr>
                  <w:r>
                    <w:rPr>
                      <w:rFonts w:hint="eastAsia"/>
                      <w:szCs w:val="21"/>
                    </w:rPr>
                    <w:t>尿素热解炉</w:t>
                  </w:r>
                </w:p>
              </w:tc>
              <w:tc>
                <w:tcPr>
                  <w:tcW w:w="353" w:type="pct"/>
                  <w:tcMar>
                    <w:top w:w="15" w:type="dxa"/>
                    <w:left w:w="15" w:type="dxa"/>
                    <w:bottom w:w="0" w:type="dxa"/>
                    <w:right w:w="15" w:type="dxa"/>
                  </w:tcMar>
                  <w:vAlign w:val="center"/>
                </w:tcPr>
                <w:p w14:paraId="3C4418CA">
                  <w:pPr>
                    <w:pStyle w:val="45"/>
                    <w:spacing w:line="240" w:lineRule="auto"/>
                    <w:ind w:firstLine="0" w:firstLineChars="0"/>
                    <w:jc w:val="center"/>
                    <w:rPr>
                      <w:kern w:val="0"/>
                      <w:szCs w:val="20"/>
                    </w:rPr>
                  </w:pPr>
                  <w:r>
                    <w:rPr>
                      <w:rFonts w:hint="eastAsia"/>
                      <w:kern w:val="0"/>
                      <w:szCs w:val="20"/>
                    </w:rPr>
                    <w:t>套</w:t>
                  </w:r>
                </w:p>
              </w:tc>
              <w:tc>
                <w:tcPr>
                  <w:tcW w:w="352" w:type="pct"/>
                  <w:tcMar>
                    <w:top w:w="15" w:type="dxa"/>
                    <w:left w:w="15" w:type="dxa"/>
                    <w:bottom w:w="0" w:type="dxa"/>
                    <w:right w:w="15" w:type="dxa"/>
                  </w:tcMar>
                  <w:vAlign w:val="center"/>
                </w:tcPr>
                <w:p w14:paraId="1B77DC2B">
                  <w:pPr>
                    <w:pStyle w:val="45"/>
                    <w:spacing w:line="240" w:lineRule="auto"/>
                    <w:ind w:firstLine="0" w:firstLineChars="0"/>
                    <w:jc w:val="center"/>
                    <w:rPr>
                      <w:kern w:val="0"/>
                      <w:szCs w:val="20"/>
                    </w:rPr>
                  </w:pPr>
                  <w:r>
                    <w:rPr>
                      <w:kern w:val="0"/>
                      <w:szCs w:val="20"/>
                    </w:rPr>
                    <w:t>3</w:t>
                  </w:r>
                </w:p>
              </w:tc>
              <w:tc>
                <w:tcPr>
                  <w:tcW w:w="1499" w:type="pct"/>
                  <w:tcMar>
                    <w:top w:w="15" w:type="dxa"/>
                    <w:left w:w="15" w:type="dxa"/>
                    <w:bottom w:w="0" w:type="dxa"/>
                    <w:right w:w="15" w:type="dxa"/>
                  </w:tcMar>
                  <w:vAlign w:val="center"/>
                </w:tcPr>
                <w:p w14:paraId="60462ED7">
                  <w:pPr>
                    <w:pStyle w:val="45"/>
                    <w:spacing w:line="240" w:lineRule="auto"/>
                    <w:ind w:firstLine="0" w:firstLineChars="0"/>
                    <w:jc w:val="center"/>
                    <w:rPr>
                      <w:szCs w:val="21"/>
                    </w:rPr>
                  </w:pPr>
                  <w:r>
                    <w:rPr>
                      <w:rFonts w:hint="eastAsia"/>
                      <w:szCs w:val="21"/>
                    </w:rPr>
                    <w:t>不锈钢</w:t>
                  </w:r>
                </w:p>
              </w:tc>
              <w:tc>
                <w:tcPr>
                  <w:tcW w:w="1019" w:type="pct"/>
                  <w:vAlign w:val="center"/>
                </w:tcPr>
                <w:p w14:paraId="7F7FEA68">
                  <w:pPr>
                    <w:pStyle w:val="45"/>
                    <w:spacing w:line="240" w:lineRule="auto"/>
                    <w:ind w:firstLine="0" w:firstLineChars="0"/>
                    <w:jc w:val="center"/>
                    <w:rPr>
                      <w:szCs w:val="21"/>
                    </w:rPr>
                  </w:pPr>
                </w:p>
              </w:tc>
            </w:tr>
            <w:tr w14:paraId="019350BD">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434A8E81">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1E49CF0B">
                  <w:pPr>
                    <w:pStyle w:val="45"/>
                    <w:spacing w:line="240" w:lineRule="auto"/>
                    <w:ind w:firstLine="0" w:firstLineChars="0"/>
                    <w:jc w:val="center"/>
                    <w:rPr>
                      <w:szCs w:val="21"/>
                    </w:rPr>
                  </w:pPr>
                  <w:r>
                    <w:rPr>
                      <w:rFonts w:hint="eastAsia"/>
                      <w:szCs w:val="21"/>
                    </w:rPr>
                    <w:t>稀释风机</w:t>
                  </w:r>
                </w:p>
              </w:tc>
              <w:tc>
                <w:tcPr>
                  <w:tcW w:w="353" w:type="pct"/>
                  <w:tcMar>
                    <w:top w:w="15" w:type="dxa"/>
                    <w:left w:w="15" w:type="dxa"/>
                    <w:bottom w:w="0" w:type="dxa"/>
                    <w:right w:w="15" w:type="dxa"/>
                  </w:tcMar>
                  <w:vAlign w:val="center"/>
                </w:tcPr>
                <w:p w14:paraId="1098AD38">
                  <w:pPr>
                    <w:pStyle w:val="45"/>
                    <w:spacing w:line="240" w:lineRule="auto"/>
                    <w:ind w:firstLine="0" w:firstLineChars="0"/>
                    <w:jc w:val="center"/>
                    <w:rPr>
                      <w:rFonts w:cs="宋体"/>
                      <w:bCs/>
                      <w:szCs w:val="21"/>
                      <w:lang w:bidi="ar"/>
                    </w:rPr>
                  </w:pPr>
                  <w:r>
                    <w:rPr>
                      <w:rFonts w:hint="eastAsia"/>
                      <w:kern w:val="0"/>
                      <w:szCs w:val="20"/>
                    </w:rPr>
                    <w:t>台</w:t>
                  </w:r>
                </w:p>
              </w:tc>
              <w:tc>
                <w:tcPr>
                  <w:tcW w:w="352" w:type="pct"/>
                  <w:tcMar>
                    <w:top w:w="15" w:type="dxa"/>
                    <w:left w:w="15" w:type="dxa"/>
                    <w:bottom w:w="0" w:type="dxa"/>
                    <w:right w:w="15" w:type="dxa"/>
                  </w:tcMar>
                  <w:vAlign w:val="center"/>
                </w:tcPr>
                <w:p w14:paraId="4C39F71D">
                  <w:pPr>
                    <w:pStyle w:val="45"/>
                    <w:spacing w:line="240" w:lineRule="auto"/>
                    <w:ind w:firstLine="0" w:firstLineChars="0"/>
                    <w:jc w:val="center"/>
                    <w:rPr>
                      <w:kern w:val="0"/>
                      <w:szCs w:val="21"/>
                      <w:lang w:bidi="ar"/>
                    </w:rPr>
                  </w:pPr>
                  <w:r>
                    <w:rPr>
                      <w:kern w:val="0"/>
                      <w:szCs w:val="20"/>
                    </w:rPr>
                    <w:t>6</w:t>
                  </w:r>
                </w:p>
              </w:tc>
              <w:tc>
                <w:tcPr>
                  <w:tcW w:w="1499" w:type="pct"/>
                  <w:tcMar>
                    <w:top w:w="15" w:type="dxa"/>
                    <w:left w:w="15" w:type="dxa"/>
                    <w:bottom w:w="0" w:type="dxa"/>
                    <w:right w:w="15" w:type="dxa"/>
                  </w:tcMar>
                  <w:vAlign w:val="center"/>
                </w:tcPr>
                <w:p w14:paraId="59AD2405">
                  <w:pPr>
                    <w:pStyle w:val="45"/>
                    <w:spacing w:line="240" w:lineRule="auto"/>
                    <w:ind w:firstLine="0" w:firstLineChars="0"/>
                    <w:jc w:val="center"/>
                    <w:rPr>
                      <w:szCs w:val="21"/>
                    </w:rPr>
                  </w:pPr>
                  <w:r>
                    <w:rPr>
                      <w:szCs w:val="21"/>
                    </w:rPr>
                    <w:t>离心风机，风量：350m</w:t>
                  </w:r>
                  <w:r>
                    <w:rPr>
                      <w:szCs w:val="21"/>
                      <w:vertAlign w:val="superscript"/>
                    </w:rPr>
                    <w:t>3</w:t>
                  </w:r>
                  <w:r>
                    <w:rPr>
                      <w:szCs w:val="21"/>
                    </w:rPr>
                    <w:t>/h，全压：8000Pa</w:t>
                  </w:r>
                </w:p>
                <w:p w14:paraId="66C9EF18">
                  <w:pPr>
                    <w:pStyle w:val="45"/>
                    <w:spacing w:line="240" w:lineRule="auto"/>
                    <w:ind w:firstLine="0" w:firstLineChars="0"/>
                    <w:jc w:val="center"/>
                    <w:rPr>
                      <w:szCs w:val="21"/>
                    </w:rPr>
                  </w:pPr>
                  <w:r>
                    <w:rPr>
                      <w:rFonts w:hint="eastAsia"/>
                      <w:szCs w:val="21"/>
                    </w:rPr>
                    <w:t>2.2kW</w:t>
                  </w:r>
                </w:p>
              </w:tc>
              <w:tc>
                <w:tcPr>
                  <w:tcW w:w="1019" w:type="pct"/>
                  <w:vAlign w:val="center"/>
                </w:tcPr>
                <w:p w14:paraId="6BE66A92">
                  <w:pPr>
                    <w:pStyle w:val="45"/>
                    <w:spacing w:line="240" w:lineRule="auto"/>
                    <w:ind w:firstLine="0" w:firstLineChars="0"/>
                    <w:jc w:val="center"/>
                    <w:rPr>
                      <w:szCs w:val="21"/>
                    </w:rPr>
                  </w:pPr>
                  <w:r>
                    <w:rPr>
                      <w:rFonts w:hint="eastAsia"/>
                      <w:szCs w:val="21"/>
                    </w:rPr>
                    <w:t>每台炉2个，1用1备</w:t>
                  </w:r>
                </w:p>
              </w:tc>
            </w:tr>
            <w:tr w14:paraId="1E53C8EE">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55FED5B3">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2C591177">
                  <w:pPr>
                    <w:pStyle w:val="45"/>
                    <w:spacing w:line="240" w:lineRule="auto"/>
                    <w:ind w:firstLine="0" w:firstLineChars="0"/>
                    <w:jc w:val="center"/>
                    <w:rPr>
                      <w:szCs w:val="21"/>
                    </w:rPr>
                  </w:pPr>
                  <w:r>
                    <w:rPr>
                      <w:rFonts w:hint="eastAsia"/>
                      <w:szCs w:val="21"/>
                    </w:rPr>
                    <w:t>SCR反应器壳体</w:t>
                  </w:r>
                </w:p>
              </w:tc>
              <w:tc>
                <w:tcPr>
                  <w:tcW w:w="353" w:type="pct"/>
                  <w:tcMar>
                    <w:top w:w="15" w:type="dxa"/>
                    <w:left w:w="15" w:type="dxa"/>
                    <w:bottom w:w="0" w:type="dxa"/>
                    <w:right w:w="15" w:type="dxa"/>
                  </w:tcMar>
                  <w:vAlign w:val="center"/>
                </w:tcPr>
                <w:p w14:paraId="6FFFC91C">
                  <w:pPr>
                    <w:pStyle w:val="45"/>
                    <w:spacing w:line="240" w:lineRule="auto"/>
                    <w:ind w:firstLine="0" w:firstLineChars="0"/>
                    <w:jc w:val="center"/>
                    <w:rPr>
                      <w:kern w:val="0"/>
                      <w:szCs w:val="20"/>
                    </w:rPr>
                  </w:pPr>
                  <w:r>
                    <w:rPr>
                      <w:rFonts w:hint="eastAsia"/>
                      <w:kern w:val="0"/>
                      <w:szCs w:val="20"/>
                    </w:rPr>
                    <w:t>台</w:t>
                  </w:r>
                </w:p>
              </w:tc>
              <w:tc>
                <w:tcPr>
                  <w:tcW w:w="352" w:type="pct"/>
                  <w:tcMar>
                    <w:top w:w="15" w:type="dxa"/>
                    <w:left w:w="15" w:type="dxa"/>
                    <w:bottom w:w="0" w:type="dxa"/>
                    <w:right w:w="15" w:type="dxa"/>
                  </w:tcMar>
                  <w:vAlign w:val="center"/>
                </w:tcPr>
                <w:p w14:paraId="42D330EE">
                  <w:pPr>
                    <w:pStyle w:val="45"/>
                    <w:spacing w:line="240" w:lineRule="auto"/>
                    <w:ind w:firstLine="0" w:firstLineChars="0"/>
                    <w:jc w:val="center"/>
                    <w:rPr>
                      <w:kern w:val="0"/>
                      <w:szCs w:val="20"/>
                    </w:rPr>
                  </w:pPr>
                  <w:r>
                    <w:rPr>
                      <w:rFonts w:hint="eastAsia"/>
                      <w:kern w:val="0"/>
                      <w:szCs w:val="20"/>
                    </w:rPr>
                    <w:t>3</w:t>
                  </w:r>
                </w:p>
              </w:tc>
              <w:tc>
                <w:tcPr>
                  <w:tcW w:w="1499" w:type="pct"/>
                  <w:tcMar>
                    <w:top w:w="15" w:type="dxa"/>
                    <w:left w:w="15" w:type="dxa"/>
                    <w:bottom w:w="0" w:type="dxa"/>
                    <w:right w:w="15" w:type="dxa"/>
                  </w:tcMar>
                  <w:vAlign w:val="center"/>
                </w:tcPr>
                <w:p w14:paraId="3B08FABF">
                  <w:pPr>
                    <w:pStyle w:val="45"/>
                    <w:spacing w:line="240" w:lineRule="auto"/>
                    <w:ind w:firstLine="0" w:firstLineChars="0"/>
                    <w:jc w:val="center"/>
                    <w:rPr>
                      <w:szCs w:val="21"/>
                    </w:rPr>
                  </w:pPr>
                  <w:r>
                    <w:rPr>
                      <w:rFonts w:hint="eastAsia"/>
                      <w:szCs w:val="21"/>
                    </w:rPr>
                    <w:t>尺寸：2000*2000*6500</w:t>
                  </w:r>
                </w:p>
              </w:tc>
              <w:tc>
                <w:tcPr>
                  <w:tcW w:w="1019" w:type="pct"/>
                  <w:vAlign w:val="center"/>
                </w:tcPr>
                <w:p w14:paraId="62883485">
                  <w:pPr>
                    <w:pStyle w:val="45"/>
                    <w:spacing w:line="240" w:lineRule="auto"/>
                    <w:ind w:firstLine="0" w:firstLineChars="0"/>
                    <w:jc w:val="center"/>
                    <w:rPr>
                      <w:szCs w:val="21"/>
                    </w:rPr>
                  </w:pPr>
                </w:p>
              </w:tc>
            </w:tr>
            <w:tr w14:paraId="17057145">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3C710729">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572C7BF2">
                  <w:pPr>
                    <w:pStyle w:val="45"/>
                    <w:spacing w:line="240" w:lineRule="auto"/>
                    <w:ind w:firstLine="0" w:firstLineChars="0"/>
                    <w:jc w:val="center"/>
                    <w:rPr>
                      <w:szCs w:val="21"/>
                    </w:rPr>
                  </w:pPr>
                  <w:r>
                    <w:rPr>
                      <w:rFonts w:hint="eastAsia"/>
                      <w:szCs w:val="21"/>
                    </w:rPr>
                    <w:t>催化剂支撑</w:t>
                  </w:r>
                </w:p>
              </w:tc>
              <w:tc>
                <w:tcPr>
                  <w:tcW w:w="353" w:type="pct"/>
                  <w:tcMar>
                    <w:top w:w="15" w:type="dxa"/>
                    <w:left w:w="15" w:type="dxa"/>
                    <w:bottom w:w="0" w:type="dxa"/>
                    <w:right w:w="15" w:type="dxa"/>
                  </w:tcMar>
                  <w:vAlign w:val="center"/>
                </w:tcPr>
                <w:p w14:paraId="609BDAC3">
                  <w:pPr>
                    <w:pStyle w:val="45"/>
                    <w:spacing w:line="240" w:lineRule="auto"/>
                    <w:ind w:firstLine="0" w:firstLineChars="0"/>
                    <w:jc w:val="center"/>
                    <w:rPr>
                      <w:kern w:val="0"/>
                      <w:szCs w:val="20"/>
                    </w:rPr>
                  </w:pPr>
                  <w:r>
                    <w:rPr>
                      <w:rFonts w:hint="eastAsia"/>
                      <w:kern w:val="0"/>
                      <w:szCs w:val="20"/>
                    </w:rPr>
                    <w:t>套</w:t>
                  </w:r>
                </w:p>
              </w:tc>
              <w:tc>
                <w:tcPr>
                  <w:tcW w:w="352" w:type="pct"/>
                  <w:tcMar>
                    <w:top w:w="15" w:type="dxa"/>
                    <w:left w:w="15" w:type="dxa"/>
                    <w:bottom w:w="0" w:type="dxa"/>
                    <w:right w:w="15" w:type="dxa"/>
                  </w:tcMar>
                  <w:vAlign w:val="center"/>
                </w:tcPr>
                <w:p w14:paraId="5624619A">
                  <w:pPr>
                    <w:pStyle w:val="45"/>
                    <w:spacing w:line="240" w:lineRule="auto"/>
                    <w:ind w:firstLine="0" w:firstLineChars="0"/>
                    <w:jc w:val="center"/>
                    <w:rPr>
                      <w:kern w:val="0"/>
                      <w:szCs w:val="20"/>
                    </w:rPr>
                  </w:pPr>
                  <w:r>
                    <w:rPr>
                      <w:rFonts w:hint="eastAsia"/>
                      <w:kern w:val="0"/>
                      <w:szCs w:val="20"/>
                    </w:rPr>
                    <w:t>3</w:t>
                  </w:r>
                </w:p>
              </w:tc>
              <w:tc>
                <w:tcPr>
                  <w:tcW w:w="1499" w:type="pct"/>
                  <w:tcMar>
                    <w:top w:w="15" w:type="dxa"/>
                    <w:left w:w="15" w:type="dxa"/>
                    <w:bottom w:w="0" w:type="dxa"/>
                    <w:right w:w="15" w:type="dxa"/>
                  </w:tcMar>
                  <w:vAlign w:val="center"/>
                </w:tcPr>
                <w:p w14:paraId="4CC126F6">
                  <w:pPr>
                    <w:pStyle w:val="45"/>
                    <w:spacing w:line="240" w:lineRule="auto"/>
                    <w:ind w:firstLine="0" w:firstLineChars="0"/>
                    <w:jc w:val="center"/>
                    <w:rPr>
                      <w:szCs w:val="21"/>
                    </w:rPr>
                  </w:pPr>
                  <w:r>
                    <w:rPr>
                      <w:rFonts w:hint="eastAsia"/>
                      <w:szCs w:val="21"/>
                    </w:rPr>
                    <w:t>材质：Q355</w:t>
                  </w:r>
                </w:p>
              </w:tc>
              <w:tc>
                <w:tcPr>
                  <w:tcW w:w="1019" w:type="pct"/>
                  <w:vAlign w:val="center"/>
                </w:tcPr>
                <w:p w14:paraId="2900994A">
                  <w:pPr>
                    <w:pStyle w:val="45"/>
                    <w:spacing w:line="240" w:lineRule="auto"/>
                    <w:ind w:firstLine="0" w:firstLineChars="0"/>
                    <w:jc w:val="center"/>
                    <w:rPr>
                      <w:szCs w:val="21"/>
                    </w:rPr>
                  </w:pPr>
                </w:p>
              </w:tc>
            </w:tr>
            <w:tr w14:paraId="7377F282">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4000883A">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6F76F142">
                  <w:pPr>
                    <w:pStyle w:val="45"/>
                    <w:spacing w:line="240" w:lineRule="auto"/>
                    <w:ind w:firstLine="0" w:firstLineChars="0"/>
                    <w:jc w:val="center"/>
                    <w:rPr>
                      <w:szCs w:val="21"/>
                    </w:rPr>
                  </w:pPr>
                  <w:r>
                    <w:rPr>
                      <w:rFonts w:hint="eastAsia"/>
                      <w:szCs w:val="21"/>
                    </w:rPr>
                    <w:t>整流格栅</w:t>
                  </w:r>
                </w:p>
              </w:tc>
              <w:tc>
                <w:tcPr>
                  <w:tcW w:w="353" w:type="pct"/>
                  <w:tcMar>
                    <w:top w:w="15" w:type="dxa"/>
                    <w:left w:w="15" w:type="dxa"/>
                    <w:bottom w:w="0" w:type="dxa"/>
                    <w:right w:w="15" w:type="dxa"/>
                  </w:tcMar>
                  <w:vAlign w:val="center"/>
                </w:tcPr>
                <w:p w14:paraId="41126929">
                  <w:pPr>
                    <w:pStyle w:val="45"/>
                    <w:spacing w:line="240" w:lineRule="auto"/>
                    <w:ind w:firstLine="0" w:firstLineChars="0"/>
                    <w:jc w:val="center"/>
                    <w:rPr>
                      <w:kern w:val="0"/>
                      <w:szCs w:val="20"/>
                    </w:rPr>
                  </w:pPr>
                  <w:r>
                    <w:rPr>
                      <w:rFonts w:hint="eastAsia"/>
                      <w:kern w:val="0"/>
                      <w:szCs w:val="20"/>
                    </w:rPr>
                    <w:t>套</w:t>
                  </w:r>
                </w:p>
              </w:tc>
              <w:tc>
                <w:tcPr>
                  <w:tcW w:w="352" w:type="pct"/>
                  <w:tcMar>
                    <w:top w:w="15" w:type="dxa"/>
                    <w:left w:w="15" w:type="dxa"/>
                    <w:bottom w:w="0" w:type="dxa"/>
                    <w:right w:w="15" w:type="dxa"/>
                  </w:tcMar>
                  <w:vAlign w:val="center"/>
                </w:tcPr>
                <w:p w14:paraId="7A593138">
                  <w:pPr>
                    <w:pStyle w:val="45"/>
                    <w:spacing w:line="240" w:lineRule="auto"/>
                    <w:ind w:firstLine="0" w:firstLineChars="0"/>
                    <w:jc w:val="center"/>
                    <w:rPr>
                      <w:kern w:val="0"/>
                      <w:szCs w:val="20"/>
                    </w:rPr>
                  </w:pPr>
                  <w:r>
                    <w:rPr>
                      <w:rFonts w:hint="eastAsia"/>
                      <w:kern w:val="0"/>
                      <w:szCs w:val="20"/>
                    </w:rPr>
                    <w:t>3</w:t>
                  </w:r>
                </w:p>
              </w:tc>
              <w:tc>
                <w:tcPr>
                  <w:tcW w:w="1499" w:type="pct"/>
                  <w:tcMar>
                    <w:top w:w="15" w:type="dxa"/>
                    <w:left w:w="15" w:type="dxa"/>
                    <w:bottom w:w="0" w:type="dxa"/>
                    <w:right w:w="15" w:type="dxa"/>
                  </w:tcMar>
                  <w:vAlign w:val="center"/>
                </w:tcPr>
                <w:p w14:paraId="4AC21DB1">
                  <w:pPr>
                    <w:pStyle w:val="45"/>
                    <w:spacing w:line="240" w:lineRule="auto"/>
                    <w:ind w:firstLine="0" w:firstLineChars="0"/>
                    <w:jc w:val="center"/>
                    <w:rPr>
                      <w:szCs w:val="21"/>
                    </w:rPr>
                  </w:pPr>
                  <w:r>
                    <w:rPr>
                      <w:rFonts w:hint="eastAsia"/>
                      <w:szCs w:val="21"/>
                    </w:rPr>
                    <w:t>材质：Q355</w:t>
                  </w:r>
                </w:p>
              </w:tc>
              <w:tc>
                <w:tcPr>
                  <w:tcW w:w="1019" w:type="pct"/>
                  <w:vAlign w:val="center"/>
                </w:tcPr>
                <w:p w14:paraId="13F9DBF5">
                  <w:pPr>
                    <w:pStyle w:val="45"/>
                    <w:spacing w:line="240" w:lineRule="auto"/>
                    <w:ind w:firstLine="0" w:firstLineChars="0"/>
                    <w:jc w:val="center"/>
                    <w:rPr>
                      <w:szCs w:val="21"/>
                    </w:rPr>
                  </w:pPr>
                </w:p>
              </w:tc>
            </w:tr>
            <w:tr w14:paraId="61B82795">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4CF90A8E">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0916B7BD">
                  <w:pPr>
                    <w:pStyle w:val="45"/>
                    <w:spacing w:line="240" w:lineRule="auto"/>
                    <w:ind w:firstLine="0" w:firstLineChars="0"/>
                    <w:jc w:val="center"/>
                    <w:rPr>
                      <w:szCs w:val="21"/>
                    </w:rPr>
                  </w:pPr>
                  <w:r>
                    <w:rPr>
                      <w:rFonts w:hint="eastAsia"/>
                      <w:szCs w:val="21"/>
                    </w:rPr>
                    <w:t>催化剂</w:t>
                  </w:r>
                </w:p>
              </w:tc>
              <w:tc>
                <w:tcPr>
                  <w:tcW w:w="353" w:type="pct"/>
                  <w:tcMar>
                    <w:top w:w="15" w:type="dxa"/>
                    <w:left w:w="15" w:type="dxa"/>
                    <w:bottom w:w="0" w:type="dxa"/>
                    <w:right w:w="15" w:type="dxa"/>
                  </w:tcMar>
                  <w:vAlign w:val="center"/>
                </w:tcPr>
                <w:p w14:paraId="47939272">
                  <w:pPr>
                    <w:pStyle w:val="45"/>
                    <w:spacing w:line="240" w:lineRule="auto"/>
                    <w:ind w:firstLine="0" w:firstLineChars="0"/>
                    <w:jc w:val="center"/>
                    <w:rPr>
                      <w:kern w:val="0"/>
                      <w:szCs w:val="20"/>
                    </w:rPr>
                  </w:pPr>
                  <w:r>
                    <w:rPr>
                      <w:rFonts w:hint="eastAsia"/>
                      <w:kern w:val="0"/>
                      <w:szCs w:val="20"/>
                    </w:rPr>
                    <w:t>层</w:t>
                  </w:r>
                </w:p>
              </w:tc>
              <w:tc>
                <w:tcPr>
                  <w:tcW w:w="352" w:type="pct"/>
                  <w:tcMar>
                    <w:top w:w="15" w:type="dxa"/>
                    <w:left w:w="15" w:type="dxa"/>
                    <w:bottom w:w="0" w:type="dxa"/>
                    <w:right w:w="15" w:type="dxa"/>
                  </w:tcMar>
                  <w:vAlign w:val="center"/>
                </w:tcPr>
                <w:p w14:paraId="0365EF84">
                  <w:pPr>
                    <w:pStyle w:val="45"/>
                    <w:spacing w:line="240" w:lineRule="auto"/>
                    <w:ind w:firstLine="0" w:firstLineChars="0"/>
                    <w:jc w:val="center"/>
                    <w:rPr>
                      <w:kern w:val="0"/>
                      <w:szCs w:val="20"/>
                    </w:rPr>
                  </w:pPr>
                  <w:r>
                    <w:rPr>
                      <w:rFonts w:hint="eastAsia"/>
                      <w:kern w:val="0"/>
                      <w:szCs w:val="20"/>
                    </w:rPr>
                    <w:t>6</w:t>
                  </w:r>
                </w:p>
              </w:tc>
              <w:tc>
                <w:tcPr>
                  <w:tcW w:w="1499" w:type="pct"/>
                  <w:tcMar>
                    <w:top w:w="15" w:type="dxa"/>
                    <w:left w:w="15" w:type="dxa"/>
                    <w:bottom w:w="0" w:type="dxa"/>
                    <w:right w:w="15" w:type="dxa"/>
                  </w:tcMar>
                  <w:vAlign w:val="center"/>
                </w:tcPr>
                <w:p w14:paraId="78A25518">
                  <w:pPr>
                    <w:pStyle w:val="45"/>
                    <w:spacing w:line="240" w:lineRule="auto"/>
                    <w:ind w:firstLine="0" w:firstLineChars="0"/>
                    <w:jc w:val="center"/>
                    <w:rPr>
                      <w:szCs w:val="21"/>
                    </w:rPr>
                  </w:pPr>
                  <w:r>
                    <w:rPr>
                      <w:szCs w:val="21"/>
                    </w:rPr>
                    <w:t>蜂窝式催化剂，主要成分：TiO2、V2O5、WO3等，含密封装置</w:t>
                  </w:r>
                </w:p>
              </w:tc>
              <w:tc>
                <w:tcPr>
                  <w:tcW w:w="1019" w:type="pct"/>
                  <w:vAlign w:val="center"/>
                </w:tcPr>
                <w:p w14:paraId="06A77820">
                  <w:pPr>
                    <w:pStyle w:val="45"/>
                    <w:spacing w:line="240" w:lineRule="auto"/>
                    <w:ind w:firstLine="0" w:firstLineChars="0"/>
                    <w:jc w:val="center"/>
                    <w:rPr>
                      <w:szCs w:val="21"/>
                    </w:rPr>
                  </w:pPr>
                </w:p>
              </w:tc>
            </w:tr>
            <w:tr w14:paraId="59B7C144">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529EE6BA">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3506502D">
                  <w:pPr>
                    <w:pStyle w:val="45"/>
                    <w:spacing w:line="240" w:lineRule="auto"/>
                    <w:ind w:firstLine="0" w:firstLineChars="0"/>
                    <w:jc w:val="center"/>
                    <w:rPr>
                      <w:szCs w:val="21"/>
                    </w:rPr>
                  </w:pPr>
                  <w:r>
                    <w:rPr>
                      <w:rFonts w:hint="eastAsia"/>
                      <w:szCs w:val="21"/>
                    </w:rPr>
                    <w:t>旋风除尘器</w:t>
                  </w:r>
                </w:p>
              </w:tc>
              <w:tc>
                <w:tcPr>
                  <w:tcW w:w="353" w:type="pct"/>
                  <w:tcMar>
                    <w:top w:w="15" w:type="dxa"/>
                    <w:left w:w="15" w:type="dxa"/>
                    <w:bottom w:w="0" w:type="dxa"/>
                    <w:right w:w="15" w:type="dxa"/>
                  </w:tcMar>
                  <w:vAlign w:val="center"/>
                </w:tcPr>
                <w:p w14:paraId="4E3EA9AF">
                  <w:pPr>
                    <w:pStyle w:val="45"/>
                    <w:spacing w:line="240" w:lineRule="auto"/>
                    <w:ind w:firstLine="0" w:firstLineChars="0"/>
                    <w:jc w:val="center"/>
                    <w:rPr>
                      <w:rFonts w:cs="宋体"/>
                      <w:bCs/>
                      <w:szCs w:val="21"/>
                      <w:lang w:bidi="ar"/>
                    </w:rPr>
                  </w:pPr>
                  <w:r>
                    <w:rPr>
                      <w:rFonts w:hint="eastAsia" w:cs="宋体"/>
                      <w:bCs/>
                      <w:szCs w:val="21"/>
                      <w:lang w:bidi="ar"/>
                    </w:rPr>
                    <w:t>台</w:t>
                  </w:r>
                </w:p>
              </w:tc>
              <w:tc>
                <w:tcPr>
                  <w:tcW w:w="352" w:type="pct"/>
                  <w:tcMar>
                    <w:top w:w="15" w:type="dxa"/>
                    <w:left w:w="15" w:type="dxa"/>
                    <w:bottom w:w="0" w:type="dxa"/>
                    <w:right w:w="15" w:type="dxa"/>
                  </w:tcMar>
                  <w:vAlign w:val="center"/>
                </w:tcPr>
                <w:p w14:paraId="55008886">
                  <w:pPr>
                    <w:pStyle w:val="45"/>
                    <w:spacing w:line="240" w:lineRule="auto"/>
                    <w:ind w:firstLine="0" w:firstLineChars="0"/>
                    <w:jc w:val="center"/>
                    <w:rPr>
                      <w:kern w:val="0"/>
                      <w:szCs w:val="21"/>
                      <w:lang w:bidi="ar"/>
                    </w:rPr>
                  </w:pPr>
                  <w:r>
                    <w:rPr>
                      <w:rFonts w:hint="eastAsia" w:cs="宋体"/>
                      <w:bCs/>
                      <w:szCs w:val="21"/>
                      <w:lang w:bidi="ar"/>
                    </w:rPr>
                    <w:t>3</w:t>
                  </w:r>
                </w:p>
              </w:tc>
              <w:tc>
                <w:tcPr>
                  <w:tcW w:w="1499" w:type="pct"/>
                  <w:tcMar>
                    <w:top w:w="15" w:type="dxa"/>
                    <w:left w:w="15" w:type="dxa"/>
                    <w:bottom w:w="0" w:type="dxa"/>
                    <w:right w:w="15" w:type="dxa"/>
                  </w:tcMar>
                  <w:vAlign w:val="center"/>
                </w:tcPr>
                <w:p w14:paraId="10825061">
                  <w:pPr>
                    <w:pStyle w:val="45"/>
                    <w:spacing w:line="240" w:lineRule="auto"/>
                    <w:ind w:firstLine="0" w:firstLineChars="0"/>
                    <w:jc w:val="center"/>
                    <w:rPr>
                      <w:szCs w:val="21"/>
                    </w:rPr>
                  </w:pPr>
                  <w:r>
                    <w:rPr>
                      <w:szCs w:val="21"/>
                    </w:rPr>
                    <w:t>XJD/G—20</w:t>
                  </w:r>
                </w:p>
              </w:tc>
              <w:tc>
                <w:tcPr>
                  <w:tcW w:w="1019" w:type="pct"/>
                  <w:vAlign w:val="center"/>
                </w:tcPr>
                <w:p w14:paraId="72524897">
                  <w:pPr>
                    <w:pStyle w:val="45"/>
                    <w:spacing w:line="240" w:lineRule="auto"/>
                    <w:ind w:firstLine="0" w:firstLineChars="0"/>
                    <w:jc w:val="center"/>
                    <w:rPr>
                      <w:szCs w:val="21"/>
                    </w:rPr>
                  </w:pPr>
                </w:p>
              </w:tc>
            </w:tr>
            <w:tr w14:paraId="5440CF44">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68D3CBBA">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203B8DFE">
                  <w:pPr>
                    <w:pStyle w:val="45"/>
                    <w:spacing w:line="240" w:lineRule="auto"/>
                    <w:ind w:firstLine="0" w:firstLineChars="0"/>
                    <w:jc w:val="center"/>
                    <w:rPr>
                      <w:szCs w:val="21"/>
                    </w:rPr>
                  </w:pPr>
                  <w:r>
                    <w:rPr>
                      <w:rFonts w:hint="eastAsia"/>
                      <w:szCs w:val="21"/>
                    </w:rPr>
                    <w:t>布袋除尘器</w:t>
                  </w:r>
                </w:p>
              </w:tc>
              <w:tc>
                <w:tcPr>
                  <w:tcW w:w="353" w:type="pct"/>
                  <w:tcMar>
                    <w:top w:w="15" w:type="dxa"/>
                    <w:left w:w="15" w:type="dxa"/>
                    <w:bottom w:w="0" w:type="dxa"/>
                    <w:right w:w="15" w:type="dxa"/>
                  </w:tcMar>
                  <w:vAlign w:val="center"/>
                </w:tcPr>
                <w:p w14:paraId="27C30093">
                  <w:pPr>
                    <w:pStyle w:val="45"/>
                    <w:spacing w:line="240" w:lineRule="auto"/>
                    <w:ind w:firstLine="0" w:firstLineChars="0"/>
                    <w:jc w:val="center"/>
                    <w:rPr>
                      <w:rFonts w:cs="宋体"/>
                      <w:bCs/>
                      <w:szCs w:val="21"/>
                      <w:lang w:bidi="ar"/>
                    </w:rPr>
                  </w:pPr>
                  <w:r>
                    <w:rPr>
                      <w:rFonts w:hint="eastAsia" w:cs="宋体"/>
                      <w:bCs/>
                      <w:szCs w:val="21"/>
                      <w:lang w:bidi="ar"/>
                    </w:rPr>
                    <w:t>台</w:t>
                  </w:r>
                </w:p>
              </w:tc>
              <w:tc>
                <w:tcPr>
                  <w:tcW w:w="352" w:type="pct"/>
                  <w:tcMar>
                    <w:top w:w="15" w:type="dxa"/>
                    <w:left w:w="15" w:type="dxa"/>
                    <w:bottom w:w="0" w:type="dxa"/>
                    <w:right w:w="15" w:type="dxa"/>
                  </w:tcMar>
                  <w:vAlign w:val="center"/>
                </w:tcPr>
                <w:p w14:paraId="7EF9BCD3">
                  <w:pPr>
                    <w:pStyle w:val="45"/>
                    <w:spacing w:line="240" w:lineRule="auto"/>
                    <w:ind w:firstLine="0" w:firstLineChars="0"/>
                    <w:jc w:val="center"/>
                    <w:rPr>
                      <w:kern w:val="0"/>
                      <w:szCs w:val="21"/>
                      <w:lang w:bidi="ar"/>
                    </w:rPr>
                  </w:pPr>
                  <w:r>
                    <w:rPr>
                      <w:rFonts w:hint="eastAsia" w:cs="宋体"/>
                      <w:bCs/>
                      <w:szCs w:val="21"/>
                      <w:lang w:bidi="ar"/>
                    </w:rPr>
                    <w:t>3</w:t>
                  </w:r>
                </w:p>
              </w:tc>
              <w:tc>
                <w:tcPr>
                  <w:tcW w:w="1499" w:type="pct"/>
                  <w:tcMar>
                    <w:top w:w="15" w:type="dxa"/>
                    <w:left w:w="15" w:type="dxa"/>
                    <w:bottom w:w="0" w:type="dxa"/>
                    <w:right w:w="15" w:type="dxa"/>
                  </w:tcMar>
                  <w:vAlign w:val="center"/>
                </w:tcPr>
                <w:p w14:paraId="4DCDD80C">
                  <w:pPr>
                    <w:pStyle w:val="45"/>
                    <w:spacing w:line="240" w:lineRule="auto"/>
                    <w:ind w:firstLine="0" w:firstLineChars="0"/>
                    <w:jc w:val="center"/>
                    <w:rPr>
                      <w:szCs w:val="21"/>
                    </w:rPr>
                  </w:pPr>
                </w:p>
              </w:tc>
              <w:tc>
                <w:tcPr>
                  <w:tcW w:w="1019" w:type="pct"/>
                  <w:vAlign w:val="center"/>
                </w:tcPr>
                <w:p w14:paraId="6CE625B0">
                  <w:pPr>
                    <w:pStyle w:val="45"/>
                    <w:spacing w:line="240" w:lineRule="auto"/>
                    <w:ind w:firstLine="0" w:firstLineChars="0"/>
                    <w:jc w:val="center"/>
                    <w:rPr>
                      <w:szCs w:val="21"/>
                    </w:rPr>
                  </w:pPr>
                </w:p>
              </w:tc>
            </w:tr>
            <w:tr w14:paraId="4BF2BA32">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3B6FEE76">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501BFF01">
                  <w:pPr>
                    <w:pStyle w:val="45"/>
                    <w:spacing w:line="240" w:lineRule="auto"/>
                    <w:ind w:firstLine="0" w:firstLineChars="0"/>
                    <w:jc w:val="center"/>
                    <w:rPr>
                      <w:szCs w:val="21"/>
                    </w:rPr>
                  </w:pPr>
                  <w:r>
                    <w:rPr>
                      <w:rFonts w:hint="eastAsia"/>
                      <w:szCs w:val="21"/>
                    </w:rPr>
                    <w:t>玻璃钢脱硫塔</w:t>
                  </w:r>
                </w:p>
              </w:tc>
              <w:tc>
                <w:tcPr>
                  <w:tcW w:w="353" w:type="pct"/>
                  <w:tcMar>
                    <w:top w:w="15" w:type="dxa"/>
                    <w:left w:w="15" w:type="dxa"/>
                    <w:bottom w:w="0" w:type="dxa"/>
                    <w:right w:w="15" w:type="dxa"/>
                  </w:tcMar>
                  <w:vAlign w:val="center"/>
                </w:tcPr>
                <w:p w14:paraId="5D12B6E8">
                  <w:pPr>
                    <w:pStyle w:val="45"/>
                    <w:spacing w:line="240" w:lineRule="auto"/>
                    <w:ind w:firstLine="0" w:firstLineChars="0"/>
                    <w:jc w:val="center"/>
                    <w:rPr>
                      <w:rFonts w:cs="宋体"/>
                      <w:bCs/>
                      <w:szCs w:val="21"/>
                      <w:lang w:bidi="ar"/>
                    </w:rPr>
                  </w:pPr>
                  <w:r>
                    <w:rPr>
                      <w:rFonts w:hint="eastAsia" w:cs="宋体"/>
                      <w:bCs/>
                      <w:szCs w:val="21"/>
                      <w:lang w:bidi="ar"/>
                    </w:rPr>
                    <w:t>台</w:t>
                  </w:r>
                </w:p>
              </w:tc>
              <w:tc>
                <w:tcPr>
                  <w:tcW w:w="352" w:type="pct"/>
                  <w:tcMar>
                    <w:top w:w="15" w:type="dxa"/>
                    <w:left w:w="15" w:type="dxa"/>
                    <w:bottom w:w="0" w:type="dxa"/>
                    <w:right w:w="15" w:type="dxa"/>
                  </w:tcMar>
                  <w:vAlign w:val="center"/>
                </w:tcPr>
                <w:p w14:paraId="31FFD18D">
                  <w:pPr>
                    <w:pStyle w:val="45"/>
                    <w:spacing w:line="240" w:lineRule="auto"/>
                    <w:ind w:firstLine="0" w:firstLineChars="0"/>
                    <w:jc w:val="center"/>
                    <w:rPr>
                      <w:kern w:val="0"/>
                      <w:szCs w:val="21"/>
                      <w:lang w:bidi="ar"/>
                    </w:rPr>
                  </w:pPr>
                  <w:r>
                    <w:rPr>
                      <w:rFonts w:hint="eastAsia" w:cs="宋体"/>
                      <w:bCs/>
                      <w:szCs w:val="21"/>
                      <w:lang w:bidi="ar"/>
                    </w:rPr>
                    <w:t>1</w:t>
                  </w:r>
                </w:p>
              </w:tc>
              <w:tc>
                <w:tcPr>
                  <w:tcW w:w="1499" w:type="pct"/>
                  <w:tcMar>
                    <w:top w:w="15" w:type="dxa"/>
                    <w:left w:w="15" w:type="dxa"/>
                    <w:bottom w:w="0" w:type="dxa"/>
                    <w:right w:w="15" w:type="dxa"/>
                  </w:tcMar>
                  <w:vAlign w:val="center"/>
                </w:tcPr>
                <w:p w14:paraId="3E16DDF2">
                  <w:pPr>
                    <w:pStyle w:val="45"/>
                    <w:spacing w:line="240" w:lineRule="auto"/>
                    <w:ind w:firstLine="0" w:firstLineChars="0"/>
                    <w:jc w:val="center"/>
                    <w:rPr>
                      <w:szCs w:val="21"/>
                    </w:rPr>
                  </w:pPr>
                  <w:r>
                    <w:rPr>
                      <w:rFonts w:hint="eastAsia"/>
                      <w:szCs w:val="21"/>
                    </w:rPr>
                    <w:t>CCT-60烟气处理量180000m</w:t>
                  </w:r>
                  <w:r>
                    <w:rPr>
                      <w:rFonts w:hint="eastAsia"/>
                      <w:szCs w:val="21"/>
                      <w:vertAlign w:val="superscript"/>
                    </w:rPr>
                    <w:t>3</w:t>
                  </w:r>
                  <w:r>
                    <w:rPr>
                      <w:rFonts w:hint="eastAsia"/>
                      <w:szCs w:val="21"/>
                    </w:rPr>
                    <w:t>/h，直径DN4000，H19m</w:t>
                  </w:r>
                </w:p>
              </w:tc>
              <w:tc>
                <w:tcPr>
                  <w:tcW w:w="1019" w:type="pct"/>
                  <w:vMerge w:val="restart"/>
                  <w:vAlign w:val="center"/>
                </w:tcPr>
                <w:p w14:paraId="0E4D70F2">
                  <w:pPr>
                    <w:pStyle w:val="45"/>
                    <w:spacing w:line="240" w:lineRule="auto"/>
                    <w:ind w:firstLine="0" w:firstLineChars="0"/>
                    <w:jc w:val="center"/>
                    <w:rPr>
                      <w:szCs w:val="21"/>
                    </w:rPr>
                  </w:pPr>
                  <w:r>
                    <w:rPr>
                      <w:rFonts w:hint="eastAsia"/>
                      <w:szCs w:val="21"/>
                    </w:rPr>
                    <w:t>1用1备</w:t>
                  </w:r>
                </w:p>
              </w:tc>
            </w:tr>
            <w:tr w14:paraId="00FFB511">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605F30D6">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3EE16C5E">
                  <w:pPr>
                    <w:pStyle w:val="45"/>
                    <w:spacing w:line="240" w:lineRule="auto"/>
                    <w:ind w:firstLine="0" w:firstLineChars="0"/>
                    <w:jc w:val="center"/>
                    <w:rPr>
                      <w:szCs w:val="21"/>
                    </w:rPr>
                  </w:pPr>
                  <w:r>
                    <w:rPr>
                      <w:rFonts w:hint="eastAsia"/>
                      <w:szCs w:val="21"/>
                    </w:rPr>
                    <w:t>玻璃钢脱硫塔</w:t>
                  </w:r>
                </w:p>
              </w:tc>
              <w:tc>
                <w:tcPr>
                  <w:tcW w:w="353" w:type="pct"/>
                  <w:tcMar>
                    <w:top w:w="15" w:type="dxa"/>
                    <w:left w:w="15" w:type="dxa"/>
                    <w:bottom w:w="0" w:type="dxa"/>
                    <w:right w:w="15" w:type="dxa"/>
                  </w:tcMar>
                  <w:vAlign w:val="center"/>
                </w:tcPr>
                <w:p w14:paraId="690717D4">
                  <w:pPr>
                    <w:pStyle w:val="45"/>
                    <w:spacing w:line="240" w:lineRule="auto"/>
                    <w:ind w:firstLine="0" w:firstLineChars="0"/>
                    <w:jc w:val="center"/>
                    <w:rPr>
                      <w:rFonts w:cs="宋体"/>
                      <w:bCs/>
                      <w:szCs w:val="21"/>
                      <w:lang w:bidi="ar"/>
                    </w:rPr>
                  </w:pPr>
                  <w:r>
                    <w:rPr>
                      <w:rFonts w:hint="eastAsia" w:cs="宋体"/>
                      <w:bCs/>
                      <w:szCs w:val="21"/>
                      <w:lang w:bidi="ar"/>
                    </w:rPr>
                    <w:t>台</w:t>
                  </w:r>
                </w:p>
              </w:tc>
              <w:tc>
                <w:tcPr>
                  <w:tcW w:w="352" w:type="pct"/>
                  <w:tcMar>
                    <w:top w:w="15" w:type="dxa"/>
                    <w:left w:w="15" w:type="dxa"/>
                    <w:bottom w:w="0" w:type="dxa"/>
                    <w:right w:w="15" w:type="dxa"/>
                  </w:tcMar>
                  <w:vAlign w:val="center"/>
                </w:tcPr>
                <w:p w14:paraId="502A1D5F">
                  <w:pPr>
                    <w:pStyle w:val="45"/>
                    <w:spacing w:line="240" w:lineRule="auto"/>
                    <w:ind w:firstLine="0" w:firstLineChars="0"/>
                    <w:jc w:val="center"/>
                    <w:rPr>
                      <w:rFonts w:cs="宋体"/>
                      <w:bCs/>
                      <w:szCs w:val="21"/>
                      <w:lang w:bidi="ar"/>
                    </w:rPr>
                  </w:pPr>
                  <w:r>
                    <w:rPr>
                      <w:rFonts w:hint="eastAsia" w:cs="宋体"/>
                      <w:bCs/>
                      <w:szCs w:val="21"/>
                      <w:lang w:bidi="ar"/>
                    </w:rPr>
                    <w:t>1</w:t>
                  </w:r>
                </w:p>
              </w:tc>
              <w:tc>
                <w:tcPr>
                  <w:tcW w:w="1499" w:type="pct"/>
                  <w:tcMar>
                    <w:top w:w="15" w:type="dxa"/>
                    <w:left w:w="15" w:type="dxa"/>
                    <w:bottom w:w="0" w:type="dxa"/>
                    <w:right w:w="15" w:type="dxa"/>
                  </w:tcMar>
                  <w:vAlign w:val="center"/>
                </w:tcPr>
                <w:p w14:paraId="7AB59AED">
                  <w:pPr>
                    <w:pStyle w:val="45"/>
                    <w:spacing w:line="240" w:lineRule="auto"/>
                    <w:ind w:firstLine="0" w:firstLineChars="0"/>
                    <w:jc w:val="center"/>
                    <w:rPr>
                      <w:szCs w:val="21"/>
                    </w:rPr>
                  </w:pPr>
                  <w:r>
                    <w:rPr>
                      <w:rFonts w:hint="eastAsia"/>
                      <w:szCs w:val="21"/>
                    </w:rPr>
                    <w:t>CCT-60烟气处理量120000m</w:t>
                  </w:r>
                  <w:r>
                    <w:rPr>
                      <w:rFonts w:hint="eastAsia"/>
                      <w:szCs w:val="21"/>
                      <w:vertAlign w:val="superscript"/>
                    </w:rPr>
                    <w:t>3</w:t>
                  </w:r>
                  <w:r>
                    <w:rPr>
                      <w:rFonts w:hint="eastAsia"/>
                      <w:szCs w:val="21"/>
                    </w:rPr>
                    <w:t>/h，直径DN3000，H19m</w:t>
                  </w:r>
                </w:p>
              </w:tc>
              <w:tc>
                <w:tcPr>
                  <w:tcW w:w="1019" w:type="pct"/>
                  <w:vMerge w:val="continue"/>
                  <w:vAlign w:val="center"/>
                </w:tcPr>
                <w:p w14:paraId="24057900">
                  <w:pPr>
                    <w:pStyle w:val="45"/>
                    <w:spacing w:line="240" w:lineRule="auto"/>
                    <w:ind w:firstLine="0" w:firstLineChars="0"/>
                    <w:jc w:val="center"/>
                    <w:rPr>
                      <w:szCs w:val="21"/>
                    </w:rPr>
                  </w:pPr>
                </w:p>
              </w:tc>
            </w:tr>
            <w:tr w14:paraId="26140537">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1B0DF343">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013A221E">
                  <w:pPr>
                    <w:pStyle w:val="45"/>
                    <w:spacing w:line="240" w:lineRule="auto"/>
                    <w:ind w:firstLine="0" w:firstLineChars="0"/>
                    <w:jc w:val="center"/>
                    <w:rPr>
                      <w:szCs w:val="21"/>
                    </w:rPr>
                  </w:pPr>
                  <w:r>
                    <w:rPr>
                      <w:rFonts w:hint="eastAsia"/>
                      <w:szCs w:val="21"/>
                    </w:rPr>
                    <w:t>管式曝气器</w:t>
                  </w:r>
                </w:p>
              </w:tc>
              <w:tc>
                <w:tcPr>
                  <w:tcW w:w="353" w:type="pct"/>
                  <w:tcMar>
                    <w:top w:w="15" w:type="dxa"/>
                    <w:left w:w="15" w:type="dxa"/>
                    <w:bottom w:w="0" w:type="dxa"/>
                    <w:right w:w="15" w:type="dxa"/>
                  </w:tcMar>
                  <w:vAlign w:val="center"/>
                </w:tcPr>
                <w:p w14:paraId="2E3B8508">
                  <w:pPr>
                    <w:pStyle w:val="45"/>
                    <w:spacing w:line="240" w:lineRule="auto"/>
                    <w:ind w:firstLine="0" w:firstLineChars="0"/>
                    <w:jc w:val="center"/>
                    <w:rPr>
                      <w:rFonts w:cs="宋体"/>
                      <w:bCs/>
                      <w:szCs w:val="21"/>
                      <w:lang w:bidi="ar"/>
                    </w:rPr>
                  </w:pPr>
                  <w:r>
                    <w:rPr>
                      <w:rFonts w:hint="eastAsia" w:cs="宋体"/>
                      <w:bCs/>
                      <w:szCs w:val="21"/>
                      <w:lang w:bidi="ar"/>
                    </w:rPr>
                    <w:t>套</w:t>
                  </w:r>
                </w:p>
              </w:tc>
              <w:tc>
                <w:tcPr>
                  <w:tcW w:w="352" w:type="pct"/>
                  <w:tcMar>
                    <w:top w:w="15" w:type="dxa"/>
                    <w:left w:w="15" w:type="dxa"/>
                    <w:bottom w:w="0" w:type="dxa"/>
                    <w:right w:w="15" w:type="dxa"/>
                  </w:tcMar>
                  <w:vAlign w:val="center"/>
                </w:tcPr>
                <w:p w14:paraId="3C6B5D39">
                  <w:pPr>
                    <w:pStyle w:val="45"/>
                    <w:spacing w:line="240" w:lineRule="auto"/>
                    <w:ind w:firstLine="0" w:firstLineChars="0"/>
                    <w:jc w:val="center"/>
                    <w:rPr>
                      <w:rFonts w:cs="宋体"/>
                      <w:bCs/>
                      <w:szCs w:val="21"/>
                      <w:lang w:bidi="ar"/>
                    </w:rPr>
                  </w:pPr>
                  <w:r>
                    <w:rPr>
                      <w:rFonts w:hint="eastAsia" w:cs="宋体"/>
                      <w:bCs/>
                      <w:szCs w:val="21"/>
                      <w:lang w:bidi="ar"/>
                    </w:rPr>
                    <w:t>2</w:t>
                  </w:r>
                </w:p>
              </w:tc>
              <w:tc>
                <w:tcPr>
                  <w:tcW w:w="1499" w:type="pct"/>
                  <w:tcMar>
                    <w:top w:w="15" w:type="dxa"/>
                    <w:left w:w="15" w:type="dxa"/>
                    <w:bottom w:w="0" w:type="dxa"/>
                    <w:right w:w="15" w:type="dxa"/>
                  </w:tcMar>
                  <w:vAlign w:val="center"/>
                </w:tcPr>
                <w:p w14:paraId="7DE42676">
                  <w:pPr>
                    <w:pStyle w:val="45"/>
                    <w:spacing w:line="240" w:lineRule="auto"/>
                    <w:ind w:firstLine="0" w:firstLineChars="0"/>
                    <w:jc w:val="center"/>
                    <w:rPr>
                      <w:szCs w:val="21"/>
                    </w:rPr>
                  </w:pPr>
                  <w:r>
                    <w:rPr>
                      <w:rFonts w:hint="eastAsia"/>
                      <w:szCs w:val="21"/>
                    </w:rPr>
                    <w:t>通气量3.4~17m</w:t>
                  </w:r>
                  <w:r>
                    <w:rPr>
                      <w:rFonts w:hint="eastAsia"/>
                      <w:szCs w:val="21"/>
                      <w:vertAlign w:val="superscript"/>
                    </w:rPr>
                    <w:t xml:space="preserve">3 </w:t>
                  </w:r>
                  <w:r>
                    <w:rPr>
                      <w:rFonts w:hint="eastAsia"/>
                      <w:szCs w:val="21"/>
                    </w:rPr>
                    <w:t>/h</w:t>
                  </w:r>
                </w:p>
              </w:tc>
              <w:tc>
                <w:tcPr>
                  <w:tcW w:w="1019" w:type="pct"/>
                  <w:vAlign w:val="center"/>
                </w:tcPr>
                <w:p w14:paraId="34A481CA">
                  <w:pPr>
                    <w:pStyle w:val="45"/>
                    <w:spacing w:line="240" w:lineRule="auto"/>
                    <w:ind w:firstLine="0" w:firstLineChars="0"/>
                    <w:jc w:val="center"/>
                    <w:rPr>
                      <w:szCs w:val="21"/>
                    </w:rPr>
                  </w:pPr>
                </w:p>
              </w:tc>
            </w:tr>
            <w:tr w14:paraId="3A383E77">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44DE504F">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1FBBB992">
                  <w:pPr>
                    <w:pStyle w:val="45"/>
                    <w:spacing w:line="240" w:lineRule="auto"/>
                    <w:ind w:firstLine="0" w:firstLineChars="0"/>
                    <w:jc w:val="center"/>
                    <w:rPr>
                      <w:szCs w:val="21"/>
                    </w:rPr>
                  </w:pPr>
                  <w:r>
                    <w:rPr>
                      <w:rFonts w:hint="eastAsia"/>
                      <w:szCs w:val="21"/>
                    </w:rPr>
                    <w:t>板框式压滤机</w:t>
                  </w:r>
                </w:p>
              </w:tc>
              <w:tc>
                <w:tcPr>
                  <w:tcW w:w="353" w:type="pct"/>
                  <w:tcMar>
                    <w:top w:w="15" w:type="dxa"/>
                    <w:left w:w="15" w:type="dxa"/>
                    <w:bottom w:w="0" w:type="dxa"/>
                    <w:right w:w="15" w:type="dxa"/>
                  </w:tcMar>
                  <w:vAlign w:val="center"/>
                </w:tcPr>
                <w:p w14:paraId="7FCAEBD4">
                  <w:pPr>
                    <w:pStyle w:val="45"/>
                    <w:spacing w:line="240" w:lineRule="auto"/>
                    <w:ind w:firstLine="0" w:firstLineChars="0"/>
                    <w:jc w:val="center"/>
                    <w:rPr>
                      <w:rFonts w:cs="宋体"/>
                      <w:bCs/>
                      <w:szCs w:val="21"/>
                      <w:lang w:bidi="ar"/>
                    </w:rPr>
                  </w:pPr>
                  <w:r>
                    <w:rPr>
                      <w:rFonts w:hint="eastAsia" w:cs="宋体"/>
                      <w:bCs/>
                      <w:szCs w:val="21"/>
                      <w:lang w:bidi="ar"/>
                    </w:rPr>
                    <w:t>台</w:t>
                  </w:r>
                </w:p>
              </w:tc>
              <w:tc>
                <w:tcPr>
                  <w:tcW w:w="352" w:type="pct"/>
                  <w:tcMar>
                    <w:top w:w="15" w:type="dxa"/>
                    <w:left w:w="15" w:type="dxa"/>
                    <w:bottom w:w="0" w:type="dxa"/>
                    <w:right w:w="15" w:type="dxa"/>
                  </w:tcMar>
                  <w:vAlign w:val="center"/>
                </w:tcPr>
                <w:p w14:paraId="26C62365">
                  <w:pPr>
                    <w:pStyle w:val="45"/>
                    <w:spacing w:line="240" w:lineRule="auto"/>
                    <w:ind w:firstLine="0" w:firstLineChars="0"/>
                    <w:jc w:val="center"/>
                    <w:rPr>
                      <w:kern w:val="0"/>
                      <w:szCs w:val="21"/>
                      <w:lang w:bidi="ar"/>
                    </w:rPr>
                  </w:pPr>
                  <w:r>
                    <w:rPr>
                      <w:rFonts w:hint="eastAsia" w:cs="宋体"/>
                      <w:bCs/>
                      <w:szCs w:val="21"/>
                      <w:lang w:bidi="ar"/>
                    </w:rPr>
                    <w:t>1</w:t>
                  </w:r>
                </w:p>
              </w:tc>
              <w:tc>
                <w:tcPr>
                  <w:tcW w:w="1499" w:type="pct"/>
                  <w:tcMar>
                    <w:top w:w="15" w:type="dxa"/>
                    <w:left w:w="15" w:type="dxa"/>
                    <w:bottom w:w="0" w:type="dxa"/>
                    <w:right w:w="15" w:type="dxa"/>
                  </w:tcMar>
                  <w:vAlign w:val="center"/>
                </w:tcPr>
                <w:p w14:paraId="1A48AB71">
                  <w:pPr>
                    <w:pStyle w:val="45"/>
                    <w:spacing w:line="240" w:lineRule="auto"/>
                    <w:ind w:firstLine="0" w:firstLineChars="0"/>
                    <w:jc w:val="center"/>
                    <w:rPr>
                      <w:szCs w:val="21"/>
                    </w:rPr>
                  </w:pPr>
                  <w:r>
                    <w:rPr>
                      <w:szCs w:val="21"/>
                    </w:rPr>
                    <w:t>3900×1500×1450</w:t>
                  </w:r>
                  <w:r>
                    <w:rPr>
                      <w:rFonts w:hint="eastAsia"/>
                      <w:szCs w:val="21"/>
                    </w:rPr>
                    <w:t>；过滤板数量36块</w:t>
                  </w:r>
                </w:p>
              </w:tc>
              <w:tc>
                <w:tcPr>
                  <w:tcW w:w="1019" w:type="pct"/>
                  <w:vAlign w:val="center"/>
                </w:tcPr>
                <w:p w14:paraId="70E5C80B">
                  <w:pPr>
                    <w:pStyle w:val="45"/>
                    <w:spacing w:line="240" w:lineRule="auto"/>
                    <w:ind w:firstLine="0" w:firstLineChars="0"/>
                    <w:jc w:val="center"/>
                    <w:rPr>
                      <w:szCs w:val="21"/>
                    </w:rPr>
                  </w:pPr>
                </w:p>
              </w:tc>
            </w:tr>
            <w:tr w14:paraId="43E45FCC">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30B58B19">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3FA5FD3F">
                  <w:pPr>
                    <w:pStyle w:val="45"/>
                    <w:spacing w:line="240" w:lineRule="auto"/>
                    <w:ind w:firstLine="0" w:firstLineChars="0"/>
                    <w:jc w:val="center"/>
                    <w:rPr>
                      <w:szCs w:val="21"/>
                    </w:rPr>
                  </w:pPr>
                  <w:r>
                    <w:rPr>
                      <w:rFonts w:hint="eastAsia"/>
                      <w:szCs w:val="21"/>
                    </w:rPr>
                    <w:t>氧化镁粉储罐</w:t>
                  </w:r>
                </w:p>
              </w:tc>
              <w:tc>
                <w:tcPr>
                  <w:tcW w:w="353" w:type="pct"/>
                  <w:tcMar>
                    <w:top w:w="15" w:type="dxa"/>
                    <w:left w:w="15" w:type="dxa"/>
                    <w:bottom w:w="0" w:type="dxa"/>
                    <w:right w:w="15" w:type="dxa"/>
                  </w:tcMar>
                  <w:vAlign w:val="center"/>
                </w:tcPr>
                <w:p w14:paraId="5DF13872">
                  <w:pPr>
                    <w:pStyle w:val="45"/>
                    <w:spacing w:line="240" w:lineRule="auto"/>
                    <w:ind w:firstLine="0" w:firstLineChars="0"/>
                    <w:jc w:val="center"/>
                    <w:rPr>
                      <w:rFonts w:cs="宋体"/>
                      <w:bCs/>
                      <w:szCs w:val="21"/>
                      <w:lang w:bidi="ar"/>
                    </w:rPr>
                  </w:pPr>
                  <w:r>
                    <w:rPr>
                      <w:rFonts w:hint="eastAsia" w:cs="宋体"/>
                      <w:bCs/>
                      <w:szCs w:val="21"/>
                      <w:lang w:bidi="ar"/>
                    </w:rPr>
                    <w:t>台</w:t>
                  </w:r>
                </w:p>
              </w:tc>
              <w:tc>
                <w:tcPr>
                  <w:tcW w:w="352" w:type="pct"/>
                  <w:tcMar>
                    <w:top w:w="15" w:type="dxa"/>
                    <w:left w:w="15" w:type="dxa"/>
                    <w:bottom w:w="0" w:type="dxa"/>
                    <w:right w:w="15" w:type="dxa"/>
                  </w:tcMar>
                  <w:vAlign w:val="center"/>
                </w:tcPr>
                <w:p w14:paraId="0A0F5019">
                  <w:pPr>
                    <w:pStyle w:val="45"/>
                    <w:spacing w:line="240" w:lineRule="auto"/>
                    <w:ind w:firstLine="0" w:firstLineChars="0"/>
                    <w:jc w:val="center"/>
                    <w:rPr>
                      <w:kern w:val="0"/>
                      <w:szCs w:val="21"/>
                      <w:lang w:bidi="ar"/>
                    </w:rPr>
                  </w:pPr>
                  <w:r>
                    <w:rPr>
                      <w:rFonts w:hint="eastAsia" w:cs="宋体"/>
                      <w:bCs/>
                      <w:szCs w:val="21"/>
                      <w:lang w:bidi="ar"/>
                    </w:rPr>
                    <w:t>1</w:t>
                  </w:r>
                </w:p>
              </w:tc>
              <w:tc>
                <w:tcPr>
                  <w:tcW w:w="1499" w:type="pct"/>
                  <w:tcMar>
                    <w:top w:w="15" w:type="dxa"/>
                    <w:left w:w="15" w:type="dxa"/>
                    <w:bottom w:w="0" w:type="dxa"/>
                    <w:right w:w="15" w:type="dxa"/>
                  </w:tcMar>
                  <w:vAlign w:val="center"/>
                </w:tcPr>
                <w:p w14:paraId="08808B07">
                  <w:pPr>
                    <w:pStyle w:val="45"/>
                    <w:spacing w:line="240" w:lineRule="auto"/>
                    <w:ind w:firstLine="0" w:firstLineChars="0"/>
                    <w:jc w:val="center"/>
                    <w:rPr>
                      <w:szCs w:val="21"/>
                    </w:rPr>
                  </w:pPr>
                  <w:r>
                    <w:rPr>
                      <w:szCs w:val="21"/>
                    </w:rPr>
                    <w:t>40m</w:t>
                  </w:r>
                  <w:r>
                    <w:rPr>
                      <w:szCs w:val="21"/>
                      <w:vertAlign w:val="superscript"/>
                    </w:rPr>
                    <w:t>3</w:t>
                  </w:r>
                </w:p>
              </w:tc>
              <w:tc>
                <w:tcPr>
                  <w:tcW w:w="1019" w:type="pct"/>
                  <w:vAlign w:val="center"/>
                </w:tcPr>
                <w:p w14:paraId="46624B02">
                  <w:pPr>
                    <w:pStyle w:val="45"/>
                    <w:spacing w:line="240" w:lineRule="auto"/>
                    <w:ind w:firstLine="0" w:firstLineChars="0"/>
                    <w:jc w:val="center"/>
                    <w:rPr>
                      <w:szCs w:val="21"/>
                    </w:rPr>
                  </w:pPr>
                </w:p>
              </w:tc>
            </w:tr>
            <w:tr w14:paraId="1FAAC934">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54CD3E38">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60D8DE2E">
                  <w:pPr>
                    <w:pStyle w:val="45"/>
                    <w:spacing w:line="240" w:lineRule="auto"/>
                    <w:ind w:firstLine="0" w:firstLineChars="0"/>
                    <w:jc w:val="center"/>
                    <w:rPr>
                      <w:szCs w:val="21"/>
                    </w:rPr>
                  </w:pPr>
                  <w:r>
                    <w:rPr>
                      <w:rFonts w:hint="eastAsia"/>
                      <w:szCs w:val="21"/>
                    </w:rPr>
                    <w:t>潜水式离心泵</w:t>
                  </w:r>
                </w:p>
              </w:tc>
              <w:tc>
                <w:tcPr>
                  <w:tcW w:w="353" w:type="pct"/>
                  <w:tcMar>
                    <w:top w:w="15" w:type="dxa"/>
                    <w:left w:w="15" w:type="dxa"/>
                    <w:bottom w:w="0" w:type="dxa"/>
                    <w:right w:w="15" w:type="dxa"/>
                  </w:tcMar>
                  <w:vAlign w:val="center"/>
                </w:tcPr>
                <w:p w14:paraId="7AD083DE">
                  <w:pPr>
                    <w:pStyle w:val="45"/>
                    <w:spacing w:line="240" w:lineRule="auto"/>
                    <w:ind w:firstLine="0" w:firstLineChars="0"/>
                    <w:jc w:val="center"/>
                    <w:rPr>
                      <w:rFonts w:cs="宋体"/>
                      <w:bCs/>
                      <w:szCs w:val="21"/>
                      <w:lang w:bidi="ar"/>
                    </w:rPr>
                  </w:pPr>
                  <w:r>
                    <w:rPr>
                      <w:rFonts w:hint="eastAsia" w:cs="宋体"/>
                      <w:bCs/>
                      <w:szCs w:val="21"/>
                      <w:lang w:bidi="ar"/>
                    </w:rPr>
                    <w:t>台</w:t>
                  </w:r>
                </w:p>
              </w:tc>
              <w:tc>
                <w:tcPr>
                  <w:tcW w:w="352" w:type="pct"/>
                  <w:tcMar>
                    <w:top w:w="15" w:type="dxa"/>
                    <w:left w:w="15" w:type="dxa"/>
                    <w:bottom w:w="0" w:type="dxa"/>
                    <w:right w:w="15" w:type="dxa"/>
                  </w:tcMar>
                  <w:vAlign w:val="center"/>
                </w:tcPr>
                <w:p w14:paraId="2C5FD0D6">
                  <w:pPr>
                    <w:pStyle w:val="45"/>
                    <w:spacing w:line="240" w:lineRule="auto"/>
                    <w:ind w:firstLine="0" w:firstLineChars="0"/>
                    <w:jc w:val="center"/>
                    <w:rPr>
                      <w:kern w:val="0"/>
                      <w:szCs w:val="21"/>
                      <w:lang w:bidi="ar"/>
                    </w:rPr>
                  </w:pPr>
                  <w:r>
                    <w:rPr>
                      <w:rFonts w:hint="eastAsia" w:cs="宋体"/>
                      <w:bCs/>
                      <w:szCs w:val="21"/>
                      <w:lang w:bidi="ar"/>
                    </w:rPr>
                    <w:t>6</w:t>
                  </w:r>
                </w:p>
              </w:tc>
              <w:tc>
                <w:tcPr>
                  <w:tcW w:w="1499" w:type="pct"/>
                  <w:tcMar>
                    <w:top w:w="15" w:type="dxa"/>
                    <w:left w:w="15" w:type="dxa"/>
                    <w:bottom w:w="0" w:type="dxa"/>
                    <w:right w:w="15" w:type="dxa"/>
                  </w:tcMar>
                  <w:vAlign w:val="center"/>
                </w:tcPr>
                <w:p w14:paraId="72DB7EE0">
                  <w:pPr>
                    <w:pStyle w:val="45"/>
                    <w:spacing w:line="240" w:lineRule="auto"/>
                    <w:ind w:firstLine="0" w:firstLineChars="0"/>
                    <w:jc w:val="center"/>
                    <w:rPr>
                      <w:szCs w:val="21"/>
                    </w:rPr>
                  </w:pPr>
                  <w:r>
                    <w:rPr>
                      <w:szCs w:val="21"/>
                    </w:rPr>
                    <w:t>ZJQ50-26-11</w:t>
                  </w:r>
                </w:p>
              </w:tc>
              <w:tc>
                <w:tcPr>
                  <w:tcW w:w="1019" w:type="pct"/>
                  <w:vAlign w:val="center"/>
                </w:tcPr>
                <w:p w14:paraId="699F4F1C">
                  <w:pPr>
                    <w:pStyle w:val="45"/>
                    <w:spacing w:line="240" w:lineRule="auto"/>
                    <w:ind w:firstLine="0" w:firstLineChars="0"/>
                    <w:jc w:val="center"/>
                    <w:rPr>
                      <w:szCs w:val="21"/>
                    </w:rPr>
                  </w:pPr>
                </w:p>
              </w:tc>
            </w:tr>
            <w:tr w14:paraId="47C46E67">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07587A91">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6862C4B8">
                  <w:pPr>
                    <w:pStyle w:val="45"/>
                    <w:spacing w:line="240" w:lineRule="auto"/>
                    <w:ind w:firstLine="0" w:firstLineChars="0"/>
                    <w:jc w:val="center"/>
                    <w:rPr>
                      <w:szCs w:val="21"/>
                    </w:rPr>
                  </w:pPr>
                  <w:r>
                    <w:rPr>
                      <w:rFonts w:hint="eastAsia"/>
                      <w:szCs w:val="21"/>
                    </w:rPr>
                    <w:t>潜水式离心泵</w:t>
                  </w:r>
                </w:p>
              </w:tc>
              <w:tc>
                <w:tcPr>
                  <w:tcW w:w="353" w:type="pct"/>
                  <w:tcMar>
                    <w:top w:w="15" w:type="dxa"/>
                    <w:left w:w="15" w:type="dxa"/>
                    <w:bottom w:w="0" w:type="dxa"/>
                    <w:right w:w="15" w:type="dxa"/>
                  </w:tcMar>
                  <w:vAlign w:val="center"/>
                </w:tcPr>
                <w:p w14:paraId="3021C1F4">
                  <w:pPr>
                    <w:pStyle w:val="45"/>
                    <w:spacing w:line="240" w:lineRule="auto"/>
                    <w:ind w:firstLine="0" w:firstLineChars="0"/>
                    <w:jc w:val="center"/>
                    <w:rPr>
                      <w:rFonts w:cs="宋体"/>
                      <w:bCs/>
                      <w:szCs w:val="21"/>
                      <w:lang w:bidi="ar"/>
                    </w:rPr>
                  </w:pPr>
                  <w:r>
                    <w:rPr>
                      <w:rFonts w:hint="eastAsia" w:cs="宋体"/>
                      <w:bCs/>
                      <w:szCs w:val="21"/>
                      <w:lang w:bidi="ar"/>
                    </w:rPr>
                    <w:t>台</w:t>
                  </w:r>
                </w:p>
              </w:tc>
              <w:tc>
                <w:tcPr>
                  <w:tcW w:w="352" w:type="pct"/>
                  <w:tcMar>
                    <w:top w:w="15" w:type="dxa"/>
                    <w:left w:w="15" w:type="dxa"/>
                    <w:bottom w:w="0" w:type="dxa"/>
                    <w:right w:w="15" w:type="dxa"/>
                  </w:tcMar>
                  <w:vAlign w:val="center"/>
                </w:tcPr>
                <w:p w14:paraId="1A1A71D4">
                  <w:pPr>
                    <w:pStyle w:val="45"/>
                    <w:spacing w:line="240" w:lineRule="auto"/>
                    <w:ind w:firstLine="0" w:firstLineChars="0"/>
                    <w:jc w:val="center"/>
                    <w:rPr>
                      <w:kern w:val="0"/>
                      <w:szCs w:val="21"/>
                      <w:lang w:bidi="ar"/>
                    </w:rPr>
                  </w:pPr>
                  <w:r>
                    <w:rPr>
                      <w:rFonts w:hint="eastAsia" w:cs="宋体"/>
                      <w:bCs/>
                      <w:szCs w:val="21"/>
                      <w:lang w:bidi="ar"/>
                    </w:rPr>
                    <w:t>2</w:t>
                  </w:r>
                </w:p>
              </w:tc>
              <w:tc>
                <w:tcPr>
                  <w:tcW w:w="1499" w:type="pct"/>
                  <w:tcMar>
                    <w:top w:w="15" w:type="dxa"/>
                    <w:left w:w="15" w:type="dxa"/>
                    <w:bottom w:w="0" w:type="dxa"/>
                    <w:right w:w="15" w:type="dxa"/>
                  </w:tcMar>
                  <w:vAlign w:val="center"/>
                </w:tcPr>
                <w:p w14:paraId="038D90BC">
                  <w:pPr>
                    <w:pStyle w:val="45"/>
                    <w:spacing w:line="240" w:lineRule="auto"/>
                    <w:ind w:firstLine="0" w:firstLineChars="0"/>
                    <w:jc w:val="center"/>
                    <w:rPr>
                      <w:szCs w:val="21"/>
                    </w:rPr>
                  </w:pPr>
                  <w:r>
                    <w:rPr>
                      <w:szCs w:val="21"/>
                    </w:rPr>
                    <w:t>ZJQ30—30—7.5</w:t>
                  </w:r>
                </w:p>
              </w:tc>
              <w:tc>
                <w:tcPr>
                  <w:tcW w:w="1019" w:type="pct"/>
                  <w:vAlign w:val="center"/>
                </w:tcPr>
                <w:p w14:paraId="68F6310B">
                  <w:pPr>
                    <w:pStyle w:val="45"/>
                    <w:spacing w:line="240" w:lineRule="auto"/>
                    <w:ind w:firstLine="0" w:firstLineChars="0"/>
                    <w:jc w:val="center"/>
                    <w:rPr>
                      <w:szCs w:val="21"/>
                    </w:rPr>
                  </w:pPr>
                </w:p>
              </w:tc>
            </w:tr>
            <w:tr w14:paraId="4DBA9779">
              <w:tblPrEx>
                <w:tblBorders>
                  <w:top w:val="single" w:color="auto" w:sz="12" w:space="0"/>
                  <w:left w:val="none" w:color="auto" w:sz="0" w:space="0"/>
                  <w:bottom w:val="single" w:color="auto"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85" w:hRule="atLeast"/>
              </w:trPr>
              <w:tc>
                <w:tcPr>
                  <w:tcW w:w="379" w:type="pct"/>
                  <w:tcMar>
                    <w:top w:w="15" w:type="dxa"/>
                    <w:left w:w="15" w:type="dxa"/>
                    <w:bottom w:w="0" w:type="dxa"/>
                    <w:right w:w="15" w:type="dxa"/>
                  </w:tcMar>
                  <w:vAlign w:val="center"/>
                </w:tcPr>
                <w:p w14:paraId="5D2F2282">
                  <w:pPr>
                    <w:pStyle w:val="45"/>
                    <w:numPr>
                      <w:ilvl w:val="0"/>
                      <w:numId w:val="1"/>
                    </w:numPr>
                    <w:spacing w:line="240" w:lineRule="auto"/>
                    <w:ind w:firstLineChars="0"/>
                    <w:jc w:val="center"/>
                    <w:rPr>
                      <w:szCs w:val="21"/>
                    </w:rPr>
                  </w:pPr>
                </w:p>
              </w:tc>
              <w:tc>
                <w:tcPr>
                  <w:tcW w:w="1398" w:type="pct"/>
                  <w:tcMar>
                    <w:top w:w="15" w:type="dxa"/>
                    <w:left w:w="15" w:type="dxa"/>
                    <w:bottom w:w="0" w:type="dxa"/>
                    <w:right w:w="15" w:type="dxa"/>
                  </w:tcMar>
                  <w:vAlign w:val="center"/>
                </w:tcPr>
                <w:p w14:paraId="744BCC6F">
                  <w:pPr>
                    <w:pStyle w:val="45"/>
                    <w:spacing w:line="240" w:lineRule="auto"/>
                    <w:ind w:firstLine="0" w:firstLineChars="0"/>
                    <w:jc w:val="center"/>
                    <w:rPr>
                      <w:szCs w:val="21"/>
                    </w:rPr>
                  </w:pPr>
                  <w:r>
                    <w:rPr>
                      <w:rFonts w:hint="eastAsia"/>
                      <w:szCs w:val="21"/>
                    </w:rPr>
                    <w:t>泥浆泵</w:t>
                  </w:r>
                </w:p>
              </w:tc>
              <w:tc>
                <w:tcPr>
                  <w:tcW w:w="353" w:type="pct"/>
                  <w:tcMar>
                    <w:top w:w="15" w:type="dxa"/>
                    <w:left w:w="15" w:type="dxa"/>
                    <w:bottom w:w="0" w:type="dxa"/>
                    <w:right w:w="15" w:type="dxa"/>
                  </w:tcMar>
                  <w:vAlign w:val="center"/>
                </w:tcPr>
                <w:p w14:paraId="1AEEBE28">
                  <w:pPr>
                    <w:pStyle w:val="45"/>
                    <w:spacing w:line="240" w:lineRule="auto"/>
                    <w:ind w:firstLine="0" w:firstLineChars="0"/>
                    <w:jc w:val="center"/>
                    <w:rPr>
                      <w:rFonts w:cs="宋体"/>
                      <w:bCs/>
                      <w:szCs w:val="21"/>
                      <w:lang w:bidi="ar"/>
                    </w:rPr>
                  </w:pPr>
                  <w:r>
                    <w:rPr>
                      <w:rFonts w:hint="eastAsia" w:cs="宋体"/>
                      <w:bCs/>
                      <w:szCs w:val="21"/>
                      <w:lang w:bidi="ar"/>
                    </w:rPr>
                    <w:t>台</w:t>
                  </w:r>
                </w:p>
              </w:tc>
              <w:tc>
                <w:tcPr>
                  <w:tcW w:w="352" w:type="pct"/>
                  <w:tcMar>
                    <w:top w:w="15" w:type="dxa"/>
                    <w:left w:w="15" w:type="dxa"/>
                    <w:bottom w:w="0" w:type="dxa"/>
                    <w:right w:w="15" w:type="dxa"/>
                  </w:tcMar>
                  <w:vAlign w:val="center"/>
                </w:tcPr>
                <w:p w14:paraId="5401B383">
                  <w:pPr>
                    <w:pStyle w:val="45"/>
                    <w:spacing w:line="240" w:lineRule="auto"/>
                    <w:ind w:firstLine="0" w:firstLineChars="0"/>
                    <w:jc w:val="center"/>
                    <w:rPr>
                      <w:kern w:val="0"/>
                      <w:szCs w:val="21"/>
                      <w:lang w:bidi="ar"/>
                    </w:rPr>
                  </w:pPr>
                  <w:r>
                    <w:rPr>
                      <w:rFonts w:hint="eastAsia" w:cs="宋体"/>
                      <w:bCs/>
                      <w:szCs w:val="21"/>
                      <w:lang w:bidi="ar"/>
                    </w:rPr>
                    <w:t>2</w:t>
                  </w:r>
                </w:p>
              </w:tc>
              <w:tc>
                <w:tcPr>
                  <w:tcW w:w="1499" w:type="pct"/>
                  <w:tcMar>
                    <w:top w:w="15" w:type="dxa"/>
                    <w:left w:w="15" w:type="dxa"/>
                    <w:bottom w:w="0" w:type="dxa"/>
                    <w:right w:w="15" w:type="dxa"/>
                  </w:tcMar>
                  <w:vAlign w:val="center"/>
                </w:tcPr>
                <w:p w14:paraId="60507E28">
                  <w:pPr>
                    <w:pStyle w:val="45"/>
                    <w:spacing w:line="240" w:lineRule="auto"/>
                    <w:ind w:firstLine="0" w:firstLineChars="0"/>
                    <w:jc w:val="center"/>
                    <w:rPr>
                      <w:szCs w:val="21"/>
                    </w:rPr>
                  </w:pPr>
                  <w:r>
                    <w:rPr>
                      <w:szCs w:val="21"/>
                    </w:rPr>
                    <w:t>Q15m</w:t>
                  </w:r>
                  <w:r>
                    <w:rPr>
                      <w:szCs w:val="21"/>
                      <w:vertAlign w:val="superscript"/>
                    </w:rPr>
                    <w:t>3</w:t>
                  </w:r>
                  <w:r>
                    <w:rPr>
                      <w:szCs w:val="21"/>
                    </w:rPr>
                    <w:t xml:space="preserve"> H20m</w:t>
                  </w:r>
                </w:p>
              </w:tc>
              <w:tc>
                <w:tcPr>
                  <w:tcW w:w="1019" w:type="pct"/>
                  <w:vAlign w:val="center"/>
                </w:tcPr>
                <w:p w14:paraId="0B04AF02">
                  <w:pPr>
                    <w:pStyle w:val="45"/>
                    <w:spacing w:line="240" w:lineRule="auto"/>
                    <w:ind w:firstLine="0" w:firstLineChars="0"/>
                    <w:jc w:val="center"/>
                    <w:rPr>
                      <w:szCs w:val="21"/>
                    </w:rPr>
                  </w:pPr>
                </w:p>
              </w:tc>
            </w:tr>
          </w:tbl>
          <w:p w14:paraId="3765210E">
            <w:pPr>
              <w:pStyle w:val="45"/>
              <w:spacing w:before="120" w:beforeLines="50"/>
              <w:ind w:firstLine="482"/>
              <w:rPr>
                <w:b/>
                <w:bCs/>
                <w:sz w:val="24"/>
              </w:rPr>
            </w:pPr>
            <w:r>
              <w:rPr>
                <w:rFonts w:hint="eastAsia"/>
                <w:b/>
                <w:bCs/>
                <w:sz w:val="24"/>
              </w:rPr>
              <w:t>8</w:t>
            </w:r>
            <w:r>
              <w:rPr>
                <w:b/>
                <w:bCs/>
                <w:sz w:val="24"/>
              </w:rPr>
              <w:t>、公用工程</w:t>
            </w:r>
          </w:p>
          <w:p w14:paraId="3DB1D673">
            <w:pPr>
              <w:adjustRightInd w:val="0"/>
              <w:snapToGrid w:val="0"/>
              <w:spacing w:line="360" w:lineRule="auto"/>
              <w:ind w:firstLine="480" w:firstLineChars="200"/>
              <w:rPr>
                <w:bCs/>
                <w:sz w:val="24"/>
              </w:rPr>
            </w:pPr>
            <w:r>
              <w:rPr>
                <w:rFonts w:hint="eastAsia"/>
                <w:bCs/>
                <w:sz w:val="24"/>
              </w:rPr>
              <w:t>（</w:t>
            </w:r>
            <w:r>
              <w:rPr>
                <w:bCs/>
                <w:sz w:val="24"/>
              </w:rPr>
              <w:t>1</w:t>
            </w:r>
            <w:r>
              <w:rPr>
                <w:rFonts w:hint="eastAsia"/>
                <w:bCs/>
                <w:sz w:val="24"/>
              </w:rPr>
              <w:t>）给水：本项目供水来自工业场地供水管网。</w:t>
            </w:r>
          </w:p>
          <w:p w14:paraId="6A7CD4BD">
            <w:pPr>
              <w:adjustRightInd w:val="0"/>
              <w:snapToGrid w:val="0"/>
              <w:spacing w:line="360" w:lineRule="auto"/>
              <w:ind w:firstLine="480" w:firstLineChars="200"/>
              <w:rPr>
                <w:bCs/>
                <w:sz w:val="24"/>
              </w:rPr>
            </w:pPr>
            <w:r>
              <w:rPr>
                <w:rFonts w:hint="eastAsia"/>
                <w:bCs/>
                <w:sz w:val="24"/>
              </w:rPr>
              <w:t>①生活用水：本项目无新增劳动定员，无新增生活用水。</w:t>
            </w:r>
          </w:p>
          <w:p w14:paraId="51FA4421">
            <w:pPr>
              <w:adjustRightInd w:val="0"/>
              <w:snapToGrid w:val="0"/>
              <w:spacing w:line="360" w:lineRule="auto"/>
              <w:ind w:firstLine="480" w:firstLineChars="200"/>
              <w:rPr>
                <w:bCs/>
                <w:sz w:val="24"/>
              </w:rPr>
            </w:pPr>
            <w:r>
              <w:rPr>
                <w:rFonts w:hint="eastAsia"/>
                <w:bCs/>
                <w:sz w:val="24"/>
              </w:rPr>
              <w:t>②</w:t>
            </w:r>
            <w:bookmarkStart w:id="19" w:name="_Hlk164067034"/>
            <w:r>
              <w:rPr>
                <w:rFonts w:hint="eastAsia"/>
                <w:bCs/>
                <w:sz w:val="24"/>
              </w:rPr>
              <w:t>燃煤蒸汽锅炉用水及软水制备用水：</w:t>
            </w:r>
            <w:r>
              <w:rPr>
                <w:bCs/>
                <w:sz w:val="24"/>
              </w:rPr>
              <w:t>项目</w:t>
            </w:r>
            <w:r>
              <w:rPr>
                <w:rFonts w:hint="eastAsia"/>
                <w:bCs/>
                <w:sz w:val="24"/>
              </w:rPr>
              <w:t>燃煤蒸汽</w:t>
            </w:r>
            <w:r>
              <w:rPr>
                <w:bCs/>
                <w:sz w:val="24"/>
              </w:rPr>
              <w:t>锅炉采用软水，软水由</w:t>
            </w:r>
            <w:r>
              <w:rPr>
                <w:rFonts w:hint="eastAsia"/>
                <w:bCs/>
                <w:sz w:val="24"/>
              </w:rPr>
              <w:t>经处理后的矿井水再</w:t>
            </w:r>
            <w:r>
              <w:rPr>
                <w:bCs/>
                <w:sz w:val="24"/>
              </w:rPr>
              <w:t>经</w:t>
            </w:r>
            <w:r>
              <w:rPr>
                <w:rFonts w:hint="eastAsia"/>
                <w:bCs/>
                <w:sz w:val="24"/>
              </w:rPr>
              <w:t>软化水处理装置</w:t>
            </w:r>
            <w:r>
              <w:rPr>
                <w:bCs/>
                <w:sz w:val="24"/>
              </w:rPr>
              <w:t>处理后的水提供。</w:t>
            </w:r>
            <w:r>
              <w:rPr>
                <w:rFonts w:hint="eastAsia"/>
                <w:bCs/>
                <w:sz w:val="24"/>
              </w:rPr>
              <w:t>锅炉产生的蒸汽用于矿井建筑物、选煤厂建筑物、井筒防冻、浴室等方面的供热。本</w:t>
            </w:r>
            <w:r>
              <w:rPr>
                <w:bCs/>
                <w:sz w:val="24"/>
              </w:rPr>
              <w:t>项目设置</w:t>
            </w:r>
            <w:r>
              <w:rPr>
                <w:rFonts w:hint="eastAsia"/>
                <w:bCs/>
                <w:sz w:val="24"/>
              </w:rPr>
              <w:t>3台20t/h燃煤蒸汽锅炉，采暖期蒸汽</w:t>
            </w:r>
            <w:r>
              <w:rPr>
                <w:bCs/>
                <w:sz w:val="24"/>
              </w:rPr>
              <w:t>锅炉</w:t>
            </w:r>
            <w:r>
              <w:rPr>
                <w:rFonts w:hint="eastAsia"/>
                <w:bCs/>
                <w:sz w:val="24"/>
              </w:rPr>
              <w:t>用</w:t>
            </w:r>
            <w:r>
              <w:rPr>
                <w:bCs/>
                <w:sz w:val="24"/>
              </w:rPr>
              <w:t>水量为</w:t>
            </w:r>
            <w:r>
              <w:rPr>
                <w:rFonts w:hint="eastAsia"/>
                <w:bCs/>
                <w:sz w:val="24"/>
              </w:rPr>
              <w:t>60t/h，非采暖期用水量为2</w:t>
            </w:r>
            <w:r>
              <w:rPr>
                <w:bCs/>
                <w:sz w:val="24"/>
              </w:rPr>
              <w:t>0</w:t>
            </w:r>
            <w:r>
              <w:rPr>
                <w:rFonts w:hint="eastAsia"/>
                <w:bCs/>
                <w:sz w:val="24"/>
              </w:rPr>
              <w:t>t/h，</w:t>
            </w:r>
            <w:r>
              <w:rPr>
                <w:bCs/>
                <w:sz w:val="24"/>
              </w:rPr>
              <w:t>考虑管道损失量以</w:t>
            </w:r>
            <w:r>
              <w:rPr>
                <w:rFonts w:hint="eastAsia"/>
                <w:bCs/>
                <w:sz w:val="24"/>
              </w:rPr>
              <w:t>用</w:t>
            </w:r>
            <w:r>
              <w:rPr>
                <w:bCs/>
                <w:sz w:val="24"/>
              </w:rPr>
              <w:t>水量的3%来计，</w:t>
            </w:r>
            <w:r>
              <w:rPr>
                <w:rFonts w:hint="eastAsia"/>
                <w:bCs/>
                <w:sz w:val="24"/>
              </w:rPr>
              <w:t>锅炉排污水以用水量的5%计，</w:t>
            </w:r>
            <w:r>
              <w:rPr>
                <w:bCs/>
                <w:sz w:val="24"/>
              </w:rPr>
              <w:t>则</w:t>
            </w:r>
            <w:r>
              <w:rPr>
                <w:rFonts w:hint="eastAsia"/>
                <w:bCs/>
                <w:sz w:val="24"/>
              </w:rPr>
              <w:t>采暖期</w:t>
            </w:r>
            <w:r>
              <w:rPr>
                <w:bCs/>
                <w:sz w:val="24"/>
              </w:rPr>
              <w:t>锅炉补充水量为</w:t>
            </w:r>
            <w:r>
              <w:rPr>
                <w:rFonts w:hint="eastAsia"/>
                <w:bCs/>
                <w:sz w:val="24"/>
              </w:rPr>
              <w:t>4.8</w:t>
            </w:r>
            <w:r>
              <w:rPr>
                <w:bCs/>
                <w:sz w:val="24"/>
              </w:rPr>
              <w:t>m</w:t>
            </w:r>
            <w:r>
              <w:rPr>
                <w:bCs/>
                <w:sz w:val="24"/>
                <w:vertAlign w:val="superscript"/>
              </w:rPr>
              <w:t>3</w:t>
            </w:r>
            <w:r>
              <w:rPr>
                <w:bCs/>
                <w:sz w:val="24"/>
              </w:rPr>
              <w:t>/h（</w:t>
            </w:r>
            <w:r>
              <w:rPr>
                <w:rFonts w:hint="eastAsia"/>
                <w:bCs/>
                <w:sz w:val="24"/>
              </w:rPr>
              <w:t>96</w:t>
            </w:r>
            <w:r>
              <w:rPr>
                <w:bCs/>
                <w:sz w:val="24"/>
              </w:rPr>
              <w:t>m</w:t>
            </w:r>
            <w:r>
              <w:rPr>
                <w:bCs/>
                <w:sz w:val="24"/>
                <w:vertAlign w:val="superscript"/>
              </w:rPr>
              <w:t>3</w:t>
            </w:r>
            <w:r>
              <w:rPr>
                <w:bCs/>
                <w:sz w:val="24"/>
              </w:rPr>
              <w:t>/d，</w:t>
            </w:r>
            <w:r>
              <w:rPr>
                <w:rFonts w:hint="eastAsia"/>
                <w:bCs/>
                <w:sz w:val="24"/>
              </w:rPr>
              <w:t>16128</w:t>
            </w:r>
            <w:r>
              <w:rPr>
                <w:bCs/>
                <w:sz w:val="24"/>
              </w:rPr>
              <w:t>m</w:t>
            </w:r>
            <w:r>
              <w:rPr>
                <w:bCs/>
                <w:sz w:val="24"/>
                <w:vertAlign w:val="superscript"/>
              </w:rPr>
              <w:t>3</w:t>
            </w:r>
            <w:r>
              <w:rPr>
                <w:bCs/>
                <w:sz w:val="24"/>
              </w:rPr>
              <w:t>/a）</w:t>
            </w:r>
            <w:r>
              <w:rPr>
                <w:rFonts w:hint="eastAsia"/>
                <w:bCs/>
                <w:sz w:val="24"/>
              </w:rPr>
              <w:t>，非采暖期</w:t>
            </w:r>
            <w:r>
              <w:rPr>
                <w:bCs/>
                <w:sz w:val="24"/>
              </w:rPr>
              <w:t>锅炉补充水量为1.6m</w:t>
            </w:r>
            <w:r>
              <w:rPr>
                <w:bCs/>
                <w:sz w:val="24"/>
                <w:vertAlign w:val="superscript"/>
              </w:rPr>
              <w:t>3</w:t>
            </w:r>
            <w:r>
              <w:rPr>
                <w:bCs/>
                <w:sz w:val="24"/>
              </w:rPr>
              <w:t>/h（32m</w:t>
            </w:r>
            <w:r>
              <w:rPr>
                <w:bCs/>
                <w:sz w:val="24"/>
                <w:vertAlign w:val="superscript"/>
              </w:rPr>
              <w:t>3</w:t>
            </w:r>
            <w:r>
              <w:rPr>
                <w:bCs/>
                <w:sz w:val="24"/>
              </w:rPr>
              <w:t>/d，5376m</w:t>
            </w:r>
            <w:r>
              <w:rPr>
                <w:bCs/>
                <w:sz w:val="24"/>
                <w:vertAlign w:val="superscript"/>
              </w:rPr>
              <w:t>3</w:t>
            </w:r>
            <w:r>
              <w:rPr>
                <w:bCs/>
                <w:sz w:val="24"/>
              </w:rPr>
              <w:t>/a）</w:t>
            </w:r>
            <w:r>
              <w:rPr>
                <w:rFonts w:hint="eastAsia"/>
                <w:bCs/>
                <w:sz w:val="24"/>
              </w:rPr>
              <w:t>。项目采用离子交换树脂以及除氧器制备软水供锅炉使用，软水制备产水量为7</w:t>
            </w:r>
            <w:r>
              <w:rPr>
                <w:bCs/>
                <w:sz w:val="24"/>
              </w:rPr>
              <w:t>0</w:t>
            </w:r>
            <w:r>
              <w:rPr>
                <w:rFonts w:hint="eastAsia"/>
                <w:bCs/>
                <w:sz w:val="24"/>
              </w:rPr>
              <w:t>%，则本项目采暖期软水制备用水量为6.9</w:t>
            </w:r>
            <w:r>
              <w:rPr>
                <w:bCs/>
                <w:sz w:val="24"/>
              </w:rPr>
              <w:t>m</w:t>
            </w:r>
            <w:r>
              <w:rPr>
                <w:bCs/>
                <w:sz w:val="24"/>
                <w:vertAlign w:val="superscript"/>
              </w:rPr>
              <w:t>3</w:t>
            </w:r>
            <w:r>
              <w:rPr>
                <w:bCs/>
                <w:sz w:val="24"/>
              </w:rPr>
              <w:t>/h（</w:t>
            </w:r>
            <w:r>
              <w:rPr>
                <w:rFonts w:hint="eastAsia"/>
                <w:bCs/>
                <w:sz w:val="24"/>
              </w:rPr>
              <w:t>138</w:t>
            </w:r>
            <w:r>
              <w:rPr>
                <w:bCs/>
                <w:sz w:val="24"/>
              </w:rPr>
              <w:t>m</w:t>
            </w:r>
            <w:r>
              <w:rPr>
                <w:bCs/>
                <w:sz w:val="24"/>
                <w:vertAlign w:val="superscript"/>
              </w:rPr>
              <w:t>3</w:t>
            </w:r>
            <w:r>
              <w:rPr>
                <w:bCs/>
                <w:sz w:val="24"/>
              </w:rPr>
              <w:t>/d，</w:t>
            </w:r>
            <w:r>
              <w:rPr>
                <w:rFonts w:hint="eastAsia"/>
                <w:bCs/>
                <w:sz w:val="24"/>
              </w:rPr>
              <w:t>23184</w:t>
            </w:r>
            <w:r>
              <w:rPr>
                <w:bCs/>
                <w:sz w:val="24"/>
              </w:rPr>
              <w:t>m</w:t>
            </w:r>
            <w:r>
              <w:rPr>
                <w:bCs/>
                <w:sz w:val="24"/>
                <w:vertAlign w:val="superscript"/>
              </w:rPr>
              <w:t>3</w:t>
            </w:r>
            <w:r>
              <w:rPr>
                <w:bCs/>
                <w:sz w:val="24"/>
              </w:rPr>
              <w:t>/a）</w:t>
            </w:r>
            <w:r>
              <w:rPr>
                <w:rFonts w:hint="eastAsia"/>
                <w:bCs/>
                <w:sz w:val="24"/>
              </w:rPr>
              <w:t>，非采暖期软水制备用水量为</w:t>
            </w:r>
            <w:r>
              <w:rPr>
                <w:bCs/>
                <w:sz w:val="24"/>
              </w:rPr>
              <w:t>2.3m</w:t>
            </w:r>
            <w:r>
              <w:rPr>
                <w:bCs/>
                <w:sz w:val="24"/>
                <w:vertAlign w:val="superscript"/>
              </w:rPr>
              <w:t>3</w:t>
            </w:r>
            <w:r>
              <w:rPr>
                <w:bCs/>
                <w:sz w:val="24"/>
              </w:rPr>
              <w:t>/h（46m</w:t>
            </w:r>
            <w:r>
              <w:rPr>
                <w:bCs/>
                <w:sz w:val="24"/>
                <w:vertAlign w:val="superscript"/>
              </w:rPr>
              <w:t>3</w:t>
            </w:r>
            <w:r>
              <w:rPr>
                <w:bCs/>
                <w:sz w:val="24"/>
              </w:rPr>
              <w:t>/d，7728m</w:t>
            </w:r>
            <w:r>
              <w:rPr>
                <w:bCs/>
                <w:sz w:val="24"/>
                <w:vertAlign w:val="superscript"/>
              </w:rPr>
              <w:t>3</w:t>
            </w:r>
            <w:r>
              <w:rPr>
                <w:bCs/>
                <w:sz w:val="24"/>
              </w:rPr>
              <w:t>/a）</w:t>
            </w:r>
            <w:r>
              <w:rPr>
                <w:rFonts w:hint="eastAsia"/>
                <w:bCs/>
                <w:sz w:val="24"/>
              </w:rPr>
              <w:t>。</w:t>
            </w:r>
            <w:bookmarkEnd w:id="19"/>
          </w:p>
          <w:p w14:paraId="39E4E804">
            <w:pPr>
              <w:adjustRightInd w:val="0"/>
              <w:snapToGrid w:val="0"/>
              <w:spacing w:line="360" w:lineRule="auto"/>
              <w:ind w:firstLine="480" w:firstLineChars="200"/>
              <w:rPr>
                <w:bCs/>
                <w:sz w:val="24"/>
              </w:rPr>
            </w:pPr>
            <w:r>
              <w:rPr>
                <w:rFonts w:hint="eastAsia"/>
                <w:bCs/>
                <w:sz w:val="24"/>
              </w:rPr>
              <w:t>③脱硫系统用水</w:t>
            </w:r>
          </w:p>
          <w:p w14:paraId="48FD6170">
            <w:pPr>
              <w:adjustRightInd w:val="0"/>
              <w:snapToGrid w:val="0"/>
              <w:spacing w:line="360" w:lineRule="auto"/>
              <w:ind w:firstLine="480" w:firstLineChars="200"/>
              <w:rPr>
                <w:bCs/>
                <w:sz w:val="24"/>
              </w:rPr>
            </w:pPr>
            <w:r>
              <w:rPr>
                <w:rFonts w:hint="eastAsia"/>
                <w:bCs/>
                <w:sz w:val="24"/>
              </w:rPr>
              <w:t>本项目喷淋脱硫塔用水循环使用，根据设计资料，氧化镁脱硫“液气比”为6L/m</w:t>
            </w:r>
            <w:r>
              <w:rPr>
                <w:rFonts w:hint="eastAsia"/>
                <w:bCs/>
                <w:sz w:val="24"/>
                <w:vertAlign w:val="superscript"/>
              </w:rPr>
              <w:t>3</w:t>
            </w:r>
            <w:r>
              <w:rPr>
                <w:rFonts w:hint="eastAsia"/>
                <w:bCs/>
                <w:sz w:val="24"/>
              </w:rPr>
              <w:t>，本项目采暖期烟气量为3.86</w:t>
            </w:r>
            <w:r>
              <w:rPr>
                <w:bCs/>
                <w:sz w:val="24"/>
              </w:rPr>
              <w:t>×10</w:t>
            </w:r>
            <w:r>
              <w:rPr>
                <w:rFonts w:hint="eastAsia"/>
                <w:bCs/>
                <w:sz w:val="24"/>
                <w:vertAlign w:val="superscript"/>
              </w:rPr>
              <w:t>8</w:t>
            </w:r>
            <w:r>
              <w:rPr>
                <w:bCs/>
                <w:sz w:val="24"/>
              </w:rPr>
              <w:t>m</w:t>
            </w:r>
            <w:r>
              <w:rPr>
                <w:bCs/>
                <w:sz w:val="24"/>
                <w:vertAlign w:val="superscript"/>
              </w:rPr>
              <w:t>3</w:t>
            </w:r>
            <w:r>
              <w:rPr>
                <w:bCs/>
                <w:sz w:val="24"/>
              </w:rPr>
              <w:t>/a</w:t>
            </w:r>
            <w:r>
              <w:rPr>
                <w:rFonts w:hint="eastAsia"/>
                <w:bCs/>
                <w:sz w:val="24"/>
              </w:rPr>
              <w:t>，则循环水量为2316000</w:t>
            </w:r>
            <w:r>
              <w:rPr>
                <w:bCs/>
                <w:sz w:val="24"/>
              </w:rPr>
              <w:t>m</w:t>
            </w:r>
            <w:r>
              <w:rPr>
                <w:bCs/>
                <w:sz w:val="24"/>
                <w:vertAlign w:val="superscript"/>
              </w:rPr>
              <w:t>3</w:t>
            </w:r>
            <w:r>
              <w:rPr>
                <w:bCs/>
                <w:sz w:val="24"/>
              </w:rPr>
              <w:t>/a</w:t>
            </w:r>
            <w:r>
              <w:rPr>
                <w:rFonts w:hint="eastAsia"/>
                <w:bCs/>
                <w:sz w:val="24"/>
              </w:rPr>
              <w:t>（13785.7</w:t>
            </w:r>
            <w:r>
              <w:rPr>
                <w:bCs/>
                <w:sz w:val="24"/>
              </w:rPr>
              <w:t>m</w:t>
            </w:r>
            <w:r>
              <w:rPr>
                <w:bCs/>
                <w:sz w:val="24"/>
                <w:vertAlign w:val="superscript"/>
              </w:rPr>
              <w:t>3</w:t>
            </w:r>
            <w:r>
              <w:rPr>
                <w:bCs/>
                <w:sz w:val="24"/>
              </w:rPr>
              <w:t>/</w:t>
            </w:r>
            <w:r>
              <w:rPr>
                <w:rFonts w:hint="eastAsia"/>
                <w:bCs/>
                <w:sz w:val="24"/>
              </w:rPr>
              <w:t>d，689.3</w:t>
            </w:r>
            <w:r>
              <w:rPr>
                <w:bCs/>
                <w:sz w:val="24"/>
              </w:rPr>
              <w:t>m</w:t>
            </w:r>
            <w:r>
              <w:rPr>
                <w:bCs/>
                <w:sz w:val="24"/>
                <w:vertAlign w:val="superscript"/>
              </w:rPr>
              <w:t>3</w:t>
            </w:r>
            <w:r>
              <w:rPr>
                <w:bCs/>
                <w:sz w:val="24"/>
              </w:rPr>
              <w:t>/d</w:t>
            </w:r>
            <w:r>
              <w:rPr>
                <w:rFonts w:hint="eastAsia"/>
                <w:bCs/>
                <w:sz w:val="24"/>
              </w:rPr>
              <w:t>）；非采暖期烟气量为</w:t>
            </w:r>
            <w:r>
              <w:rPr>
                <w:bCs/>
                <w:sz w:val="24"/>
              </w:rPr>
              <w:t>1.28×10</w:t>
            </w:r>
            <w:r>
              <w:rPr>
                <w:rFonts w:hint="eastAsia"/>
                <w:bCs/>
                <w:sz w:val="24"/>
                <w:vertAlign w:val="superscript"/>
              </w:rPr>
              <w:t>8</w:t>
            </w:r>
            <w:r>
              <w:rPr>
                <w:bCs/>
                <w:sz w:val="24"/>
              </w:rPr>
              <w:t>m</w:t>
            </w:r>
            <w:r>
              <w:rPr>
                <w:bCs/>
                <w:sz w:val="24"/>
                <w:vertAlign w:val="superscript"/>
              </w:rPr>
              <w:t>3</w:t>
            </w:r>
            <w:r>
              <w:rPr>
                <w:bCs/>
                <w:sz w:val="24"/>
              </w:rPr>
              <w:t>/a</w:t>
            </w:r>
            <w:r>
              <w:rPr>
                <w:rFonts w:hint="eastAsia"/>
                <w:bCs/>
                <w:sz w:val="24"/>
              </w:rPr>
              <w:t>，则循环水量为</w:t>
            </w:r>
            <w:r>
              <w:rPr>
                <w:bCs/>
                <w:sz w:val="24"/>
              </w:rPr>
              <w:t>772</w:t>
            </w:r>
            <w:r>
              <w:rPr>
                <w:rFonts w:hint="eastAsia"/>
                <w:bCs/>
                <w:sz w:val="24"/>
              </w:rPr>
              <w:t>000</w:t>
            </w:r>
            <w:r>
              <w:rPr>
                <w:bCs/>
                <w:sz w:val="24"/>
              </w:rPr>
              <w:t>m</w:t>
            </w:r>
            <w:r>
              <w:rPr>
                <w:bCs/>
                <w:sz w:val="24"/>
                <w:vertAlign w:val="superscript"/>
              </w:rPr>
              <w:t>3</w:t>
            </w:r>
            <w:r>
              <w:rPr>
                <w:bCs/>
                <w:sz w:val="24"/>
              </w:rPr>
              <w:t>/a</w:t>
            </w:r>
            <w:r>
              <w:rPr>
                <w:rFonts w:hint="eastAsia"/>
                <w:bCs/>
                <w:sz w:val="24"/>
              </w:rPr>
              <w:t>（</w:t>
            </w:r>
            <w:r>
              <w:rPr>
                <w:bCs/>
                <w:sz w:val="24"/>
              </w:rPr>
              <w:t>4595.2m</w:t>
            </w:r>
            <w:r>
              <w:rPr>
                <w:bCs/>
                <w:sz w:val="24"/>
                <w:vertAlign w:val="superscript"/>
              </w:rPr>
              <w:t>3</w:t>
            </w:r>
            <w:r>
              <w:rPr>
                <w:bCs/>
                <w:sz w:val="24"/>
              </w:rPr>
              <w:t>/</w:t>
            </w:r>
            <w:r>
              <w:rPr>
                <w:rFonts w:hint="eastAsia"/>
                <w:bCs/>
                <w:sz w:val="24"/>
              </w:rPr>
              <w:t>d，</w:t>
            </w:r>
            <w:r>
              <w:rPr>
                <w:bCs/>
                <w:sz w:val="24"/>
              </w:rPr>
              <w:t>229.8m</w:t>
            </w:r>
            <w:r>
              <w:rPr>
                <w:bCs/>
                <w:sz w:val="24"/>
                <w:vertAlign w:val="superscript"/>
              </w:rPr>
              <w:t>3</w:t>
            </w:r>
            <w:r>
              <w:rPr>
                <w:bCs/>
                <w:sz w:val="24"/>
              </w:rPr>
              <w:t>/d</w:t>
            </w:r>
            <w:r>
              <w:rPr>
                <w:rFonts w:hint="eastAsia"/>
                <w:bCs/>
                <w:sz w:val="24"/>
              </w:rPr>
              <w:t>）。这部分水在系统内部循环使用不外排，主要是高温烟气及脱硫副产物会带走部分水，损失量一般为3%，</w:t>
            </w:r>
            <w:r>
              <w:rPr>
                <w:bCs/>
                <w:sz w:val="24"/>
              </w:rPr>
              <w:t>则</w:t>
            </w:r>
            <w:r>
              <w:rPr>
                <w:rFonts w:hint="eastAsia"/>
                <w:bCs/>
                <w:sz w:val="24"/>
              </w:rPr>
              <w:t>喷淋塔脱硫除尘器采暖期用水</w:t>
            </w:r>
            <w:r>
              <w:rPr>
                <w:bCs/>
                <w:sz w:val="24"/>
              </w:rPr>
              <w:t>量为</w:t>
            </w:r>
            <w:r>
              <w:rPr>
                <w:rFonts w:hint="eastAsia"/>
                <w:bCs/>
                <w:sz w:val="24"/>
              </w:rPr>
              <w:t>69480</w:t>
            </w:r>
            <w:r>
              <w:rPr>
                <w:bCs/>
                <w:sz w:val="24"/>
                <w:vertAlign w:val="superscript"/>
              </w:rPr>
              <w:t>3</w:t>
            </w:r>
            <w:r>
              <w:rPr>
                <w:bCs/>
                <w:sz w:val="24"/>
              </w:rPr>
              <w:t>/a（</w:t>
            </w:r>
            <w:r>
              <w:rPr>
                <w:rFonts w:hint="eastAsia"/>
                <w:bCs/>
                <w:sz w:val="24"/>
              </w:rPr>
              <w:t>413.6</w:t>
            </w:r>
            <w:r>
              <w:rPr>
                <w:bCs/>
                <w:sz w:val="24"/>
              </w:rPr>
              <w:t>m</w:t>
            </w:r>
            <w:r>
              <w:rPr>
                <w:bCs/>
                <w:sz w:val="24"/>
                <w:vertAlign w:val="superscript"/>
              </w:rPr>
              <w:t>3</w:t>
            </w:r>
            <w:r>
              <w:rPr>
                <w:bCs/>
                <w:sz w:val="24"/>
              </w:rPr>
              <w:t>/d，</w:t>
            </w:r>
            <w:r>
              <w:rPr>
                <w:rFonts w:hint="eastAsia"/>
                <w:bCs/>
                <w:sz w:val="24"/>
              </w:rPr>
              <w:t>20.7</w:t>
            </w:r>
            <w:r>
              <w:rPr>
                <w:bCs/>
                <w:sz w:val="24"/>
              </w:rPr>
              <w:t>m</w:t>
            </w:r>
            <w:r>
              <w:rPr>
                <w:bCs/>
                <w:sz w:val="24"/>
                <w:vertAlign w:val="superscript"/>
              </w:rPr>
              <w:t>3</w:t>
            </w:r>
            <w:r>
              <w:rPr>
                <w:bCs/>
                <w:sz w:val="24"/>
              </w:rPr>
              <w:t>/</w:t>
            </w:r>
            <w:r>
              <w:rPr>
                <w:rFonts w:hint="eastAsia"/>
                <w:bCs/>
                <w:sz w:val="24"/>
              </w:rPr>
              <w:t>h</w:t>
            </w:r>
            <w:r>
              <w:rPr>
                <w:bCs/>
                <w:sz w:val="24"/>
              </w:rPr>
              <w:t>）</w:t>
            </w:r>
            <w:r>
              <w:rPr>
                <w:rFonts w:hint="eastAsia"/>
                <w:bCs/>
                <w:sz w:val="24"/>
              </w:rPr>
              <w:t>，非采暖期用水</w:t>
            </w:r>
            <w:r>
              <w:rPr>
                <w:bCs/>
                <w:sz w:val="24"/>
              </w:rPr>
              <w:t>量为2316</w:t>
            </w:r>
            <w:r>
              <w:rPr>
                <w:rFonts w:hint="eastAsia"/>
                <w:bCs/>
                <w:sz w:val="24"/>
              </w:rPr>
              <w:t>0</w:t>
            </w:r>
            <w:r>
              <w:rPr>
                <w:bCs/>
                <w:sz w:val="24"/>
                <w:vertAlign w:val="superscript"/>
              </w:rPr>
              <w:t>3</w:t>
            </w:r>
            <w:r>
              <w:rPr>
                <w:bCs/>
                <w:sz w:val="24"/>
              </w:rPr>
              <w:t>/a（137.9m</w:t>
            </w:r>
            <w:r>
              <w:rPr>
                <w:bCs/>
                <w:sz w:val="24"/>
                <w:vertAlign w:val="superscript"/>
              </w:rPr>
              <w:t>3</w:t>
            </w:r>
            <w:r>
              <w:rPr>
                <w:bCs/>
                <w:sz w:val="24"/>
              </w:rPr>
              <w:t>/d，6.9m</w:t>
            </w:r>
            <w:r>
              <w:rPr>
                <w:bCs/>
                <w:sz w:val="24"/>
                <w:vertAlign w:val="superscript"/>
              </w:rPr>
              <w:t>3</w:t>
            </w:r>
            <w:r>
              <w:rPr>
                <w:bCs/>
                <w:sz w:val="24"/>
              </w:rPr>
              <w:t>/</w:t>
            </w:r>
            <w:r>
              <w:rPr>
                <w:rFonts w:hint="eastAsia"/>
                <w:bCs/>
                <w:sz w:val="24"/>
              </w:rPr>
              <w:t>h</w:t>
            </w:r>
            <w:r>
              <w:rPr>
                <w:bCs/>
                <w:sz w:val="24"/>
              </w:rPr>
              <w:t>）。</w:t>
            </w:r>
          </w:p>
          <w:p w14:paraId="700E4129">
            <w:pPr>
              <w:adjustRightInd w:val="0"/>
              <w:snapToGrid w:val="0"/>
              <w:spacing w:line="360" w:lineRule="auto"/>
              <w:ind w:firstLine="480" w:firstLineChars="200"/>
              <w:rPr>
                <w:bCs/>
                <w:sz w:val="24"/>
              </w:rPr>
            </w:pPr>
            <w:r>
              <w:rPr>
                <w:rFonts w:hint="eastAsia"/>
                <w:bCs/>
                <w:sz w:val="24"/>
              </w:rPr>
              <w:t>④脱硝工段用水</w:t>
            </w:r>
          </w:p>
          <w:p w14:paraId="460AA95A">
            <w:pPr>
              <w:adjustRightInd w:val="0"/>
              <w:snapToGrid w:val="0"/>
              <w:spacing w:line="360" w:lineRule="auto"/>
              <w:ind w:firstLine="480" w:firstLineChars="200"/>
              <w:rPr>
                <w:bCs/>
                <w:sz w:val="24"/>
              </w:rPr>
            </w:pPr>
            <w:r>
              <w:rPr>
                <w:rFonts w:hint="eastAsia"/>
                <w:bCs/>
                <w:sz w:val="24"/>
              </w:rPr>
              <w:t>项目锅炉脱硝工段使用的30%尿素溶液由尿素颗粒配备而成，根据企业提供资料，采暖期用水量为86546.2</w:t>
            </w:r>
            <w:r>
              <w:rPr>
                <w:bCs/>
                <w:sz w:val="24"/>
              </w:rPr>
              <w:t>m</w:t>
            </w:r>
            <w:r>
              <w:rPr>
                <w:bCs/>
                <w:sz w:val="24"/>
                <w:vertAlign w:val="superscript"/>
              </w:rPr>
              <w:t>3</w:t>
            </w:r>
            <w:r>
              <w:rPr>
                <w:bCs/>
                <w:sz w:val="24"/>
              </w:rPr>
              <w:t>/a（</w:t>
            </w:r>
            <w:r>
              <w:rPr>
                <w:rFonts w:hint="eastAsia"/>
                <w:bCs/>
                <w:sz w:val="24"/>
              </w:rPr>
              <w:t>515.1</w:t>
            </w:r>
            <w:r>
              <w:rPr>
                <w:bCs/>
                <w:sz w:val="24"/>
              </w:rPr>
              <w:t>m</w:t>
            </w:r>
            <w:r>
              <w:rPr>
                <w:bCs/>
                <w:sz w:val="24"/>
                <w:vertAlign w:val="superscript"/>
              </w:rPr>
              <w:t>3</w:t>
            </w:r>
            <w:r>
              <w:rPr>
                <w:bCs/>
                <w:sz w:val="24"/>
              </w:rPr>
              <w:t>/d，</w:t>
            </w:r>
            <w:r>
              <w:rPr>
                <w:rFonts w:hint="eastAsia"/>
                <w:bCs/>
                <w:sz w:val="24"/>
              </w:rPr>
              <w:t>25.7</w:t>
            </w:r>
            <w:r>
              <w:rPr>
                <w:bCs/>
                <w:sz w:val="24"/>
              </w:rPr>
              <w:t>m</w:t>
            </w:r>
            <w:r>
              <w:rPr>
                <w:bCs/>
                <w:sz w:val="24"/>
                <w:vertAlign w:val="superscript"/>
              </w:rPr>
              <w:t>3</w:t>
            </w:r>
            <w:r>
              <w:rPr>
                <w:bCs/>
                <w:sz w:val="24"/>
              </w:rPr>
              <w:t>/</w:t>
            </w:r>
            <w:r>
              <w:rPr>
                <w:rFonts w:hint="eastAsia"/>
                <w:bCs/>
                <w:sz w:val="24"/>
              </w:rPr>
              <w:t>h</w:t>
            </w:r>
            <w:r>
              <w:rPr>
                <w:bCs/>
                <w:sz w:val="24"/>
              </w:rPr>
              <w:t>）</w:t>
            </w:r>
            <w:r>
              <w:rPr>
                <w:rFonts w:hint="eastAsia"/>
                <w:bCs/>
                <w:sz w:val="24"/>
              </w:rPr>
              <w:t>，非采暖期用水量为</w:t>
            </w:r>
            <w:r>
              <w:rPr>
                <w:bCs/>
                <w:sz w:val="24"/>
              </w:rPr>
              <w:t>28848.7m</w:t>
            </w:r>
            <w:r>
              <w:rPr>
                <w:bCs/>
                <w:sz w:val="24"/>
                <w:vertAlign w:val="superscript"/>
              </w:rPr>
              <w:t>3</w:t>
            </w:r>
            <w:r>
              <w:rPr>
                <w:bCs/>
                <w:sz w:val="24"/>
              </w:rPr>
              <w:t>/a（171.7m</w:t>
            </w:r>
            <w:r>
              <w:rPr>
                <w:bCs/>
                <w:sz w:val="24"/>
                <w:vertAlign w:val="superscript"/>
              </w:rPr>
              <w:t>3</w:t>
            </w:r>
            <w:r>
              <w:rPr>
                <w:bCs/>
                <w:sz w:val="24"/>
              </w:rPr>
              <w:t>/d，8.6m</w:t>
            </w:r>
            <w:r>
              <w:rPr>
                <w:bCs/>
                <w:sz w:val="24"/>
                <w:vertAlign w:val="superscript"/>
              </w:rPr>
              <w:t>3</w:t>
            </w:r>
            <w:r>
              <w:rPr>
                <w:bCs/>
                <w:sz w:val="24"/>
              </w:rPr>
              <w:t>/</w:t>
            </w:r>
            <w:r>
              <w:rPr>
                <w:rFonts w:hint="eastAsia"/>
                <w:bCs/>
                <w:sz w:val="24"/>
              </w:rPr>
              <w:t>h</w:t>
            </w:r>
            <w:r>
              <w:rPr>
                <w:bCs/>
                <w:sz w:val="24"/>
              </w:rPr>
              <w:t>）</w:t>
            </w:r>
            <w:r>
              <w:rPr>
                <w:rFonts w:hint="eastAsia"/>
                <w:bCs/>
                <w:sz w:val="24"/>
              </w:rPr>
              <w:t>。</w:t>
            </w:r>
          </w:p>
          <w:p w14:paraId="09148E4B">
            <w:pPr>
              <w:adjustRightInd w:val="0"/>
              <w:snapToGrid w:val="0"/>
              <w:spacing w:line="360" w:lineRule="auto"/>
              <w:ind w:firstLine="480" w:firstLineChars="200"/>
              <w:rPr>
                <w:bCs/>
                <w:sz w:val="24"/>
              </w:rPr>
            </w:pPr>
            <w:r>
              <w:rPr>
                <w:rFonts w:hint="eastAsia"/>
                <w:bCs/>
                <w:sz w:val="24"/>
              </w:rPr>
              <w:t>（</w:t>
            </w:r>
            <w:r>
              <w:rPr>
                <w:bCs/>
                <w:sz w:val="24"/>
              </w:rPr>
              <w:t>2</w:t>
            </w:r>
            <w:r>
              <w:rPr>
                <w:rFonts w:hint="eastAsia"/>
                <w:bCs/>
                <w:sz w:val="24"/>
              </w:rPr>
              <w:t>）排水</w:t>
            </w:r>
          </w:p>
          <w:p w14:paraId="40F8638D">
            <w:pPr>
              <w:adjustRightInd w:val="0"/>
              <w:snapToGrid w:val="0"/>
              <w:spacing w:line="360" w:lineRule="auto"/>
              <w:ind w:firstLine="480" w:firstLineChars="200"/>
              <w:rPr>
                <w:bCs/>
                <w:sz w:val="24"/>
              </w:rPr>
            </w:pPr>
            <w:r>
              <w:rPr>
                <w:rFonts w:hint="eastAsia"/>
                <w:bCs/>
                <w:sz w:val="24"/>
              </w:rPr>
              <w:t>生活用水：本项目无新增劳动定员，因此无新增生活污水。</w:t>
            </w:r>
          </w:p>
          <w:p w14:paraId="74A380BA">
            <w:pPr>
              <w:adjustRightInd w:val="0"/>
              <w:snapToGrid w:val="0"/>
              <w:spacing w:line="360" w:lineRule="auto"/>
              <w:ind w:firstLine="480" w:firstLineChars="200"/>
              <w:rPr>
                <w:bCs/>
                <w:sz w:val="24"/>
              </w:rPr>
            </w:pPr>
            <w:r>
              <w:rPr>
                <w:rFonts w:hint="eastAsia"/>
                <w:bCs/>
                <w:sz w:val="24"/>
              </w:rPr>
              <w:t>锅炉排污水：因软化处理后的水中仍含有盐离子，蒸发后生成盐浓度较高的锅炉水，易生成水垢，为保证锅炉的正常运行，需排出该部分锅炉水即锅炉排污水。根据建设方提供的资料，锅炉排污水量按锅炉用水量</w:t>
            </w:r>
            <w:r>
              <w:rPr>
                <w:bCs/>
                <w:sz w:val="24"/>
              </w:rPr>
              <w:t>5</w:t>
            </w:r>
            <w:r>
              <w:rPr>
                <w:rFonts w:hint="eastAsia"/>
                <w:bCs/>
                <w:sz w:val="24"/>
              </w:rPr>
              <w:t>%计，则采暖期排水量为3m</w:t>
            </w:r>
            <w:r>
              <w:rPr>
                <w:rFonts w:hint="eastAsia"/>
                <w:bCs/>
                <w:sz w:val="24"/>
                <w:vertAlign w:val="superscript"/>
              </w:rPr>
              <w:t>3</w:t>
            </w:r>
            <w:r>
              <w:rPr>
                <w:rFonts w:hint="eastAsia"/>
                <w:bCs/>
                <w:sz w:val="24"/>
              </w:rPr>
              <w:t>/h</w:t>
            </w:r>
            <w:r>
              <w:rPr>
                <w:bCs/>
                <w:sz w:val="24"/>
              </w:rPr>
              <w:t>（</w:t>
            </w:r>
            <w:r>
              <w:rPr>
                <w:rFonts w:hint="eastAsia"/>
                <w:bCs/>
                <w:sz w:val="24"/>
              </w:rPr>
              <w:t>60</w:t>
            </w:r>
            <w:r>
              <w:rPr>
                <w:bCs/>
                <w:sz w:val="24"/>
              </w:rPr>
              <w:t>m</w:t>
            </w:r>
            <w:r>
              <w:rPr>
                <w:bCs/>
                <w:sz w:val="24"/>
                <w:vertAlign w:val="superscript"/>
              </w:rPr>
              <w:t>3</w:t>
            </w:r>
            <w:r>
              <w:rPr>
                <w:bCs/>
                <w:sz w:val="24"/>
              </w:rPr>
              <w:t>/d，</w:t>
            </w:r>
            <w:r>
              <w:rPr>
                <w:rFonts w:hint="eastAsia"/>
                <w:bCs/>
                <w:sz w:val="24"/>
              </w:rPr>
              <w:t>10080</w:t>
            </w:r>
            <w:r>
              <w:rPr>
                <w:bCs/>
                <w:sz w:val="24"/>
              </w:rPr>
              <w:t>m</w:t>
            </w:r>
            <w:r>
              <w:rPr>
                <w:bCs/>
                <w:sz w:val="24"/>
                <w:vertAlign w:val="superscript"/>
              </w:rPr>
              <w:t>3</w:t>
            </w:r>
            <w:r>
              <w:rPr>
                <w:bCs/>
                <w:sz w:val="24"/>
              </w:rPr>
              <w:t>/a）</w:t>
            </w:r>
            <w:r>
              <w:rPr>
                <w:rFonts w:hint="eastAsia"/>
                <w:bCs/>
                <w:sz w:val="24"/>
              </w:rPr>
              <w:t>，非采暖期排水量为</w:t>
            </w:r>
            <w:r>
              <w:rPr>
                <w:bCs/>
                <w:sz w:val="24"/>
              </w:rPr>
              <w:t>1</w:t>
            </w:r>
            <w:r>
              <w:rPr>
                <w:rFonts w:hint="eastAsia"/>
                <w:bCs/>
                <w:sz w:val="24"/>
              </w:rPr>
              <w:t>m</w:t>
            </w:r>
            <w:r>
              <w:rPr>
                <w:rFonts w:hint="eastAsia"/>
                <w:bCs/>
                <w:sz w:val="24"/>
                <w:vertAlign w:val="superscript"/>
              </w:rPr>
              <w:t>3</w:t>
            </w:r>
            <w:r>
              <w:rPr>
                <w:rFonts w:hint="eastAsia"/>
                <w:bCs/>
                <w:sz w:val="24"/>
              </w:rPr>
              <w:t>/h</w:t>
            </w:r>
            <w:r>
              <w:rPr>
                <w:bCs/>
                <w:sz w:val="24"/>
              </w:rPr>
              <w:t>（2</w:t>
            </w:r>
            <w:r>
              <w:rPr>
                <w:rFonts w:hint="eastAsia"/>
                <w:bCs/>
                <w:sz w:val="24"/>
              </w:rPr>
              <w:t>0</w:t>
            </w:r>
            <w:r>
              <w:rPr>
                <w:bCs/>
                <w:sz w:val="24"/>
              </w:rPr>
              <w:t>m</w:t>
            </w:r>
            <w:r>
              <w:rPr>
                <w:bCs/>
                <w:sz w:val="24"/>
                <w:vertAlign w:val="superscript"/>
              </w:rPr>
              <w:t>3</w:t>
            </w:r>
            <w:r>
              <w:rPr>
                <w:bCs/>
                <w:sz w:val="24"/>
              </w:rPr>
              <w:t>/d，336</w:t>
            </w:r>
            <w:r>
              <w:rPr>
                <w:rFonts w:hint="eastAsia"/>
                <w:bCs/>
                <w:sz w:val="24"/>
              </w:rPr>
              <w:t>0</w:t>
            </w:r>
            <w:r>
              <w:rPr>
                <w:bCs/>
                <w:sz w:val="24"/>
              </w:rPr>
              <w:t>m</w:t>
            </w:r>
            <w:r>
              <w:rPr>
                <w:bCs/>
                <w:sz w:val="24"/>
                <w:vertAlign w:val="superscript"/>
              </w:rPr>
              <w:t>3</w:t>
            </w:r>
            <w:r>
              <w:rPr>
                <w:bCs/>
                <w:sz w:val="24"/>
              </w:rPr>
              <w:t>/a）</w:t>
            </w:r>
            <w:r>
              <w:rPr>
                <w:rFonts w:hint="eastAsia"/>
                <w:bCs/>
                <w:sz w:val="24"/>
              </w:rPr>
              <w:t>。锅炉排污水属于清净下水，排入脱硫系统用做补充水。</w:t>
            </w:r>
          </w:p>
          <w:p w14:paraId="2D361656">
            <w:pPr>
              <w:adjustRightInd w:val="0"/>
              <w:snapToGrid w:val="0"/>
              <w:spacing w:line="360" w:lineRule="auto"/>
              <w:ind w:firstLine="480" w:firstLineChars="200"/>
              <w:rPr>
                <w:bCs/>
                <w:sz w:val="24"/>
              </w:rPr>
            </w:pPr>
            <w:r>
              <w:rPr>
                <w:rFonts w:hint="eastAsia"/>
                <w:bCs/>
                <w:sz w:val="24"/>
              </w:rPr>
              <w:t>软水制备排污水：项目采用离子交换树脂制备软水供锅炉使用，软水制备排污水量按3</w:t>
            </w:r>
            <w:r>
              <w:rPr>
                <w:bCs/>
                <w:sz w:val="24"/>
              </w:rPr>
              <w:t>0</w:t>
            </w:r>
            <w:r>
              <w:rPr>
                <w:rFonts w:hint="eastAsia"/>
                <w:bCs/>
                <w:sz w:val="24"/>
              </w:rPr>
              <w:t>%计，则项目采暖期软水制备排污水量为2.1m</w:t>
            </w:r>
            <w:r>
              <w:rPr>
                <w:rFonts w:hint="eastAsia"/>
                <w:bCs/>
                <w:sz w:val="24"/>
                <w:vertAlign w:val="superscript"/>
              </w:rPr>
              <w:t>3</w:t>
            </w:r>
            <w:r>
              <w:rPr>
                <w:rFonts w:hint="eastAsia"/>
                <w:bCs/>
                <w:sz w:val="24"/>
              </w:rPr>
              <w:t>/h</w:t>
            </w:r>
            <w:r>
              <w:rPr>
                <w:bCs/>
                <w:sz w:val="24"/>
              </w:rPr>
              <w:t>（</w:t>
            </w:r>
            <w:r>
              <w:rPr>
                <w:rFonts w:hint="eastAsia"/>
                <w:bCs/>
                <w:sz w:val="24"/>
              </w:rPr>
              <w:t>42</w:t>
            </w:r>
            <w:r>
              <w:rPr>
                <w:bCs/>
                <w:sz w:val="24"/>
              </w:rPr>
              <w:t>m</w:t>
            </w:r>
            <w:r>
              <w:rPr>
                <w:bCs/>
                <w:sz w:val="24"/>
                <w:vertAlign w:val="superscript"/>
              </w:rPr>
              <w:t>3</w:t>
            </w:r>
            <w:r>
              <w:rPr>
                <w:bCs/>
                <w:sz w:val="24"/>
              </w:rPr>
              <w:t>/d，</w:t>
            </w:r>
            <w:r>
              <w:rPr>
                <w:rFonts w:hint="eastAsia"/>
                <w:bCs/>
                <w:sz w:val="24"/>
              </w:rPr>
              <w:t>7056</w:t>
            </w:r>
            <w:r>
              <w:rPr>
                <w:bCs/>
                <w:sz w:val="24"/>
              </w:rPr>
              <w:t>m</w:t>
            </w:r>
            <w:r>
              <w:rPr>
                <w:bCs/>
                <w:sz w:val="24"/>
                <w:vertAlign w:val="superscript"/>
              </w:rPr>
              <w:t>3</w:t>
            </w:r>
            <w:r>
              <w:rPr>
                <w:bCs/>
                <w:sz w:val="24"/>
              </w:rPr>
              <w:t>/a）</w:t>
            </w:r>
            <w:r>
              <w:rPr>
                <w:rFonts w:hint="eastAsia"/>
                <w:bCs/>
                <w:sz w:val="24"/>
              </w:rPr>
              <w:t>，非采暖期软水制备排污水量为</w:t>
            </w:r>
            <w:r>
              <w:rPr>
                <w:bCs/>
                <w:sz w:val="24"/>
              </w:rPr>
              <w:t>0.7</w:t>
            </w:r>
            <w:r>
              <w:rPr>
                <w:rFonts w:hint="eastAsia"/>
                <w:bCs/>
                <w:sz w:val="24"/>
              </w:rPr>
              <w:t>m</w:t>
            </w:r>
            <w:r>
              <w:rPr>
                <w:rFonts w:hint="eastAsia"/>
                <w:bCs/>
                <w:sz w:val="24"/>
                <w:vertAlign w:val="superscript"/>
              </w:rPr>
              <w:t>3</w:t>
            </w:r>
            <w:r>
              <w:rPr>
                <w:rFonts w:hint="eastAsia"/>
                <w:bCs/>
                <w:sz w:val="24"/>
              </w:rPr>
              <w:t>/h</w:t>
            </w:r>
            <w:r>
              <w:rPr>
                <w:bCs/>
                <w:sz w:val="24"/>
              </w:rPr>
              <w:t>（14m</w:t>
            </w:r>
            <w:r>
              <w:rPr>
                <w:bCs/>
                <w:sz w:val="24"/>
                <w:vertAlign w:val="superscript"/>
              </w:rPr>
              <w:t>3</w:t>
            </w:r>
            <w:r>
              <w:rPr>
                <w:bCs/>
                <w:sz w:val="24"/>
              </w:rPr>
              <w:t>/d，2352m</w:t>
            </w:r>
            <w:r>
              <w:rPr>
                <w:bCs/>
                <w:sz w:val="24"/>
                <w:vertAlign w:val="superscript"/>
              </w:rPr>
              <w:t>3</w:t>
            </w:r>
            <w:r>
              <w:rPr>
                <w:bCs/>
                <w:sz w:val="24"/>
              </w:rPr>
              <w:t>/a）</w:t>
            </w:r>
            <w:r>
              <w:rPr>
                <w:rFonts w:hint="eastAsia"/>
                <w:bCs/>
                <w:sz w:val="24"/>
              </w:rPr>
              <w:t>。软水制备排污水属于清净下水，排入脱硫系统用做补充水。</w:t>
            </w:r>
          </w:p>
          <w:p w14:paraId="7E6E5EC3">
            <w:pPr>
              <w:adjustRightInd w:val="0"/>
              <w:snapToGrid w:val="0"/>
              <w:spacing w:line="360" w:lineRule="auto"/>
              <w:ind w:firstLine="480" w:firstLineChars="200"/>
              <w:rPr>
                <w:bCs/>
                <w:sz w:val="24"/>
              </w:rPr>
            </w:pPr>
            <w:r>
              <w:rPr>
                <w:rFonts w:hint="eastAsia"/>
                <w:bCs/>
                <w:sz w:val="24"/>
              </w:rPr>
              <w:t>二氧化硫吸收液达到一定浓度时需从循环池排出部分进入沉淀池并通过管式曝气器强制氧化，将处理后的硫酸盐沉淀，然后上层清水返回至脱硫系统循环使用，不外排，下层沉淀物经泥浆泵打入板框压滤机，经压滤后外售建材厂综合利用。</w:t>
            </w:r>
          </w:p>
          <w:p w14:paraId="4912646B">
            <w:pPr>
              <w:adjustRightInd w:val="0"/>
              <w:snapToGrid w:val="0"/>
              <w:spacing w:line="360" w:lineRule="auto"/>
              <w:ind w:firstLine="480" w:firstLineChars="200"/>
              <w:rPr>
                <w:bCs/>
                <w:sz w:val="24"/>
              </w:rPr>
            </w:pPr>
            <w:r>
              <w:rPr>
                <w:rFonts w:hint="eastAsia"/>
                <w:bCs/>
                <w:sz w:val="24"/>
              </w:rPr>
              <w:t>锅炉及软化水处理装置用水、喷淋脱硫塔用水以及脱硝工段用水来自经处理后的矿井水。矿井正常排水量为5760m</w:t>
            </w:r>
            <w:r>
              <w:rPr>
                <w:rFonts w:hint="eastAsia"/>
                <w:bCs/>
                <w:sz w:val="24"/>
                <w:vertAlign w:val="superscript"/>
              </w:rPr>
              <w:t>3</w:t>
            </w:r>
            <w:r>
              <w:rPr>
                <w:rFonts w:hint="eastAsia"/>
                <w:bCs/>
                <w:sz w:val="24"/>
              </w:rPr>
              <w:t>/d，其中用于井下洒水1325</w:t>
            </w:r>
            <w:r>
              <w:rPr>
                <w:bCs/>
                <w:sz w:val="24"/>
              </w:rPr>
              <w:t>m</w:t>
            </w:r>
            <w:r>
              <w:rPr>
                <w:bCs/>
                <w:sz w:val="24"/>
                <w:vertAlign w:val="superscript"/>
              </w:rPr>
              <w:t>3</w:t>
            </w:r>
            <w:r>
              <w:rPr>
                <w:bCs/>
                <w:sz w:val="24"/>
              </w:rPr>
              <w:t>/</w:t>
            </w:r>
            <w:r>
              <w:rPr>
                <w:rFonts w:hint="eastAsia"/>
                <w:bCs/>
                <w:sz w:val="24"/>
              </w:rPr>
              <w:t>d，选煤厂补充水1515.2</w:t>
            </w:r>
            <w:r>
              <w:rPr>
                <w:bCs/>
                <w:sz w:val="24"/>
              </w:rPr>
              <w:t xml:space="preserve"> m</w:t>
            </w:r>
            <w:r>
              <w:rPr>
                <w:bCs/>
                <w:sz w:val="24"/>
                <w:vertAlign w:val="superscript"/>
              </w:rPr>
              <w:t>3</w:t>
            </w:r>
            <w:r>
              <w:rPr>
                <w:bCs/>
                <w:sz w:val="24"/>
              </w:rPr>
              <w:t>/</w:t>
            </w:r>
            <w:r>
              <w:rPr>
                <w:rFonts w:hint="eastAsia"/>
                <w:bCs/>
                <w:sz w:val="24"/>
              </w:rPr>
              <w:t>d，防火灌浆站用水832.7</w:t>
            </w:r>
            <w:r>
              <w:rPr>
                <w:bCs/>
                <w:sz w:val="24"/>
              </w:rPr>
              <w:t xml:space="preserve"> m</w:t>
            </w:r>
            <w:r>
              <w:rPr>
                <w:bCs/>
                <w:sz w:val="24"/>
                <w:vertAlign w:val="superscript"/>
              </w:rPr>
              <w:t>3</w:t>
            </w:r>
            <w:r>
              <w:rPr>
                <w:bCs/>
                <w:sz w:val="24"/>
              </w:rPr>
              <w:t>/</w:t>
            </w:r>
            <w:r>
              <w:rPr>
                <w:rFonts w:hint="eastAsia"/>
                <w:bCs/>
                <w:sz w:val="24"/>
              </w:rPr>
              <w:t>d，地面生产系统冲洗水80</w:t>
            </w:r>
            <w:r>
              <w:rPr>
                <w:bCs/>
                <w:sz w:val="24"/>
              </w:rPr>
              <w:t xml:space="preserve"> m</w:t>
            </w:r>
            <w:r>
              <w:rPr>
                <w:bCs/>
                <w:sz w:val="24"/>
                <w:vertAlign w:val="superscript"/>
              </w:rPr>
              <w:t>3</w:t>
            </w:r>
            <w:r>
              <w:rPr>
                <w:bCs/>
                <w:sz w:val="24"/>
              </w:rPr>
              <w:t>/</w:t>
            </w:r>
            <w:r>
              <w:rPr>
                <w:rFonts w:hint="eastAsia"/>
                <w:bCs/>
                <w:sz w:val="24"/>
              </w:rPr>
              <w:t>d，绿化降尘用水50</w:t>
            </w:r>
            <w:r>
              <w:rPr>
                <w:bCs/>
                <w:sz w:val="24"/>
              </w:rPr>
              <w:t xml:space="preserve"> m</w:t>
            </w:r>
            <w:r>
              <w:rPr>
                <w:bCs/>
                <w:sz w:val="24"/>
                <w:vertAlign w:val="superscript"/>
              </w:rPr>
              <w:t>3</w:t>
            </w:r>
            <w:r>
              <w:rPr>
                <w:bCs/>
                <w:sz w:val="24"/>
              </w:rPr>
              <w:t>/</w:t>
            </w:r>
            <w:r>
              <w:rPr>
                <w:rFonts w:hint="eastAsia"/>
                <w:bCs/>
                <w:sz w:val="24"/>
              </w:rPr>
              <w:t>d，剩余1957.1</w:t>
            </w:r>
            <w:r>
              <w:rPr>
                <w:bCs/>
                <w:sz w:val="24"/>
              </w:rPr>
              <w:t xml:space="preserve"> m</w:t>
            </w:r>
            <w:r>
              <w:rPr>
                <w:bCs/>
                <w:sz w:val="24"/>
                <w:vertAlign w:val="superscript"/>
              </w:rPr>
              <w:t>3</w:t>
            </w:r>
            <w:r>
              <w:rPr>
                <w:bCs/>
                <w:sz w:val="24"/>
              </w:rPr>
              <w:t>/</w:t>
            </w:r>
            <w:r>
              <w:rPr>
                <w:rFonts w:hint="eastAsia"/>
                <w:bCs/>
                <w:sz w:val="24"/>
              </w:rPr>
              <w:t>d，本项目最大用水量为964.7</w:t>
            </w:r>
            <w:r>
              <w:rPr>
                <w:bCs/>
                <w:sz w:val="24"/>
              </w:rPr>
              <w:t>m</w:t>
            </w:r>
            <w:r>
              <w:rPr>
                <w:bCs/>
                <w:sz w:val="24"/>
                <w:vertAlign w:val="superscript"/>
              </w:rPr>
              <w:t>3</w:t>
            </w:r>
            <w:r>
              <w:rPr>
                <w:bCs/>
                <w:sz w:val="24"/>
              </w:rPr>
              <w:t>/</w:t>
            </w:r>
            <w:r>
              <w:rPr>
                <w:rFonts w:hint="eastAsia"/>
                <w:bCs/>
                <w:sz w:val="24"/>
              </w:rPr>
              <w:t>d，因此剩余矿井水可满足本项目用水需求。</w:t>
            </w:r>
          </w:p>
          <w:p w14:paraId="0D4714BD">
            <w:pPr>
              <w:jc w:val="center"/>
              <w:rPr>
                <w:b/>
                <w:szCs w:val="21"/>
              </w:rPr>
            </w:pPr>
            <w:r>
              <w:rPr>
                <w:b/>
                <w:szCs w:val="21"/>
              </w:rPr>
              <w:t>表2-</w:t>
            </w:r>
            <w:r>
              <w:rPr>
                <w:rFonts w:hint="eastAsia"/>
                <w:b/>
                <w:szCs w:val="21"/>
              </w:rPr>
              <w:t>6</w:t>
            </w:r>
            <w:r>
              <w:rPr>
                <w:b/>
                <w:szCs w:val="21"/>
              </w:rPr>
              <w:t xml:space="preserve">  项目用排水量一览表</w:t>
            </w:r>
            <w:r>
              <w:rPr>
                <w:rFonts w:hint="eastAsia"/>
                <w:b/>
                <w:szCs w:val="21"/>
              </w:rPr>
              <w:t>（采暖期）</w:t>
            </w:r>
          </w:p>
          <w:tbl>
            <w:tblPr>
              <w:tblStyle w:val="3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1078"/>
              <w:gridCol w:w="1260"/>
              <w:gridCol w:w="633"/>
              <w:gridCol w:w="1032"/>
              <w:gridCol w:w="1283"/>
              <w:gridCol w:w="1620"/>
            </w:tblGrid>
            <w:tr w14:paraId="5FACB0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1" w:type="dxa"/>
                  <w:noWrap/>
                  <w:vAlign w:val="center"/>
                </w:tcPr>
                <w:p w14:paraId="7AF340FE">
                  <w:pPr>
                    <w:widowControl/>
                    <w:jc w:val="center"/>
                    <w:rPr>
                      <w:kern w:val="0"/>
                      <w:szCs w:val="21"/>
                    </w:rPr>
                  </w:pPr>
                  <w:r>
                    <w:rPr>
                      <w:kern w:val="0"/>
                      <w:szCs w:val="21"/>
                    </w:rPr>
                    <w:t>项目</w:t>
                  </w:r>
                </w:p>
              </w:tc>
              <w:tc>
                <w:tcPr>
                  <w:tcW w:w="1078" w:type="dxa"/>
                  <w:noWrap/>
                  <w:vAlign w:val="center"/>
                </w:tcPr>
                <w:p w14:paraId="6111422A">
                  <w:pPr>
                    <w:widowControl/>
                    <w:jc w:val="center"/>
                    <w:rPr>
                      <w:kern w:val="0"/>
                      <w:szCs w:val="21"/>
                    </w:rPr>
                  </w:pPr>
                  <w:r>
                    <w:rPr>
                      <w:kern w:val="0"/>
                      <w:szCs w:val="21"/>
                    </w:rPr>
                    <w:t>用水量</w:t>
                  </w:r>
                </w:p>
                <w:p w14:paraId="6E2422B1">
                  <w:pPr>
                    <w:widowControl/>
                    <w:jc w:val="center"/>
                    <w:rPr>
                      <w:kern w:val="0"/>
                      <w:szCs w:val="21"/>
                    </w:rPr>
                  </w:pPr>
                  <w:r>
                    <w:rPr>
                      <w:rFonts w:hint="eastAsia"/>
                      <w:kern w:val="0"/>
                      <w:szCs w:val="21"/>
                    </w:rPr>
                    <w:t>（</w:t>
                  </w:r>
                  <w:r>
                    <w:rPr>
                      <w:kern w:val="0"/>
                      <w:szCs w:val="21"/>
                    </w:rPr>
                    <w:t>m</w:t>
                  </w:r>
                  <w:r>
                    <w:rPr>
                      <w:kern w:val="0"/>
                      <w:szCs w:val="21"/>
                      <w:vertAlign w:val="superscript"/>
                    </w:rPr>
                    <w:t>3</w:t>
                  </w:r>
                  <w:r>
                    <w:rPr>
                      <w:kern w:val="0"/>
                      <w:szCs w:val="21"/>
                    </w:rPr>
                    <w:t>/</w:t>
                  </w:r>
                  <w:r>
                    <w:rPr>
                      <w:rFonts w:hint="eastAsia"/>
                      <w:kern w:val="0"/>
                      <w:szCs w:val="21"/>
                    </w:rPr>
                    <w:t>d）</w:t>
                  </w:r>
                </w:p>
              </w:tc>
              <w:tc>
                <w:tcPr>
                  <w:tcW w:w="1368" w:type="dxa"/>
                  <w:vAlign w:val="center"/>
                </w:tcPr>
                <w:p w14:paraId="7B53CD8B">
                  <w:pPr>
                    <w:widowControl/>
                    <w:jc w:val="center"/>
                    <w:rPr>
                      <w:kern w:val="0"/>
                      <w:szCs w:val="21"/>
                    </w:rPr>
                  </w:pPr>
                  <w:r>
                    <w:rPr>
                      <w:kern w:val="0"/>
                      <w:szCs w:val="21"/>
                    </w:rPr>
                    <w:t>新鲜水用量</w:t>
                  </w:r>
                  <w:r>
                    <w:rPr>
                      <w:rFonts w:hint="eastAsia"/>
                      <w:kern w:val="0"/>
                      <w:szCs w:val="21"/>
                    </w:rPr>
                    <w:t>（</w:t>
                  </w:r>
                  <w:r>
                    <w:rPr>
                      <w:kern w:val="0"/>
                      <w:szCs w:val="21"/>
                    </w:rPr>
                    <w:t>m</w:t>
                  </w:r>
                  <w:r>
                    <w:rPr>
                      <w:kern w:val="0"/>
                      <w:szCs w:val="21"/>
                      <w:vertAlign w:val="superscript"/>
                    </w:rPr>
                    <w:t>3</w:t>
                  </w:r>
                  <w:r>
                    <w:rPr>
                      <w:kern w:val="0"/>
                      <w:szCs w:val="21"/>
                    </w:rPr>
                    <w:t>/</w:t>
                  </w:r>
                  <w:r>
                    <w:rPr>
                      <w:rFonts w:hint="eastAsia"/>
                      <w:kern w:val="0"/>
                      <w:szCs w:val="21"/>
                    </w:rPr>
                    <w:t>d）</w:t>
                  </w:r>
                </w:p>
              </w:tc>
              <w:tc>
                <w:tcPr>
                  <w:tcW w:w="731" w:type="dxa"/>
                  <w:vAlign w:val="center"/>
                </w:tcPr>
                <w:p w14:paraId="59014767">
                  <w:pPr>
                    <w:widowControl/>
                    <w:jc w:val="center"/>
                    <w:rPr>
                      <w:kern w:val="0"/>
                      <w:szCs w:val="21"/>
                    </w:rPr>
                  </w:pPr>
                  <w:r>
                    <w:rPr>
                      <w:kern w:val="0"/>
                      <w:szCs w:val="21"/>
                    </w:rPr>
                    <w:t>供水来源</w:t>
                  </w:r>
                </w:p>
              </w:tc>
              <w:tc>
                <w:tcPr>
                  <w:tcW w:w="1033" w:type="dxa"/>
                  <w:vAlign w:val="center"/>
                </w:tcPr>
                <w:p w14:paraId="5A69E438">
                  <w:pPr>
                    <w:widowControl/>
                    <w:jc w:val="center"/>
                    <w:rPr>
                      <w:kern w:val="0"/>
                      <w:szCs w:val="21"/>
                    </w:rPr>
                  </w:pPr>
                  <w:r>
                    <w:rPr>
                      <w:rFonts w:hint="eastAsia"/>
                      <w:kern w:val="0"/>
                      <w:szCs w:val="21"/>
                    </w:rPr>
                    <w:t>损失量（</w:t>
                  </w:r>
                  <w:r>
                    <w:rPr>
                      <w:kern w:val="0"/>
                      <w:szCs w:val="21"/>
                    </w:rPr>
                    <w:t>m</w:t>
                  </w:r>
                  <w:r>
                    <w:rPr>
                      <w:kern w:val="0"/>
                      <w:szCs w:val="21"/>
                      <w:vertAlign w:val="superscript"/>
                    </w:rPr>
                    <w:t>3</w:t>
                  </w:r>
                  <w:r>
                    <w:rPr>
                      <w:kern w:val="0"/>
                      <w:szCs w:val="21"/>
                    </w:rPr>
                    <w:t>/</w:t>
                  </w:r>
                  <w:r>
                    <w:rPr>
                      <w:rFonts w:hint="eastAsia"/>
                      <w:kern w:val="0"/>
                      <w:szCs w:val="21"/>
                    </w:rPr>
                    <w:t>d）</w:t>
                  </w:r>
                </w:p>
              </w:tc>
              <w:tc>
                <w:tcPr>
                  <w:tcW w:w="1283" w:type="dxa"/>
                  <w:noWrap/>
                  <w:vAlign w:val="center"/>
                </w:tcPr>
                <w:p w14:paraId="211D28A4">
                  <w:pPr>
                    <w:widowControl/>
                    <w:jc w:val="center"/>
                    <w:rPr>
                      <w:kern w:val="0"/>
                      <w:szCs w:val="21"/>
                    </w:rPr>
                  </w:pPr>
                  <w:r>
                    <w:rPr>
                      <w:kern w:val="0"/>
                      <w:szCs w:val="21"/>
                    </w:rPr>
                    <w:t>废水</w:t>
                  </w:r>
                  <w:r>
                    <w:rPr>
                      <w:rFonts w:hint="eastAsia"/>
                      <w:kern w:val="0"/>
                      <w:szCs w:val="21"/>
                    </w:rPr>
                    <w:t>产生</w:t>
                  </w:r>
                  <w:r>
                    <w:rPr>
                      <w:kern w:val="0"/>
                      <w:szCs w:val="21"/>
                    </w:rPr>
                    <w:t>量</w:t>
                  </w:r>
                  <w:r>
                    <w:rPr>
                      <w:rFonts w:hint="eastAsia"/>
                      <w:kern w:val="0"/>
                      <w:szCs w:val="21"/>
                    </w:rPr>
                    <w:t>（</w:t>
                  </w:r>
                  <w:r>
                    <w:rPr>
                      <w:kern w:val="0"/>
                      <w:szCs w:val="21"/>
                    </w:rPr>
                    <w:t>m</w:t>
                  </w:r>
                  <w:r>
                    <w:rPr>
                      <w:kern w:val="0"/>
                      <w:szCs w:val="21"/>
                      <w:vertAlign w:val="superscript"/>
                    </w:rPr>
                    <w:t>3</w:t>
                  </w:r>
                  <w:r>
                    <w:rPr>
                      <w:kern w:val="0"/>
                      <w:szCs w:val="21"/>
                    </w:rPr>
                    <w:t>/</w:t>
                  </w:r>
                  <w:r>
                    <w:rPr>
                      <w:rFonts w:hint="eastAsia"/>
                      <w:kern w:val="0"/>
                      <w:szCs w:val="21"/>
                    </w:rPr>
                    <w:t>d）</w:t>
                  </w:r>
                </w:p>
              </w:tc>
              <w:tc>
                <w:tcPr>
                  <w:tcW w:w="1619" w:type="dxa"/>
                  <w:vAlign w:val="center"/>
                </w:tcPr>
                <w:p w14:paraId="76ACD678">
                  <w:pPr>
                    <w:widowControl/>
                    <w:jc w:val="center"/>
                    <w:rPr>
                      <w:kern w:val="0"/>
                      <w:szCs w:val="21"/>
                    </w:rPr>
                  </w:pPr>
                  <w:r>
                    <w:rPr>
                      <w:kern w:val="0"/>
                      <w:szCs w:val="21"/>
                    </w:rPr>
                    <w:t>设计排水去向</w:t>
                  </w:r>
                </w:p>
              </w:tc>
            </w:tr>
            <w:tr w14:paraId="744F4A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1" w:type="dxa"/>
                  <w:noWrap/>
                  <w:vAlign w:val="center"/>
                </w:tcPr>
                <w:p w14:paraId="7F0D681D">
                  <w:pPr>
                    <w:widowControl/>
                    <w:jc w:val="center"/>
                    <w:rPr>
                      <w:kern w:val="0"/>
                      <w:szCs w:val="21"/>
                    </w:rPr>
                  </w:pPr>
                  <w:r>
                    <w:rPr>
                      <w:rFonts w:hint="eastAsia"/>
                      <w:bCs/>
                      <w:szCs w:val="21"/>
                    </w:rPr>
                    <w:t>软水制备</w:t>
                  </w:r>
                </w:p>
              </w:tc>
              <w:tc>
                <w:tcPr>
                  <w:tcW w:w="1078" w:type="dxa"/>
                  <w:vAlign w:val="center"/>
                </w:tcPr>
                <w:p w14:paraId="40601AD2">
                  <w:pPr>
                    <w:widowControl/>
                    <w:jc w:val="center"/>
                    <w:rPr>
                      <w:kern w:val="0"/>
                      <w:szCs w:val="21"/>
                    </w:rPr>
                  </w:pPr>
                  <w:r>
                    <w:rPr>
                      <w:rFonts w:hint="eastAsia"/>
                      <w:bCs/>
                      <w:szCs w:val="21"/>
                    </w:rPr>
                    <w:t>138</w:t>
                  </w:r>
                </w:p>
              </w:tc>
              <w:tc>
                <w:tcPr>
                  <w:tcW w:w="1368" w:type="dxa"/>
                  <w:vAlign w:val="center"/>
                </w:tcPr>
                <w:p w14:paraId="41F1AE8D">
                  <w:pPr>
                    <w:widowControl/>
                    <w:jc w:val="center"/>
                    <w:rPr>
                      <w:kern w:val="0"/>
                      <w:szCs w:val="21"/>
                    </w:rPr>
                  </w:pPr>
                  <w:r>
                    <w:rPr>
                      <w:rFonts w:hint="eastAsia"/>
                      <w:bCs/>
                      <w:szCs w:val="21"/>
                    </w:rPr>
                    <w:t>138</w:t>
                  </w:r>
                </w:p>
              </w:tc>
              <w:tc>
                <w:tcPr>
                  <w:tcW w:w="731" w:type="dxa"/>
                  <w:vMerge w:val="restart"/>
                  <w:vAlign w:val="center"/>
                </w:tcPr>
                <w:p w14:paraId="6FC21CE7">
                  <w:pPr>
                    <w:widowControl/>
                    <w:jc w:val="center"/>
                    <w:rPr>
                      <w:kern w:val="0"/>
                      <w:szCs w:val="21"/>
                    </w:rPr>
                  </w:pPr>
                  <w:r>
                    <w:rPr>
                      <w:rFonts w:hint="eastAsia"/>
                      <w:kern w:val="0"/>
                      <w:szCs w:val="21"/>
                    </w:rPr>
                    <w:t>由厂区给水管网</w:t>
                  </w:r>
                </w:p>
              </w:tc>
              <w:tc>
                <w:tcPr>
                  <w:tcW w:w="1033" w:type="dxa"/>
                  <w:vAlign w:val="center"/>
                </w:tcPr>
                <w:p w14:paraId="5FC22362">
                  <w:pPr>
                    <w:widowControl/>
                    <w:jc w:val="center"/>
                    <w:rPr>
                      <w:kern w:val="0"/>
                      <w:szCs w:val="21"/>
                    </w:rPr>
                  </w:pPr>
                  <w:r>
                    <w:rPr>
                      <w:rFonts w:hint="eastAsia"/>
                      <w:kern w:val="0"/>
                      <w:szCs w:val="21"/>
                    </w:rPr>
                    <w:t>0</w:t>
                  </w:r>
                </w:p>
              </w:tc>
              <w:tc>
                <w:tcPr>
                  <w:tcW w:w="1283" w:type="dxa"/>
                  <w:noWrap/>
                  <w:vAlign w:val="center"/>
                </w:tcPr>
                <w:p w14:paraId="04DBC747">
                  <w:pPr>
                    <w:widowControl/>
                    <w:jc w:val="center"/>
                    <w:rPr>
                      <w:kern w:val="0"/>
                      <w:szCs w:val="21"/>
                    </w:rPr>
                  </w:pPr>
                  <w:r>
                    <w:rPr>
                      <w:rFonts w:hint="eastAsia"/>
                      <w:kern w:val="0"/>
                      <w:szCs w:val="21"/>
                    </w:rPr>
                    <w:t>42</w:t>
                  </w:r>
                </w:p>
              </w:tc>
              <w:tc>
                <w:tcPr>
                  <w:tcW w:w="1619" w:type="dxa"/>
                  <w:vMerge w:val="restart"/>
                  <w:noWrap/>
                  <w:vAlign w:val="center"/>
                </w:tcPr>
                <w:p w14:paraId="7E789DEB">
                  <w:pPr>
                    <w:jc w:val="center"/>
                    <w:rPr>
                      <w:kern w:val="0"/>
                      <w:szCs w:val="21"/>
                    </w:rPr>
                  </w:pPr>
                  <w:r>
                    <w:rPr>
                      <w:rFonts w:hint="eastAsia"/>
                      <w:bCs/>
                      <w:szCs w:val="21"/>
                    </w:rPr>
                    <w:t>排入脱硫系统用做补充水</w:t>
                  </w:r>
                </w:p>
              </w:tc>
            </w:tr>
            <w:tr w14:paraId="492A3C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1" w:type="dxa"/>
                  <w:noWrap/>
                  <w:vAlign w:val="center"/>
                </w:tcPr>
                <w:p w14:paraId="20DFE865">
                  <w:pPr>
                    <w:widowControl/>
                    <w:jc w:val="center"/>
                    <w:rPr>
                      <w:kern w:val="0"/>
                      <w:szCs w:val="21"/>
                    </w:rPr>
                  </w:pPr>
                  <w:r>
                    <w:rPr>
                      <w:rFonts w:hint="eastAsia"/>
                      <w:kern w:val="0"/>
                      <w:szCs w:val="21"/>
                    </w:rPr>
                    <w:t>锅炉</w:t>
                  </w:r>
                </w:p>
              </w:tc>
              <w:tc>
                <w:tcPr>
                  <w:tcW w:w="1078" w:type="dxa"/>
                  <w:vAlign w:val="center"/>
                </w:tcPr>
                <w:p w14:paraId="48E32343">
                  <w:pPr>
                    <w:widowControl/>
                    <w:jc w:val="center"/>
                    <w:rPr>
                      <w:kern w:val="0"/>
                      <w:szCs w:val="21"/>
                    </w:rPr>
                  </w:pPr>
                  <w:r>
                    <w:rPr>
                      <w:rFonts w:hint="eastAsia"/>
                      <w:kern w:val="0"/>
                      <w:szCs w:val="21"/>
                    </w:rPr>
                    <w:t>96</w:t>
                  </w:r>
                </w:p>
              </w:tc>
              <w:tc>
                <w:tcPr>
                  <w:tcW w:w="1368" w:type="dxa"/>
                  <w:vAlign w:val="center"/>
                </w:tcPr>
                <w:p w14:paraId="4CCCA080">
                  <w:pPr>
                    <w:widowControl/>
                    <w:jc w:val="center"/>
                    <w:rPr>
                      <w:kern w:val="0"/>
                      <w:szCs w:val="21"/>
                    </w:rPr>
                  </w:pPr>
                  <w:r>
                    <w:rPr>
                      <w:rFonts w:hint="eastAsia"/>
                      <w:kern w:val="0"/>
                      <w:szCs w:val="21"/>
                    </w:rPr>
                    <w:t>/</w:t>
                  </w:r>
                </w:p>
              </w:tc>
              <w:tc>
                <w:tcPr>
                  <w:tcW w:w="731" w:type="dxa"/>
                  <w:vMerge w:val="continue"/>
                  <w:vAlign w:val="center"/>
                </w:tcPr>
                <w:p w14:paraId="61361C33">
                  <w:pPr>
                    <w:jc w:val="center"/>
                    <w:rPr>
                      <w:kern w:val="0"/>
                      <w:szCs w:val="21"/>
                    </w:rPr>
                  </w:pPr>
                </w:p>
              </w:tc>
              <w:tc>
                <w:tcPr>
                  <w:tcW w:w="1033" w:type="dxa"/>
                  <w:vAlign w:val="center"/>
                </w:tcPr>
                <w:p w14:paraId="2BD873CB">
                  <w:pPr>
                    <w:widowControl/>
                    <w:jc w:val="center"/>
                    <w:rPr>
                      <w:kern w:val="0"/>
                      <w:szCs w:val="21"/>
                    </w:rPr>
                  </w:pPr>
                  <w:r>
                    <w:rPr>
                      <w:rFonts w:hint="eastAsia"/>
                      <w:kern w:val="0"/>
                      <w:szCs w:val="21"/>
                    </w:rPr>
                    <w:t>36</w:t>
                  </w:r>
                </w:p>
              </w:tc>
              <w:tc>
                <w:tcPr>
                  <w:tcW w:w="1283" w:type="dxa"/>
                  <w:noWrap/>
                  <w:vAlign w:val="center"/>
                </w:tcPr>
                <w:p w14:paraId="73E4B83A">
                  <w:pPr>
                    <w:widowControl/>
                    <w:jc w:val="center"/>
                    <w:rPr>
                      <w:kern w:val="0"/>
                      <w:szCs w:val="21"/>
                    </w:rPr>
                  </w:pPr>
                  <w:r>
                    <w:rPr>
                      <w:rFonts w:hint="eastAsia"/>
                      <w:kern w:val="0"/>
                      <w:szCs w:val="21"/>
                    </w:rPr>
                    <w:t>60</w:t>
                  </w:r>
                </w:p>
              </w:tc>
              <w:tc>
                <w:tcPr>
                  <w:tcW w:w="1619" w:type="dxa"/>
                  <w:vMerge w:val="continue"/>
                  <w:noWrap/>
                  <w:vAlign w:val="center"/>
                </w:tcPr>
                <w:p w14:paraId="287C71E6">
                  <w:pPr>
                    <w:jc w:val="center"/>
                    <w:rPr>
                      <w:bCs/>
                      <w:szCs w:val="21"/>
                    </w:rPr>
                  </w:pPr>
                </w:p>
              </w:tc>
            </w:tr>
            <w:tr w14:paraId="0AD3FF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1" w:type="dxa"/>
                  <w:noWrap/>
                  <w:vAlign w:val="center"/>
                </w:tcPr>
                <w:p w14:paraId="7664C183">
                  <w:pPr>
                    <w:widowControl/>
                    <w:jc w:val="center"/>
                    <w:rPr>
                      <w:kern w:val="0"/>
                      <w:szCs w:val="21"/>
                    </w:rPr>
                  </w:pPr>
                  <w:r>
                    <w:rPr>
                      <w:rFonts w:hint="eastAsia"/>
                      <w:kern w:val="0"/>
                      <w:szCs w:val="21"/>
                    </w:rPr>
                    <w:t>脱硫系统</w:t>
                  </w:r>
                </w:p>
              </w:tc>
              <w:tc>
                <w:tcPr>
                  <w:tcW w:w="1078" w:type="dxa"/>
                  <w:vAlign w:val="center"/>
                </w:tcPr>
                <w:p w14:paraId="1260C4B7">
                  <w:pPr>
                    <w:widowControl/>
                    <w:jc w:val="center"/>
                    <w:rPr>
                      <w:kern w:val="0"/>
                      <w:szCs w:val="21"/>
                    </w:rPr>
                  </w:pPr>
                  <w:r>
                    <w:rPr>
                      <w:rFonts w:hint="eastAsia"/>
                      <w:kern w:val="0"/>
                      <w:szCs w:val="21"/>
                    </w:rPr>
                    <w:t>4</w:t>
                  </w:r>
                  <w:r>
                    <w:rPr>
                      <w:kern w:val="0"/>
                      <w:szCs w:val="21"/>
                    </w:rPr>
                    <w:t>13.6</w:t>
                  </w:r>
                </w:p>
              </w:tc>
              <w:tc>
                <w:tcPr>
                  <w:tcW w:w="1368" w:type="dxa"/>
                  <w:vAlign w:val="center"/>
                </w:tcPr>
                <w:p w14:paraId="2567595A">
                  <w:pPr>
                    <w:widowControl/>
                    <w:jc w:val="center"/>
                    <w:rPr>
                      <w:kern w:val="0"/>
                      <w:szCs w:val="21"/>
                    </w:rPr>
                  </w:pPr>
                  <w:r>
                    <w:rPr>
                      <w:kern w:val="0"/>
                      <w:szCs w:val="21"/>
                    </w:rPr>
                    <w:t>311.6</w:t>
                  </w:r>
                </w:p>
              </w:tc>
              <w:tc>
                <w:tcPr>
                  <w:tcW w:w="731" w:type="dxa"/>
                  <w:vMerge w:val="continue"/>
                  <w:vAlign w:val="center"/>
                </w:tcPr>
                <w:p w14:paraId="08DBA65E">
                  <w:pPr>
                    <w:jc w:val="center"/>
                    <w:rPr>
                      <w:kern w:val="0"/>
                      <w:szCs w:val="21"/>
                    </w:rPr>
                  </w:pPr>
                </w:p>
              </w:tc>
              <w:tc>
                <w:tcPr>
                  <w:tcW w:w="1033" w:type="dxa"/>
                  <w:vAlign w:val="center"/>
                </w:tcPr>
                <w:p w14:paraId="689D1A15">
                  <w:pPr>
                    <w:widowControl/>
                    <w:jc w:val="center"/>
                    <w:rPr>
                      <w:kern w:val="0"/>
                      <w:szCs w:val="21"/>
                    </w:rPr>
                  </w:pPr>
                  <w:r>
                    <w:rPr>
                      <w:rFonts w:hint="eastAsia"/>
                      <w:kern w:val="0"/>
                      <w:szCs w:val="21"/>
                    </w:rPr>
                    <w:t>413.6</w:t>
                  </w:r>
                </w:p>
              </w:tc>
              <w:tc>
                <w:tcPr>
                  <w:tcW w:w="1283" w:type="dxa"/>
                  <w:noWrap/>
                  <w:vAlign w:val="center"/>
                </w:tcPr>
                <w:p w14:paraId="6D8A215D">
                  <w:pPr>
                    <w:widowControl/>
                    <w:jc w:val="center"/>
                    <w:rPr>
                      <w:kern w:val="0"/>
                      <w:szCs w:val="21"/>
                    </w:rPr>
                  </w:pPr>
                  <w:r>
                    <w:rPr>
                      <w:rFonts w:hint="eastAsia"/>
                      <w:kern w:val="0"/>
                      <w:szCs w:val="21"/>
                    </w:rPr>
                    <w:t>0</w:t>
                  </w:r>
                </w:p>
              </w:tc>
              <w:tc>
                <w:tcPr>
                  <w:tcW w:w="1619" w:type="dxa"/>
                  <w:noWrap/>
                  <w:vAlign w:val="center"/>
                </w:tcPr>
                <w:p w14:paraId="672ED5FB">
                  <w:pPr>
                    <w:jc w:val="center"/>
                    <w:rPr>
                      <w:bCs/>
                      <w:szCs w:val="21"/>
                    </w:rPr>
                  </w:pPr>
                  <w:r>
                    <w:rPr>
                      <w:rFonts w:hint="eastAsia"/>
                      <w:bCs/>
                      <w:szCs w:val="21"/>
                    </w:rPr>
                    <w:t>/</w:t>
                  </w:r>
                </w:p>
              </w:tc>
            </w:tr>
            <w:tr w14:paraId="6C5541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1" w:type="dxa"/>
                  <w:noWrap/>
                  <w:vAlign w:val="center"/>
                </w:tcPr>
                <w:p w14:paraId="2E94E1DB">
                  <w:pPr>
                    <w:widowControl/>
                    <w:jc w:val="center"/>
                    <w:rPr>
                      <w:kern w:val="0"/>
                      <w:szCs w:val="21"/>
                    </w:rPr>
                  </w:pPr>
                  <w:r>
                    <w:rPr>
                      <w:rFonts w:hint="eastAsia"/>
                      <w:kern w:val="0"/>
                      <w:szCs w:val="21"/>
                    </w:rPr>
                    <w:t>脱硝工段</w:t>
                  </w:r>
                </w:p>
              </w:tc>
              <w:tc>
                <w:tcPr>
                  <w:tcW w:w="1078" w:type="dxa"/>
                  <w:vAlign w:val="center"/>
                </w:tcPr>
                <w:p w14:paraId="20A9548B">
                  <w:pPr>
                    <w:widowControl/>
                    <w:jc w:val="center"/>
                    <w:rPr>
                      <w:kern w:val="0"/>
                      <w:szCs w:val="21"/>
                    </w:rPr>
                  </w:pPr>
                  <w:r>
                    <w:rPr>
                      <w:rFonts w:hint="eastAsia"/>
                      <w:kern w:val="0"/>
                      <w:szCs w:val="21"/>
                    </w:rPr>
                    <w:t>515.1</w:t>
                  </w:r>
                </w:p>
              </w:tc>
              <w:tc>
                <w:tcPr>
                  <w:tcW w:w="1368" w:type="dxa"/>
                  <w:vAlign w:val="center"/>
                </w:tcPr>
                <w:p w14:paraId="1B1D2500">
                  <w:pPr>
                    <w:widowControl/>
                    <w:jc w:val="center"/>
                    <w:rPr>
                      <w:kern w:val="0"/>
                      <w:szCs w:val="21"/>
                    </w:rPr>
                  </w:pPr>
                  <w:r>
                    <w:rPr>
                      <w:rFonts w:hint="eastAsia"/>
                      <w:kern w:val="0"/>
                      <w:szCs w:val="21"/>
                    </w:rPr>
                    <w:t>515.1</w:t>
                  </w:r>
                </w:p>
              </w:tc>
              <w:tc>
                <w:tcPr>
                  <w:tcW w:w="731" w:type="dxa"/>
                  <w:vMerge w:val="continue"/>
                  <w:vAlign w:val="center"/>
                </w:tcPr>
                <w:p w14:paraId="482135EF">
                  <w:pPr>
                    <w:jc w:val="center"/>
                    <w:rPr>
                      <w:kern w:val="0"/>
                      <w:szCs w:val="21"/>
                    </w:rPr>
                  </w:pPr>
                </w:p>
              </w:tc>
              <w:tc>
                <w:tcPr>
                  <w:tcW w:w="1033" w:type="dxa"/>
                  <w:vAlign w:val="center"/>
                </w:tcPr>
                <w:p w14:paraId="57EEBC43">
                  <w:pPr>
                    <w:widowControl/>
                    <w:jc w:val="center"/>
                    <w:rPr>
                      <w:kern w:val="0"/>
                      <w:szCs w:val="21"/>
                    </w:rPr>
                  </w:pPr>
                  <w:r>
                    <w:rPr>
                      <w:rFonts w:hint="eastAsia"/>
                      <w:kern w:val="0"/>
                      <w:szCs w:val="21"/>
                    </w:rPr>
                    <w:t>515.1</w:t>
                  </w:r>
                </w:p>
              </w:tc>
              <w:tc>
                <w:tcPr>
                  <w:tcW w:w="1283" w:type="dxa"/>
                  <w:noWrap/>
                  <w:vAlign w:val="center"/>
                </w:tcPr>
                <w:p w14:paraId="3D1EEFDC">
                  <w:pPr>
                    <w:widowControl/>
                    <w:jc w:val="center"/>
                    <w:rPr>
                      <w:kern w:val="0"/>
                      <w:szCs w:val="21"/>
                    </w:rPr>
                  </w:pPr>
                  <w:r>
                    <w:rPr>
                      <w:rFonts w:hint="eastAsia"/>
                      <w:kern w:val="0"/>
                      <w:szCs w:val="21"/>
                    </w:rPr>
                    <w:t>0</w:t>
                  </w:r>
                </w:p>
              </w:tc>
              <w:tc>
                <w:tcPr>
                  <w:tcW w:w="1619" w:type="dxa"/>
                  <w:noWrap/>
                  <w:vAlign w:val="center"/>
                </w:tcPr>
                <w:p w14:paraId="66E4A32F">
                  <w:pPr>
                    <w:jc w:val="center"/>
                    <w:rPr>
                      <w:bCs/>
                      <w:szCs w:val="21"/>
                    </w:rPr>
                  </w:pPr>
                  <w:r>
                    <w:rPr>
                      <w:rFonts w:hint="eastAsia"/>
                      <w:bCs/>
                      <w:szCs w:val="21"/>
                    </w:rPr>
                    <w:t>/</w:t>
                  </w:r>
                </w:p>
              </w:tc>
            </w:tr>
            <w:tr w14:paraId="354F1A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1" w:type="dxa"/>
                  <w:noWrap/>
                  <w:vAlign w:val="center"/>
                </w:tcPr>
                <w:p w14:paraId="01D2E050">
                  <w:pPr>
                    <w:widowControl/>
                    <w:jc w:val="center"/>
                    <w:rPr>
                      <w:kern w:val="0"/>
                      <w:szCs w:val="21"/>
                    </w:rPr>
                  </w:pPr>
                  <w:r>
                    <w:rPr>
                      <w:kern w:val="0"/>
                      <w:szCs w:val="21"/>
                    </w:rPr>
                    <w:t>合计</w:t>
                  </w:r>
                </w:p>
              </w:tc>
              <w:tc>
                <w:tcPr>
                  <w:tcW w:w="1078" w:type="dxa"/>
                  <w:vAlign w:val="center"/>
                </w:tcPr>
                <w:p w14:paraId="11F3FD23">
                  <w:pPr>
                    <w:widowControl/>
                    <w:jc w:val="center"/>
                    <w:rPr>
                      <w:kern w:val="0"/>
                      <w:szCs w:val="21"/>
                    </w:rPr>
                  </w:pPr>
                  <w:r>
                    <w:rPr>
                      <w:kern w:val="0"/>
                      <w:szCs w:val="21"/>
                    </w:rPr>
                    <w:t>1162.7</w:t>
                  </w:r>
                </w:p>
              </w:tc>
              <w:tc>
                <w:tcPr>
                  <w:tcW w:w="1368" w:type="dxa"/>
                  <w:vAlign w:val="center"/>
                </w:tcPr>
                <w:p w14:paraId="5842D14D">
                  <w:pPr>
                    <w:widowControl/>
                    <w:jc w:val="center"/>
                    <w:rPr>
                      <w:kern w:val="0"/>
                      <w:szCs w:val="21"/>
                    </w:rPr>
                  </w:pPr>
                  <w:r>
                    <w:rPr>
                      <w:kern w:val="0"/>
                      <w:szCs w:val="21"/>
                    </w:rPr>
                    <w:t>964.7</w:t>
                  </w:r>
                </w:p>
              </w:tc>
              <w:tc>
                <w:tcPr>
                  <w:tcW w:w="731" w:type="dxa"/>
                  <w:vMerge w:val="continue"/>
                  <w:vAlign w:val="center"/>
                </w:tcPr>
                <w:p w14:paraId="1664608D">
                  <w:pPr>
                    <w:widowControl/>
                    <w:jc w:val="center"/>
                    <w:rPr>
                      <w:kern w:val="0"/>
                      <w:szCs w:val="21"/>
                    </w:rPr>
                  </w:pPr>
                </w:p>
              </w:tc>
              <w:tc>
                <w:tcPr>
                  <w:tcW w:w="1033" w:type="dxa"/>
                  <w:vAlign w:val="center"/>
                </w:tcPr>
                <w:p w14:paraId="67E1A1BA">
                  <w:pPr>
                    <w:widowControl/>
                    <w:jc w:val="center"/>
                    <w:rPr>
                      <w:kern w:val="0"/>
                      <w:szCs w:val="21"/>
                    </w:rPr>
                  </w:pPr>
                  <w:r>
                    <w:rPr>
                      <w:rFonts w:hint="eastAsia"/>
                      <w:kern w:val="0"/>
                      <w:szCs w:val="21"/>
                    </w:rPr>
                    <w:t>964.7</w:t>
                  </w:r>
                </w:p>
              </w:tc>
              <w:tc>
                <w:tcPr>
                  <w:tcW w:w="1283" w:type="dxa"/>
                  <w:noWrap/>
                  <w:vAlign w:val="center"/>
                </w:tcPr>
                <w:p w14:paraId="23D8B214">
                  <w:pPr>
                    <w:widowControl/>
                    <w:jc w:val="center"/>
                    <w:rPr>
                      <w:kern w:val="0"/>
                      <w:szCs w:val="21"/>
                    </w:rPr>
                  </w:pPr>
                  <w:r>
                    <w:rPr>
                      <w:rFonts w:hint="eastAsia"/>
                      <w:kern w:val="0"/>
                      <w:szCs w:val="21"/>
                    </w:rPr>
                    <w:t>102</w:t>
                  </w:r>
                </w:p>
              </w:tc>
              <w:tc>
                <w:tcPr>
                  <w:tcW w:w="1619" w:type="dxa"/>
                  <w:noWrap/>
                  <w:vAlign w:val="center"/>
                </w:tcPr>
                <w:p w14:paraId="4B346D3A">
                  <w:pPr>
                    <w:jc w:val="center"/>
                    <w:rPr>
                      <w:kern w:val="0"/>
                      <w:szCs w:val="21"/>
                    </w:rPr>
                  </w:pPr>
                  <w:r>
                    <w:rPr>
                      <w:kern w:val="0"/>
                      <w:szCs w:val="21"/>
                    </w:rPr>
                    <w:t>/</w:t>
                  </w:r>
                </w:p>
              </w:tc>
            </w:tr>
          </w:tbl>
          <w:p w14:paraId="2A380F41">
            <w:pPr>
              <w:jc w:val="center"/>
              <w:rPr>
                <w:b/>
                <w:szCs w:val="21"/>
              </w:rPr>
            </w:pPr>
            <w:r>
              <w:rPr>
                <w:b/>
                <w:szCs w:val="21"/>
              </w:rPr>
              <w:t>表2-</w:t>
            </w:r>
            <w:r>
              <w:rPr>
                <w:rFonts w:hint="eastAsia"/>
                <w:b/>
                <w:szCs w:val="21"/>
              </w:rPr>
              <w:t>7</w:t>
            </w:r>
            <w:r>
              <w:rPr>
                <w:b/>
                <w:szCs w:val="21"/>
              </w:rPr>
              <w:t xml:space="preserve">  项目用排水量一览表</w:t>
            </w:r>
            <w:r>
              <w:rPr>
                <w:rFonts w:hint="eastAsia"/>
                <w:b/>
                <w:szCs w:val="21"/>
              </w:rPr>
              <w:t>（非采暖期）</w:t>
            </w:r>
          </w:p>
          <w:tbl>
            <w:tblPr>
              <w:tblStyle w:val="3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31"/>
              <w:gridCol w:w="1078"/>
              <w:gridCol w:w="1260"/>
              <w:gridCol w:w="633"/>
              <w:gridCol w:w="1032"/>
              <w:gridCol w:w="1283"/>
              <w:gridCol w:w="1620"/>
            </w:tblGrid>
            <w:tr w14:paraId="37214F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1" w:type="dxa"/>
                  <w:noWrap/>
                  <w:vAlign w:val="center"/>
                </w:tcPr>
                <w:p w14:paraId="43AE0775">
                  <w:pPr>
                    <w:widowControl/>
                    <w:jc w:val="center"/>
                    <w:rPr>
                      <w:kern w:val="0"/>
                      <w:szCs w:val="21"/>
                    </w:rPr>
                  </w:pPr>
                  <w:r>
                    <w:rPr>
                      <w:kern w:val="0"/>
                      <w:szCs w:val="21"/>
                    </w:rPr>
                    <w:t>项目</w:t>
                  </w:r>
                </w:p>
              </w:tc>
              <w:tc>
                <w:tcPr>
                  <w:tcW w:w="1078" w:type="dxa"/>
                  <w:noWrap/>
                  <w:vAlign w:val="center"/>
                </w:tcPr>
                <w:p w14:paraId="0660DAFD">
                  <w:pPr>
                    <w:widowControl/>
                    <w:jc w:val="center"/>
                    <w:rPr>
                      <w:kern w:val="0"/>
                      <w:szCs w:val="21"/>
                    </w:rPr>
                  </w:pPr>
                  <w:r>
                    <w:rPr>
                      <w:kern w:val="0"/>
                      <w:szCs w:val="21"/>
                    </w:rPr>
                    <w:t>用水量</w:t>
                  </w:r>
                </w:p>
                <w:p w14:paraId="4CBDDA53">
                  <w:pPr>
                    <w:widowControl/>
                    <w:jc w:val="center"/>
                    <w:rPr>
                      <w:kern w:val="0"/>
                      <w:szCs w:val="21"/>
                    </w:rPr>
                  </w:pPr>
                  <w:r>
                    <w:rPr>
                      <w:rFonts w:hint="eastAsia"/>
                      <w:kern w:val="0"/>
                      <w:szCs w:val="21"/>
                    </w:rPr>
                    <w:t>（</w:t>
                  </w:r>
                  <w:r>
                    <w:rPr>
                      <w:kern w:val="0"/>
                      <w:szCs w:val="21"/>
                    </w:rPr>
                    <w:t>m</w:t>
                  </w:r>
                  <w:r>
                    <w:rPr>
                      <w:kern w:val="0"/>
                      <w:szCs w:val="21"/>
                      <w:vertAlign w:val="superscript"/>
                    </w:rPr>
                    <w:t>3</w:t>
                  </w:r>
                  <w:r>
                    <w:rPr>
                      <w:kern w:val="0"/>
                      <w:szCs w:val="21"/>
                    </w:rPr>
                    <w:t>/</w:t>
                  </w:r>
                  <w:r>
                    <w:rPr>
                      <w:rFonts w:hint="eastAsia"/>
                      <w:kern w:val="0"/>
                      <w:szCs w:val="21"/>
                    </w:rPr>
                    <w:t>d）</w:t>
                  </w:r>
                </w:p>
              </w:tc>
              <w:tc>
                <w:tcPr>
                  <w:tcW w:w="1368" w:type="dxa"/>
                  <w:vAlign w:val="center"/>
                </w:tcPr>
                <w:p w14:paraId="2A6D87C2">
                  <w:pPr>
                    <w:widowControl/>
                    <w:jc w:val="center"/>
                    <w:rPr>
                      <w:kern w:val="0"/>
                      <w:szCs w:val="21"/>
                    </w:rPr>
                  </w:pPr>
                  <w:r>
                    <w:rPr>
                      <w:kern w:val="0"/>
                      <w:szCs w:val="21"/>
                    </w:rPr>
                    <w:t>新鲜水用量</w:t>
                  </w:r>
                  <w:r>
                    <w:rPr>
                      <w:rFonts w:hint="eastAsia"/>
                      <w:kern w:val="0"/>
                      <w:szCs w:val="21"/>
                    </w:rPr>
                    <w:t>（</w:t>
                  </w:r>
                  <w:r>
                    <w:rPr>
                      <w:kern w:val="0"/>
                      <w:szCs w:val="21"/>
                    </w:rPr>
                    <w:t>m</w:t>
                  </w:r>
                  <w:r>
                    <w:rPr>
                      <w:kern w:val="0"/>
                      <w:szCs w:val="21"/>
                      <w:vertAlign w:val="superscript"/>
                    </w:rPr>
                    <w:t>3</w:t>
                  </w:r>
                  <w:r>
                    <w:rPr>
                      <w:kern w:val="0"/>
                      <w:szCs w:val="21"/>
                    </w:rPr>
                    <w:t>/</w:t>
                  </w:r>
                  <w:r>
                    <w:rPr>
                      <w:rFonts w:hint="eastAsia"/>
                      <w:kern w:val="0"/>
                      <w:szCs w:val="21"/>
                    </w:rPr>
                    <w:t>d）</w:t>
                  </w:r>
                </w:p>
              </w:tc>
              <w:tc>
                <w:tcPr>
                  <w:tcW w:w="731" w:type="dxa"/>
                  <w:vAlign w:val="center"/>
                </w:tcPr>
                <w:p w14:paraId="46FDDCA4">
                  <w:pPr>
                    <w:widowControl/>
                    <w:jc w:val="center"/>
                    <w:rPr>
                      <w:kern w:val="0"/>
                      <w:szCs w:val="21"/>
                    </w:rPr>
                  </w:pPr>
                  <w:r>
                    <w:rPr>
                      <w:kern w:val="0"/>
                      <w:szCs w:val="21"/>
                    </w:rPr>
                    <w:t>供水来源</w:t>
                  </w:r>
                </w:p>
              </w:tc>
              <w:tc>
                <w:tcPr>
                  <w:tcW w:w="1033" w:type="dxa"/>
                  <w:vAlign w:val="center"/>
                </w:tcPr>
                <w:p w14:paraId="14065E24">
                  <w:pPr>
                    <w:widowControl/>
                    <w:jc w:val="center"/>
                    <w:rPr>
                      <w:kern w:val="0"/>
                      <w:szCs w:val="21"/>
                    </w:rPr>
                  </w:pPr>
                  <w:r>
                    <w:rPr>
                      <w:rFonts w:hint="eastAsia"/>
                      <w:kern w:val="0"/>
                      <w:szCs w:val="21"/>
                    </w:rPr>
                    <w:t>损失量（</w:t>
                  </w:r>
                  <w:r>
                    <w:rPr>
                      <w:kern w:val="0"/>
                      <w:szCs w:val="21"/>
                    </w:rPr>
                    <w:t>m</w:t>
                  </w:r>
                  <w:r>
                    <w:rPr>
                      <w:kern w:val="0"/>
                      <w:szCs w:val="21"/>
                      <w:vertAlign w:val="superscript"/>
                    </w:rPr>
                    <w:t>3</w:t>
                  </w:r>
                  <w:r>
                    <w:rPr>
                      <w:kern w:val="0"/>
                      <w:szCs w:val="21"/>
                    </w:rPr>
                    <w:t>/</w:t>
                  </w:r>
                  <w:r>
                    <w:rPr>
                      <w:rFonts w:hint="eastAsia"/>
                      <w:kern w:val="0"/>
                      <w:szCs w:val="21"/>
                    </w:rPr>
                    <w:t>d）</w:t>
                  </w:r>
                </w:p>
              </w:tc>
              <w:tc>
                <w:tcPr>
                  <w:tcW w:w="1283" w:type="dxa"/>
                  <w:noWrap/>
                  <w:vAlign w:val="center"/>
                </w:tcPr>
                <w:p w14:paraId="53564765">
                  <w:pPr>
                    <w:widowControl/>
                    <w:jc w:val="center"/>
                    <w:rPr>
                      <w:kern w:val="0"/>
                      <w:szCs w:val="21"/>
                    </w:rPr>
                  </w:pPr>
                  <w:r>
                    <w:rPr>
                      <w:kern w:val="0"/>
                      <w:szCs w:val="21"/>
                    </w:rPr>
                    <w:t>废水</w:t>
                  </w:r>
                  <w:r>
                    <w:rPr>
                      <w:rFonts w:hint="eastAsia"/>
                      <w:kern w:val="0"/>
                      <w:szCs w:val="21"/>
                    </w:rPr>
                    <w:t>产生</w:t>
                  </w:r>
                  <w:r>
                    <w:rPr>
                      <w:kern w:val="0"/>
                      <w:szCs w:val="21"/>
                    </w:rPr>
                    <w:t>量</w:t>
                  </w:r>
                  <w:r>
                    <w:rPr>
                      <w:rFonts w:hint="eastAsia"/>
                      <w:kern w:val="0"/>
                      <w:szCs w:val="21"/>
                    </w:rPr>
                    <w:t>（</w:t>
                  </w:r>
                  <w:r>
                    <w:rPr>
                      <w:kern w:val="0"/>
                      <w:szCs w:val="21"/>
                    </w:rPr>
                    <w:t>m</w:t>
                  </w:r>
                  <w:r>
                    <w:rPr>
                      <w:kern w:val="0"/>
                      <w:szCs w:val="21"/>
                      <w:vertAlign w:val="superscript"/>
                    </w:rPr>
                    <w:t>3</w:t>
                  </w:r>
                  <w:r>
                    <w:rPr>
                      <w:kern w:val="0"/>
                      <w:szCs w:val="21"/>
                    </w:rPr>
                    <w:t>/</w:t>
                  </w:r>
                  <w:r>
                    <w:rPr>
                      <w:rFonts w:hint="eastAsia"/>
                      <w:kern w:val="0"/>
                      <w:szCs w:val="21"/>
                    </w:rPr>
                    <w:t>d）</w:t>
                  </w:r>
                </w:p>
              </w:tc>
              <w:tc>
                <w:tcPr>
                  <w:tcW w:w="1619" w:type="dxa"/>
                  <w:vAlign w:val="center"/>
                </w:tcPr>
                <w:p w14:paraId="2FFDD000">
                  <w:pPr>
                    <w:widowControl/>
                    <w:jc w:val="center"/>
                    <w:rPr>
                      <w:kern w:val="0"/>
                      <w:szCs w:val="21"/>
                    </w:rPr>
                  </w:pPr>
                  <w:r>
                    <w:rPr>
                      <w:kern w:val="0"/>
                      <w:szCs w:val="21"/>
                    </w:rPr>
                    <w:t>设计排水去向</w:t>
                  </w:r>
                </w:p>
              </w:tc>
            </w:tr>
            <w:tr w14:paraId="2061A3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1" w:type="dxa"/>
                  <w:noWrap/>
                  <w:vAlign w:val="center"/>
                </w:tcPr>
                <w:p w14:paraId="13F25C4E">
                  <w:pPr>
                    <w:widowControl/>
                    <w:jc w:val="center"/>
                    <w:rPr>
                      <w:kern w:val="0"/>
                      <w:szCs w:val="21"/>
                    </w:rPr>
                  </w:pPr>
                  <w:r>
                    <w:rPr>
                      <w:rFonts w:hint="eastAsia"/>
                      <w:bCs/>
                      <w:szCs w:val="21"/>
                    </w:rPr>
                    <w:t>软水制备</w:t>
                  </w:r>
                </w:p>
              </w:tc>
              <w:tc>
                <w:tcPr>
                  <w:tcW w:w="1078" w:type="dxa"/>
                  <w:vAlign w:val="center"/>
                </w:tcPr>
                <w:p w14:paraId="53CBC82B">
                  <w:pPr>
                    <w:widowControl/>
                    <w:jc w:val="center"/>
                    <w:rPr>
                      <w:kern w:val="0"/>
                      <w:szCs w:val="21"/>
                    </w:rPr>
                  </w:pPr>
                  <w:r>
                    <w:rPr>
                      <w:bCs/>
                      <w:szCs w:val="21"/>
                    </w:rPr>
                    <w:t>46</w:t>
                  </w:r>
                </w:p>
              </w:tc>
              <w:tc>
                <w:tcPr>
                  <w:tcW w:w="1368" w:type="dxa"/>
                  <w:vAlign w:val="center"/>
                </w:tcPr>
                <w:p w14:paraId="4BCAFD6D">
                  <w:pPr>
                    <w:widowControl/>
                    <w:jc w:val="center"/>
                    <w:rPr>
                      <w:kern w:val="0"/>
                      <w:szCs w:val="21"/>
                    </w:rPr>
                  </w:pPr>
                  <w:r>
                    <w:rPr>
                      <w:bCs/>
                      <w:szCs w:val="21"/>
                    </w:rPr>
                    <w:t>46</w:t>
                  </w:r>
                </w:p>
              </w:tc>
              <w:tc>
                <w:tcPr>
                  <w:tcW w:w="731" w:type="dxa"/>
                  <w:vMerge w:val="restart"/>
                  <w:vAlign w:val="center"/>
                </w:tcPr>
                <w:p w14:paraId="45691657">
                  <w:pPr>
                    <w:widowControl/>
                    <w:jc w:val="center"/>
                    <w:rPr>
                      <w:kern w:val="0"/>
                      <w:szCs w:val="21"/>
                    </w:rPr>
                  </w:pPr>
                  <w:r>
                    <w:rPr>
                      <w:rFonts w:hint="eastAsia"/>
                      <w:kern w:val="0"/>
                      <w:szCs w:val="21"/>
                    </w:rPr>
                    <w:t>由厂区给水管网</w:t>
                  </w:r>
                </w:p>
              </w:tc>
              <w:tc>
                <w:tcPr>
                  <w:tcW w:w="1033" w:type="dxa"/>
                  <w:vAlign w:val="center"/>
                </w:tcPr>
                <w:p w14:paraId="6B8AD5FA">
                  <w:pPr>
                    <w:widowControl/>
                    <w:jc w:val="center"/>
                    <w:rPr>
                      <w:kern w:val="0"/>
                      <w:szCs w:val="21"/>
                    </w:rPr>
                  </w:pPr>
                  <w:r>
                    <w:rPr>
                      <w:rFonts w:hint="eastAsia"/>
                      <w:kern w:val="0"/>
                      <w:szCs w:val="21"/>
                    </w:rPr>
                    <w:t>0</w:t>
                  </w:r>
                </w:p>
              </w:tc>
              <w:tc>
                <w:tcPr>
                  <w:tcW w:w="1283" w:type="dxa"/>
                  <w:noWrap/>
                  <w:vAlign w:val="center"/>
                </w:tcPr>
                <w:p w14:paraId="483FD7DF">
                  <w:pPr>
                    <w:widowControl/>
                    <w:jc w:val="center"/>
                    <w:rPr>
                      <w:kern w:val="0"/>
                      <w:szCs w:val="21"/>
                    </w:rPr>
                  </w:pPr>
                  <w:r>
                    <w:rPr>
                      <w:kern w:val="0"/>
                      <w:szCs w:val="21"/>
                    </w:rPr>
                    <w:t>14</w:t>
                  </w:r>
                </w:p>
              </w:tc>
              <w:tc>
                <w:tcPr>
                  <w:tcW w:w="1619" w:type="dxa"/>
                  <w:vMerge w:val="restart"/>
                  <w:noWrap/>
                  <w:vAlign w:val="center"/>
                </w:tcPr>
                <w:p w14:paraId="5449702F">
                  <w:pPr>
                    <w:jc w:val="center"/>
                    <w:rPr>
                      <w:kern w:val="0"/>
                      <w:szCs w:val="21"/>
                    </w:rPr>
                  </w:pPr>
                  <w:r>
                    <w:rPr>
                      <w:rFonts w:hint="eastAsia"/>
                      <w:bCs/>
                      <w:szCs w:val="21"/>
                    </w:rPr>
                    <w:t>排入脱硫系统用做补充水</w:t>
                  </w:r>
                </w:p>
              </w:tc>
            </w:tr>
            <w:tr w14:paraId="6A2C1B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1" w:type="dxa"/>
                  <w:noWrap/>
                  <w:vAlign w:val="center"/>
                </w:tcPr>
                <w:p w14:paraId="5CD0ED33">
                  <w:pPr>
                    <w:widowControl/>
                    <w:jc w:val="center"/>
                    <w:rPr>
                      <w:kern w:val="0"/>
                      <w:szCs w:val="21"/>
                    </w:rPr>
                  </w:pPr>
                  <w:r>
                    <w:rPr>
                      <w:rFonts w:hint="eastAsia"/>
                      <w:kern w:val="0"/>
                      <w:szCs w:val="21"/>
                    </w:rPr>
                    <w:t>锅炉</w:t>
                  </w:r>
                </w:p>
              </w:tc>
              <w:tc>
                <w:tcPr>
                  <w:tcW w:w="1078" w:type="dxa"/>
                  <w:vAlign w:val="center"/>
                </w:tcPr>
                <w:p w14:paraId="5628B70F">
                  <w:pPr>
                    <w:widowControl/>
                    <w:jc w:val="center"/>
                    <w:rPr>
                      <w:kern w:val="0"/>
                      <w:szCs w:val="21"/>
                    </w:rPr>
                  </w:pPr>
                  <w:r>
                    <w:rPr>
                      <w:kern w:val="0"/>
                      <w:szCs w:val="21"/>
                    </w:rPr>
                    <w:t>32</w:t>
                  </w:r>
                </w:p>
              </w:tc>
              <w:tc>
                <w:tcPr>
                  <w:tcW w:w="1368" w:type="dxa"/>
                  <w:vAlign w:val="center"/>
                </w:tcPr>
                <w:p w14:paraId="7303AC1D">
                  <w:pPr>
                    <w:widowControl/>
                    <w:jc w:val="center"/>
                    <w:rPr>
                      <w:kern w:val="0"/>
                      <w:szCs w:val="21"/>
                    </w:rPr>
                  </w:pPr>
                  <w:r>
                    <w:rPr>
                      <w:rFonts w:hint="eastAsia"/>
                      <w:kern w:val="0"/>
                      <w:szCs w:val="21"/>
                    </w:rPr>
                    <w:t>/</w:t>
                  </w:r>
                </w:p>
              </w:tc>
              <w:tc>
                <w:tcPr>
                  <w:tcW w:w="731" w:type="dxa"/>
                  <w:vMerge w:val="continue"/>
                  <w:vAlign w:val="center"/>
                </w:tcPr>
                <w:p w14:paraId="6EEEC36D">
                  <w:pPr>
                    <w:jc w:val="center"/>
                    <w:rPr>
                      <w:kern w:val="0"/>
                      <w:szCs w:val="21"/>
                    </w:rPr>
                  </w:pPr>
                </w:p>
              </w:tc>
              <w:tc>
                <w:tcPr>
                  <w:tcW w:w="1033" w:type="dxa"/>
                  <w:vAlign w:val="center"/>
                </w:tcPr>
                <w:p w14:paraId="58CC2635">
                  <w:pPr>
                    <w:widowControl/>
                    <w:jc w:val="center"/>
                    <w:rPr>
                      <w:kern w:val="0"/>
                      <w:szCs w:val="21"/>
                    </w:rPr>
                  </w:pPr>
                  <w:r>
                    <w:rPr>
                      <w:kern w:val="0"/>
                      <w:szCs w:val="21"/>
                    </w:rPr>
                    <w:t>12</w:t>
                  </w:r>
                </w:p>
              </w:tc>
              <w:tc>
                <w:tcPr>
                  <w:tcW w:w="1283" w:type="dxa"/>
                  <w:noWrap/>
                  <w:vAlign w:val="center"/>
                </w:tcPr>
                <w:p w14:paraId="2AE2919A">
                  <w:pPr>
                    <w:widowControl/>
                    <w:jc w:val="center"/>
                    <w:rPr>
                      <w:kern w:val="0"/>
                      <w:szCs w:val="21"/>
                    </w:rPr>
                  </w:pPr>
                  <w:r>
                    <w:rPr>
                      <w:kern w:val="0"/>
                      <w:szCs w:val="21"/>
                    </w:rPr>
                    <w:t>2</w:t>
                  </w:r>
                  <w:r>
                    <w:rPr>
                      <w:rFonts w:hint="eastAsia"/>
                      <w:kern w:val="0"/>
                      <w:szCs w:val="21"/>
                    </w:rPr>
                    <w:t>0</w:t>
                  </w:r>
                </w:p>
              </w:tc>
              <w:tc>
                <w:tcPr>
                  <w:tcW w:w="1619" w:type="dxa"/>
                  <w:vMerge w:val="continue"/>
                  <w:noWrap/>
                  <w:vAlign w:val="center"/>
                </w:tcPr>
                <w:p w14:paraId="50F88C53">
                  <w:pPr>
                    <w:jc w:val="center"/>
                    <w:rPr>
                      <w:bCs/>
                      <w:szCs w:val="21"/>
                    </w:rPr>
                  </w:pPr>
                </w:p>
              </w:tc>
            </w:tr>
            <w:tr w14:paraId="491719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1" w:type="dxa"/>
                  <w:noWrap/>
                  <w:vAlign w:val="center"/>
                </w:tcPr>
                <w:p w14:paraId="392DA4CB">
                  <w:pPr>
                    <w:widowControl/>
                    <w:jc w:val="center"/>
                    <w:rPr>
                      <w:kern w:val="0"/>
                      <w:szCs w:val="21"/>
                    </w:rPr>
                  </w:pPr>
                  <w:r>
                    <w:rPr>
                      <w:rFonts w:hint="eastAsia"/>
                      <w:kern w:val="0"/>
                      <w:szCs w:val="21"/>
                    </w:rPr>
                    <w:t>脱硫系统</w:t>
                  </w:r>
                </w:p>
              </w:tc>
              <w:tc>
                <w:tcPr>
                  <w:tcW w:w="1078" w:type="dxa"/>
                  <w:vAlign w:val="center"/>
                </w:tcPr>
                <w:p w14:paraId="2717D265">
                  <w:pPr>
                    <w:widowControl/>
                    <w:jc w:val="center"/>
                    <w:rPr>
                      <w:kern w:val="0"/>
                      <w:szCs w:val="21"/>
                    </w:rPr>
                  </w:pPr>
                  <w:r>
                    <w:rPr>
                      <w:kern w:val="0"/>
                      <w:szCs w:val="21"/>
                    </w:rPr>
                    <w:t>137.9</w:t>
                  </w:r>
                </w:p>
              </w:tc>
              <w:tc>
                <w:tcPr>
                  <w:tcW w:w="1368" w:type="dxa"/>
                  <w:vAlign w:val="center"/>
                </w:tcPr>
                <w:p w14:paraId="57EF2D94">
                  <w:pPr>
                    <w:widowControl/>
                    <w:jc w:val="center"/>
                    <w:rPr>
                      <w:kern w:val="0"/>
                      <w:szCs w:val="21"/>
                    </w:rPr>
                  </w:pPr>
                  <w:r>
                    <w:rPr>
                      <w:kern w:val="0"/>
                      <w:szCs w:val="21"/>
                    </w:rPr>
                    <w:t>103.9</w:t>
                  </w:r>
                </w:p>
              </w:tc>
              <w:tc>
                <w:tcPr>
                  <w:tcW w:w="731" w:type="dxa"/>
                  <w:vMerge w:val="continue"/>
                  <w:vAlign w:val="center"/>
                </w:tcPr>
                <w:p w14:paraId="0DB46C26">
                  <w:pPr>
                    <w:jc w:val="center"/>
                    <w:rPr>
                      <w:kern w:val="0"/>
                      <w:szCs w:val="21"/>
                    </w:rPr>
                  </w:pPr>
                </w:p>
              </w:tc>
              <w:tc>
                <w:tcPr>
                  <w:tcW w:w="1033" w:type="dxa"/>
                  <w:vAlign w:val="center"/>
                </w:tcPr>
                <w:p w14:paraId="5DA59810">
                  <w:pPr>
                    <w:widowControl/>
                    <w:jc w:val="center"/>
                    <w:rPr>
                      <w:kern w:val="0"/>
                      <w:szCs w:val="21"/>
                    </w:rPr>
                  </w:pPr>
                  <w:r>
                    <w:rPr>
                      <w:kern w:val="0"/>
                      <w:szCs w:val="21"/>
                    </w:rPr>
                    <w:t>137.9</w:t>
                  </w:r>
                </w:p>
              </w:tc>
              <w:tc>
                <w:tcPr>
                  <w:tcW w:w="1283" w:type="dxa"/>
                  <w:noWrap/>
                  <w:vAlign w:val="center"/>
                </w:tcPr>
                <w:p w14:paraId="34C788BC">
                  <w:pPr>
                    <w:widowControl/>
                    <w:jc w:val="center"/>
                    <w:rPr>
                      <w:kern w:val="0"/>
                      <w:szCs w:val="21"/>
                    </w:rPr>
                  </w:pPr>
                  <w:r>
                    <w:rPr>
                      <w:rFonts w:hint="eastAsia"/>
                      <w:kern w:val="0"/>
                      <w:szCs w:val="21"/>
                    </w:rPr>
                    <w:t>0</w:t>
                  </w:r>
                </w:p>
              </w:tc>
              <w:tc>
                <w:tcPr>
                  <w:tcW w:w="1619" w:type="dxa"/>
                  <w:noWrap/>
                  <w:vAlign w:val="center"/>
                </w:tcPr>
                <w:p w14:paraId="65D575DA">
                  <w:pPr>
                    <w:jc w:val="center"/>
                    <w:rPr>
                      <w:bCs/>
                      <w:szCs w:val="21"/>
                    </w:rPr>
                  </w:pPr>
                  <w:r>
                    <w:rPr>
                      <w:rFonts w:hint="eastAsia"/>
                      <w:bCs/>
                      <w:szCs w:val="21"/>
                    </w:rPr>
                    <w:t>/</w:t>
                  </w:r>
                </w:p>
              </w:tc>
            </w:tr>
            <w:tr w14:paraId="323679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1" w:type="dxa"/>
                  <w:noWrap/>
                  <w:vAlign w:val="center"/>
                </w:tcPr>
                <w:p w14:paraId="16297818">
                  <w:pPr>
                    <w:widowControl/>
                    <w:jc w:val="center"/>
                    <w:rPr>
                      <w:kern w:val="0"/>
                      <w:szCs w:val="21"/>
                    </w:rPr>
                  </w:pPr>
                  <w:r>
                    <w:rPr>
                      <w:rFonts w:hint="eastAsia"/>
                      <w:kern w:val="0"/>
                      <w:szCs w:val="21"/>
                    </w:rPr>
                    <w:t>脱硝工段</w:t>
                  </w:r>
                </w:p>
              </w:tc>
              <w:tc>
                <w:tcPr>
                  <w:tcW w:w="1078" w:type="dxa"/>
                  <w:vAlign w:val="center"/>
                </w:tcPr>
                <w:p w14:paraId="4FF0FF2B">
                  <w:pPr>
                    <w:widowControl/>
                    <w:jc w:val="center"/>
                    <w:rPr>
                      <w:kern w:val="0"/>
                      <w:szCs w:val="21"/>
                    </w:rPr>
                  </w:pPr>
                  <w:r>
                    <w:rPr>
                      <w:kern w:val="0"/>
                      <w:szCs w:val="21"/>
                    </w:rPr>
                    <w:t>171.7</w:t>
                  </w:r>
                </w:p>
              </w:tc>
              <w:tc>
                <w:tcPr>
                  <w:tcW w:w="1368" w:type="dxa"/>
                  <w:vAlign w:val="center"/>
                </w:tcPr>
                <w:p w14:paraId="6B79F547">
                  <w:pPr>
                    <w:widowControl/>
                    <w:jc w:val="center"/>
                    <w:rPr>
                      <w:kern w:val="0"/>
                      <w:szCs w:val="21"/>
                    </w:rPr>
                  </w:pPr>
                  <w:r>
                    <w:rPr>
                      <w:kern w:val="0"/>
                      <w:szCs w:val="21"/>
                    </w:rPr>
                    <w:t>171.7</w:t>
                  </w:r>
                </w:p>
              </w:tc>
              <w:tc>
                <w:tcPr>
                  <w:tcW w:w="731" w:type="dxa"/>
                  <w:vMerge w:val="continue"/>
                  <w:vAlign w:val="center"/>
                </w:tcPr>
                <w:p w14:paraId="40C38AC5">
                  <w:pPr>
                    <w:jc w:val="center"/>
                    <w:rPr>
                      <w:kern w:val="0"/>
                      <w:szCs w:val="21"/>
                    </w:rPr>
                  </w:pPr>
                </w:p>
              </w:tc>
              <w:tc>
                <w:tcPr>
                  <w:tcW w:w="1033" w:type="dxa"/>
                  <w:vAlign w:val="center"/>
                </w:tcPr>
                <w:p w14:paraId="28AF89A6">
                  <w:pPr>
                    <w:widowControl/>
                    <w:jc w:val="center"/>
                    <w:rPr>
                      <w:kern w:val="0"/>
                      <w:szCs w:val="21"/>
                    </w:rPr>
                  </w:pPr>
                  <w:r>
                    <w:rPr>
                      <w:kern w:val="0"/>
                      <w:szCs w:val="21"/>
                    </w:rPr>
                    <w:t>171.7</w:t>
                  </w:r>
                </w:p>
              </w:tc>
              <w:tc>
                <w:tcPr>
                  <w:tcW w:w="1283" w:type="dxa"/>
                  <w:noWrap/>
                  <w:vAlign w:val="center"/>
                </w:tcPr>
                <w:p w14:paraId="71407639">
                  <w:pPr>
                    <w:widowControl/>
                    <w:jc w:val="center"/>
                    <w:rPr>
                      <w:kern w:val="0"/>
                      <w:szCs w:val="21"/>
                    </w:rPr>
                  </w:pPr>
                  <w:r>
                    <w:rPr>
                      <w:rFonts w:hint="eastAsia"/>
                      <w:kern w:val="0"/>
                      <w:szCs w:val="21"/>
                    </w:rPr>
                    <w:t>0</w:t>
                  </w:r>
                </w:p>
              </w:tc>
              <w:tc>
                <w:tcPr>
                  <w:tcW w:w="1619" w:type="dxa"/>
                  <w:noWrap/>
                  <w:vAlign w:val="center"/>
                </w:tcPr>
                <w:p w14:paraId="51046F81">
                  <w:pPr>
                    <w:jc w:val="center"/>
                    <w:rPr>
                      <w:bCs/>
                      <w:szCs w:val="21"/>
                    </w:rPr>
                  </w:pPr>
                  <w:r>
                    <w:rPr>
                      <w:rFonts w:hint="eastAsia"/>
                      <w:bCs/>
                      <w:szCs w:val="21"/>
                    </w:rPr>
                    <w:t>/</w:t>
                  </w:r>
                </w:p>
              </w:tc>
            </w:tr>
            <w:tr w14:paraId="0FEAC3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031" w:type="dxa"/>
                  <w:noWrap/>
                  <w:vAlign w:val="center"/>
                </w:tcPr>
                <w:p w14:paraId="6ECD3710">
                  <w:pPr>
                    <w:widowControl/>
                    <w:jc w:val="center"/>
                    <w:rPr>
                      <w:kern w:val="0"/>
                      <w:szCs w:val="21"/>
                    </w:rPr>
                  </w:pPr>
                  <w:r>
                    <w:rPr>
                      <w:kern w:val="0"/>
                      <w:szCs w:val="21"/>
                    </w:rPr>
                    <w:t>合计</w:t>
                  </w:r>
                </w:p>
              </w:tc>
              <w:tc>
                <w:tcPr>
                  <w:tcW w:w="1078" w:type="dxa"/>
                  <w:vAlign w:val="center"/>
                </w:tcPr>
                <w:p w14:paraId="51C64BE2">
                  <w:pPr>
                    <w:widowControl/>
                    <w:jc w:val="center"/>
                    <w:rPr>
                      <w:kern w:val="0"/>
                      <w:szCs w:val="21"/>
                    </w:rPr>
                  </w:pPr>
                  <w:r>
                    <w:rPr>
                      <w:kern w:val="0"/>
                      <w:szCs w:val="21"/>
                    </w:rPr>
                    <w:t>387.6</w:t>
                  </w:r>
                </w:p>
              </w:tc>
              <w:tc>
                <w:tcPr>
                  <w:tcW w:w="1368" w:type="dxa"/>
                  <w:vAlign w:val="center"/>
                </w:tcPr>
                <w:p w14:paraId="3F5A0CAC">
                  <w:pPr>
                    <w:widowControl/>
                    <w:jc w:val="center"/>
                    <w:rPr>
                      <w:kern w:val="0"/>
                      <w:szCs w:val="21"/>
                    </w:rPr>
                  </w:pPr>
                  <w:r>
                    <w:rPr>
                      <w:kern w:val="0"/>
                      <w:szCs w:val="21"/>
                    </w:rPr>
                    <w:t>321.6</w:t>
                  </w:r>
                </w:p>
              </w:tc>
              <w:tc>
                <w:tcPr>
                  <w:tcW w:w="731" w:type="dxa"/>
                  <w:vMerge w:val="continue"/>
                  <w:vAlign w:val="center"/>
                </w:tcPr>
                <w:p w14:paraId="7CA4E7B7">
                  <w:pPr>
                    <w:widowControl/>
                    <w:jc w:val="center"/>
                    <w:rPr>
                      <w:kern w:val="0"/>
                      <w:szCs w:val="21"/>
                    </w:rPr>
                  </w:pPr>
                </w:p>
              </w:tc>
              <w:tc>
                <w:tcPr>
                  <w:tcW w:w="1033" w:type="dxa"/>
                  <w:vAlign w:val="center"/>
                </w:tcPr>
                <w:p w14:paraId="5D5A5163">
                  <w:pPr>
                    <w:widowControl/>
                    <w:jc w:val="center"/>
                    <w:rPr>
                      <w:kern w:val="0"/>
                      <w:szCs w:val="21"/>
                    </w:rPr>
                  </w:pPr>
                  <w:r>
                    <w:rPr>
                      <w:kern w:val="0"/>
                      <w:szCs w:val="21"/>
                    </w:rPr>
                    <w:t>321.6</w:t>
                  </w:r>
                </w:p>
              </w:tc>
              <w:tc>
                <w:tcPr>
                  <w:tcW w:w="1283" w:type="dxa"/>
                  <w:noWrap/>
                  <w:vAlign w:val="center"/>
                </w:tcPr>
                <w:p w14:paraId="6CF1312F">
                  <w:pPr>
                    <w:widowControl/>
                    <w:jc w:val="center"/>
                    <w:rPr>
                      <w:kern w:val="0"/>
                      <w:szCs w:val="21"/>
                    </w:rPr>
                  </w:pPr>
                  <w:r>
                    <w:rPr>
                      <w:kern w:val="0"/>
                      <w:szCs w:val="21"/>
                    </w:rPr>
                    <w:t>34</w:t>
                  </w:r>
                </w:p>
              </w:tc>
              <w:tc>
                <w:tcPr>
                  <w:tcW w:w="1619" w:type="dxa"/>
                  <w:noWrap/>
                  <w:vAlign w:val="center"/>
                </w:tcPr>
                <w:p w14:paraId="7BF8B954">
                  <w:pPr>
                    <w:jc w:val="center"/>
                    <w:rPr>
                      <w:kern w:val="0"/>
                      <w:szCs w:val="21"/>
                    </w:rPr>
                  </w:pPr>
                  <w:r>
                    <w:rPr>
                      <w:kern w:val="0"/>
                      <w:szCs w:val="21"/>
                    </w:rPr>
                    <w:t>/</w:t>
                  </w:r>
                </w:p>
              </w:tc>
            </w:tr>
          </w:tbl>
          <w:p w14:paraId="36AEA400">
            <w:pPr>
              <w:adjustRightInd w:val="0"/>
              <w:snapToGrid w:val="0"/>
              <w:spacing w:before="120" w:beforeLines="50" w:line="360" w:lineRule="auto"/>
              <w:ind w:firstLine="480" w:firstLineChars="200"/>
              <w:rPr>
                <w:bCs/>
                <w:sz w:val="24"/>
              </w:rPr>
            </w:pPr>
            <w:r>
              <w:rPr>
                <w:bCs/>
                <w:sz w:val="24"/>
              </w:rPr>
              <w:t>本项目水平衡图：</w:t>
            </w:r>
          </w:p>
          <w:p w14:paraId="2F77EC66">
            <w:pPr>
              <w:adjustRightInd w:val="0"/>
              <w:snapToGrid w:val="0"/>
              <w:spacing w:line="360" w:lineRule="auto"/>
              <w:jc w:val="center"/>
              <w:rPr>
                <w:b/>
                <w:szCs w:val="21"/>
              </w:rPr>
            </w:pPr>
            <w:r>
              <w:rPr>
                <w:rFonts w:hint="eastAsia"/>
              </w:rPr>
              <w:object>
                <v:shape id="_x0000_i1025" o:spt="75" type="#_x0000_t75" style="height:143.25pt;width:342pt;" o:ole="t" filled="f" o:preferrelative="t" stroked="f" coordsize="21600,21600">
                  <v:path/>
                  <v:fill on="f" focussize="0,0"/>
                  <v:stroke on="f" joinstyle="miter"/>
                  <v:imagedata r:id="rId13" o:title=""/>
                  <o:lock v:ext="edit" aspectratio="t"/>
                  <w10:wrap type="none"/>
                  <w10:anchorlock/>
                </v:shape>
                <o:OLEObject Type="Embed" ProgID="Visio.Drawing.11" ShapeID="_x0000_i1025" DrawAspect="Content" ObjectID="_1468075725" r:id="rId12">
                  <o:LockedField>false</o:LockedField>
                </o:OLEObject>
              </w:object>
            </w:r>
          </w:p>
          <w:p w14:paraId="6DABC614">
            <w:pPr>
              <w:adjustRightInd w:val="0"/>
              <w:snapToGrid w:val="0"/>
              <w:spacing w:line="360" w:lineRule="auto"/>
              <w:jc w:val="center"/>
              <w:rPr>
                <w:b/>
                <w:szCs w:val="21"/>
              </w:rPr>
            </w:pPr>
            <w:r>
              <w:rPr>
                <w:b/>
                <w:szCs w:val="21"/>
              </w:rPr>
              <w:t>图2-1  项目水平衡图</w:t>
            </w:r>
            <w:r>
              <w:rPr>
                <w:rFonts w:hint="eastAsia"/>
                <w:b/>
                <w:szCs w:val="21"/>
              </w:rPr>
              <w:t>（采暖期）</w:t>
            </w:r>
            <w:r>
              <w:rPr>
                <w:b/>
                <w:szCs w:val="21"/>
              </w:rPr>
              <w:t xml:space="preserve">  单位：m</w:t>
            </w:r>
            <w:r>
              <w:rPr>
                <w:b/>
                <w:szCs w:val="21"/>
                <w:vertAlign w:val="superscript"/>
              </w:rPr>
              <w:t>3</w:t>
            </w:r>
            <w:r>
              <w:rPr>
                <w:b/>
                <w:szCs w:val="21"/>
              </w:rPr>
              <w:t>/</w:t>
            </w:r>
            <w:r>
              <w:rPr>
                <w:rFonts w:hint="eastAsia"/>
                <w:b/>
                <w:szCs w:val="21"/>
              </w:rPr>
              <w:t>d</w:t>
            </w:r>
          </w:p>
          <w:p w14:paraId="5BD5864F">
            <w:pPr>
              <w:adjustRightInd w:val="0"/>
              <w:snapToGrid w:val="0"/>
              <w:spacing w:line="360" w:lineRule="auto"/>
              <w:jc w:val="center"/>
              <w:rPr>
                <w:b/>
                <w:szCs w:val="21"/>
              </w:rPr>
            </w:pPr>
            <w:r>
              <w:rPr>
                <w:rFonts w:hint="eastAsia"/>
              </w:rPr>
              <w:object>
                <v:shape id="_x0000_i1026" o:spt="75" type="#_x0000_t75" style="height:143.25pt;width:342pt;" o:ole="t" filled="f" o:preferrelative="t" stroked="f" coordsize="21600,21600">
                  <v:path/>
                  <v:fill on="f" focussize="0,0"/>
                  <v:stroke on="f" joinstyle="miter"/>
                  <v:imagedata r:id="rId15" o:title=""/>
                  <o:lock v:ext="edit" aspectratio="t"/>
                  <w10:wrap type="none"/>
                  <w10:anchorlock/>
                </v:shape>
                <o:OLEObject Type="Embed" ProgID="Visio.Drawing.11" ShapeID="_x0000_i1026" DrawAspect="Content" ObjectID="_1468075726" r:id="rId14">
                  <o:LockedField>false</o:LockedField>
                </o:OLEObject>
              </w:object>
            </w:r>
          </w:p>
          <w:p w14:paraId="298E698E">
            <w:pPr>
              <w:adjustRightInd w:val="0"/>
              <w:snapToGrid w:val="0"/>
              <w:spacing w:line="360" w:lineRule="auto"/>
              <w:jc w:val="center"/>
              <w:rPr>
                <w:b/>
                <w:szCs w:val="21"/>
              </w:rPr>
            </w:pPr>
            <w:r>
              <w:rPr>
                <w:b/>
                <w:szCs w:val="21"/>
              </w:rPr>
              <w:t>图2-</w:t>
            </w:r>
            <w:r>
              <w:rPr>
                <w:rFonts w:hint="eastAsia"/>
                <w:b/>
                <w:szCs w:val="21"/>
              </w:rPr>
              <w:t>2</w:t>
            </w:r>
            <w:r>
              <w:rPr>
                <w:b/>
                <w:szCs w:val="21"/>
              </w:rPr>
              <w:t xml:space="preserve">  项目水平衡图</w:t>
            </w:r>
            <w:r>
              <w:rPr>
                <w:rFonts w:hint="eastAsia"/>
                <w:b/>
                <w:szCs w:val="21"/>
              </w:rPr>
              <w:t>（非采暖期）</w:t>
            </w:r>
            <w:r>
              <w:rPr>
                <w:b/>
                <w:szCs w:val="21"/>
              </w:rPr>
              <w:t xml:space="preserve">  单位：m</w:t>
            </w:r>
            <w:r>
              <w:rPr>
                <w:b/>
                <w:szCs w:val="21"/>
                <w:vertAlign w:val="superscript"/>
              </w:rPr>
              <w:t>3</w:t>
            </w:r>
            <w:r>
              <w:rPr>
                <w:b/>
                <w:szCs w:val="21"/>
              </w:rPr>
              <w:t>/</w:t>
            </w:r>
            <w:r>
              <w:rPr>
                <w:rFonts w:hint="eastAsia"/>
                <w:b/>
                <w:szCs w:val="21"/>
              </w:rPr>
              <w:t>d</w:t>
            </w:r>
          </w:p>
          <w:p w14:paraId="4B08FA37">
            <w:pPr>
              <w:adjustRightInd w:val="0"/>
              <w:snapToGrid w:val="0"/>
              <w:spacing w:line="360" w:lineRule="auto"/>
              <w:ind w:firstLine="480" w:firstLineChars="200"/>
              <w:rPr>
                <w:bCs/>
                <w:sz w:val="24"/>
              </w:rPr>
            </w:pPr>
            <w:r>
              <w:rPr>
                <w:bCs/>
                <w:sz w:val="24"/>
              </w:rPr>
              <w:t>（3）供电</w:t>
            </w:r>
          </w:p>
          <w:p w14:paraId="32740026">
            <w:pPr>
              <w:adjustRightInd w:val="0"/>
              <w:snapToGrid w:val="0"/>
              <w:spacing w:line="360" w:lineRule="auto"/>
              <w:ind w:firstLine="480" w:firstLineChars="200"/>
              <w:rPr>
                <w:bCs/>
                <w:sz w:val="24"/>
              </w:rPr>
            </w:pPr>
            <w:r>
              <w:rPr>
                <w:rFonts w:hint="eastAsia"/>
                <w:bCs/>
                <w:sz w:val="24"/>
              </w:rPr>
              <w:t>本项目供电来自矿井变电所，煤矿已建一座110kV变电所，本项目用电设施主要为各类泵、风机等，用电量较小，现有供电设施可满足本项目用电需求。</w:t>
            </w:r>
          </w:p>
          <w:p w14:paraId="313949D9">
            <w:pPr>
              <w:pStyle w:val="45"/>
              <w:ind w:firstLine="482"/>
              <w:rPr>
                <w:b/>
                <w:bCs/>
                <w:sz w:val="24"/>
              </w:rPr>
            </w:pPr>
            <w:r>
              <w:rPr>
                <w:rFonts w:hint="eastAsia"/>
                <w:b/>
                <w:bCs/>
                <w:sz w:val="24"/>
              </w:rPr>
              <w:t>9、</w:t>
            </w:r>
            <w:r>
              <w:rPr>
                <w:b/>
                <w:bCs/>
                <w:sz w:val="24"/>
              </w:rPr>
              <w:t>平面布置及四邻关系</w:t>
            </w:r>
          </w:p>
          <w:p w14:paraId="1A1C7060">
            <w:pPr>
              <w:adjustRightInd w:val="0"/>
              <w:snapToGrid w:val="0"/>
              <w:spacing w:line="360" w:lineRule="auto"/>
              <w:ind w:firstLine="480" w:firstLineChars="200"/>
              <w:rPr>
                <w:bCs/>
                <w:sz w:val="24"/>
              </w:rPr>
            </w:pPr>
            <w:r>
              <w:rPr>
                <w:rFonts w:hint="eastAsia"/>
                <w:bCs/>
                <w:sz w:val="24"/>
              </w:rPr>
              <w:t>本项目位于油房壕煤矿工业场地内东北侧，项目北侧为原煤仓、产品仓等，南侧为煤泥棚、煤泥浓缩机、洗煤厂主厂房等。工业场地污水处理站、综合水泵房、滤池等布置于工业场地西侧，其东侧为主井提升房、副井提升房等，工业场地南侧主要为公寓楼、宿舍、行政办公楼、食堂等。</w:t>
            </w:r>
          </w:p>
          <w:p w14:paraId="500FD75C">
            <w:pPr>
              <w:adjustRightInd w:val="0"/>
              <w:snapToGrid w:val="0"/>
              <w:spacing w:line="360" w:lineRule="auto"/>
              <w:ind w:firstLine="480" w:firstLineChars="200"/>
              <w:rPr>
                <w:bCs/>
                <w:sz w:val="24"/>
              </w:rPr>
            </w:pPr>
            <w:r>
              <w:rPr>
                <w:rFonts w:hint="eastAsia"/>
                <w:bCs/>
                <w:sz w:val="24"/>
              </w:rPr>
              <w:t>本项目综合考虑生产特点、工艺流程以及风向、建筑物朝向等进行布置，平面布置合理。</w:t>
            </w:r>
          </w:p>
          <w:p w14:paraId="0AC5BF04">
            <w:pPr>
              <w:adjustRightInd w:val="0"/>
              <w:snapToGrid w:val="0"/>
              <w:spacing w:line="360" w:lineRule="auto"/>
              <w:ind w:firstLine="480" w:firstLineChars="200"/>
            </w:pPr>
            <w:r>
              <w:rPr>
                <w:rFonts w:hint="eastAsia"/>
                <w:bCs/>
                <w:sz w:val="24"/>
              </w:rPr>
              <w:t>工业场地四周主要为空地。</w:t>
            </w:r>
          </w:p>
        </w:tc>
      </w:tr>
      <w:bookmarkEnd w:id="3"/>
    </w:tbl>
    <w:p w14:paraId="5A4B8962">
      <w:pPr>
        <w:pStyle w:val="27"/>
        <w:jc w:val="center"/>
        <w:rPr>
          <w:rFonts w:hint="eastAsia" w:ascii="黑体" w:hAnsi="黑体" w:eastAsia="黑体"/>
          <w:snapToGrid w:val="0"/>
          <w:sz w:val="36"/>
          <w:szCs w:val="36"/>
        </w:rPr>
        <w:sectPr>
          <w:pgSz w:w="11906" w:h="16838"/>
          <w:pgMar w:top="1701" w:right="1531" w:bottom="1701" w:left="1531" w:header="851" w:footer="851" w:gutter="0"/>
          <w:cols w:space="720" w:num="1"/>
          <w:docGrid w:linePitch="312" w:charSpace="0"/>
        </w:sectPr>
      </w:pPr>
    </w:p>
    <w:tbl>
      <w:tblPr>
        <w:tblStyle w:val="32"/>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79"/>
        <w:gridCol w:w="8481"/>
      </w:tblGrid>
      <w:tr w14:paraId="225281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684" w:hRule="atLeast"/>
        </w:trPr>
        <w:tc>
          <w:tcPr>
            <w:tcW w:w="372" w:type="pct"/>
            <w:vAlign w:val="center"/>
          </w:tcPr>
          <w:p w14:paraId="1EE26CF0">
            <w:pPr>
              <w:pStyle w:val="27"/>
              <w:jc w:val="center"/>
              <w:rPr>
                <w:rFonts w:hint="eastAsia" w:ascii="黑体" w:hAnsi="黑体" w:eastAsia="黑体"/>
                <w:snapToGrid w:val="0"/>
                <w:szCs w:val="24"/>
              </w:rPr>
            </w:pPr>
            <w:r>
              <w:rPr>
                <w:rFonts w:ascii="Times New Roman" w:hAnsi="Times New Roman" w:cs="Times New Roman"/>
                <w:szCs w:val="24"/>
              </w:rPr>
              <w:t>工艺流程和产排污环节</w:t>
            </w:r>
          </w:p>
        </w:tc>
        <w:tc>
          <w:tcPr>
            <w:tcW w:w="4628" w:type="pct"/>
          </w:tcPr>
          <w:p w14:paraId="6F7A0216">
            <w:pPr>
              <w:pStyle w:val="45"/>
              <w:spacing w:before="120" w:beforeLines="50"/>
              <w:ind w:firstLine="482"/>
              <w:rPr>
                <w:b/>
                <w:bCs/>
                <w:sz w:val="24"/>
              </w:rPr>
            </w:pPr>
            <w:r>
              <w:rPr>
                <w:b/>
                <w:bCs/>
                <w:sz w:val="24"/>
              </w:rPr>
              <w:t>1、施工期工艺流程简述</w:t>
            </w:r>
          </w:p>
          <w:p w14:paraId="36AEEA19">
            <w:pPr>
              <w:pStyle w:val="45"/>
              <w:spacing w:before="120" w:beforeLines="50"/>
              <w:ind w:firstLine="480"/>
              <w:rPr>
                <w:sz w:val="24"/>
              </w:rPr>
            </w:pPr>
            <w:r>
              <w:rPr>
                <w:sz w:val="24"/>
              </w:rPr>
              <w:t>本项目的建设</w:t>
            </w:r>
            <w:r>
              <w:rPr>
                <w:rFonts w:hint="eastAsia"/>
                <w:sz w:val="24"/>
              </w:rPr>
              <w:t>内容</w:t>
            </w:r>
            <w:r>
              <w:rPr>
                <w:sz w:val="24"/>
              </w:rPr>
              <w:t>主要为</w:t>
            </w:r>
            <w:r>
              <w:rPr>
                <w:rFonts w:hint="eastAsia"/>
                <w:sz w:val="24"/>
              </w:rPr>
              <w:t>工业</w:t>
            </w:r>
            <w:r>
              <w:rPr>
                <w:sz w:val="24"/>
              </w:rPr>
              <w:t>场地清理、相关设施修建及机械设备的安装。施工过程中主要产生噪声、废水、扬尘、固体废弃物等。</w:t>
            </w:r>
            <w:r>
              <w:rPr>
                <w:rFonts w:hint="eastAsia"/>
                <w:sz w:val="24"/>
              </w:rPr>
              <w:t>施工期环境影响为短暂性影响，随着设备安装结束，以上环境影响也随之结束。由于施工过程比较简单，对当地环境空气、水环境、声环境影响较小，不会降低当地环境质量现状</w:t>
            </w:r>
            <w:r>
              <w:rPr>
                <w:sz w:val="24"/>
              </w:rPr>
              <w:t>。施工期工艺流程见下图。</w:t>
            </w:r>
          </w:p>
          <w:p w14:paraId="6F578E55">
            <w:pPr>
              <w:adjustRightInd w:val="0"/>
              <w:snapToGrid w:val="0"/>
              <w:jc w:val="center"/>
              <w:rPr>
                <w:bCs/>
                <w:szCs w:val="21"/>
              </w:rPr>
            </w:pPr>
            <w:r>
              <w:object>
                <v:shape id="_x0000_i1027" o:spt="75" type="#_x0000_t75" style="height:83.25pt;width:386.25pt;" o:ole="t" filled="f" o:preferrelative="t" stroked="f" coordsize="21600,21600">
                  <v:path/>
                  <v:fill on="f" focussize="0,0"/>
                  <v:stroke on="f" joinstyle="miter"/>
                  <v:imagedata r:id="rId17" o:title=""/>
                  <o:lock v:ext="edit" aspectratio="t"/>
                  <w10:wrap type="none"/>
                  <w10:anchorlock/>
                </v:shape>
                <o:OLEObject Type="Embed" ProgID="Visio.Drawing.15" ShapeID="_x0000_i1027" DrawAspect="Content" ObjectID="_1468075727" r:id="rId16">
                  <o:LockedField>false</o:LockedField>
                </o:OLEObject>
              </w:object>
            </w:r>
          </w:p>
          <w:p w14:paraId="1571C181">
            <w:pPr>
              <w:adjustRightInd w:val="0"/>
              <w:snapToGrid w:val="0"/>
              <w:jc w:val="center"/>
              <w:rPr>
                <w:b/>
                <w:szCs w:val="21"/>
              </w:rPr>
            </w:pPr>
            <w:r>
              <w:rPr>
                <w:b/>
                <w:szCs w:val="21"/>
              </w:rPr>
              <w:t>图2-</w:t>
            </w:r>
            <w:r>
              <w:rPr>
                <w:rFonts w:hint="eastAsia"/>
                <w:b/>
                <w:szCs w:val="21"/>
              </w:rPr>
              <w:t>3</w:t>
            </w:r>
            <w:r>
              <w:rPr>
                <w:b/>
                <w:szCs w:val="21"/>
              </w:rPr>
              <w:t xml:space="preserve">  施工期间工艺流程及产污环节图</w:t>
            </w:r>
          </w:p>
          <w:p w14:paraId="48191C1F">
            <w:pPr>
              <w:pStyle w:val="45"/>
              <w:ind w:firstLine="480"/>
              <w:rPr>
                <w:sz w:val="24"/>
              </w:rPr>
            </w:pPr>
            <w:r>
              <w:rPr>
                <w:rFonts w:hint="eastAsia"/>
                <w:sz w:val="24"/>
              </w:rPr>
              <w:t>本项目施工期间的工作流程及阶段划分如下：</w:t>
            </w:r>
          </w:p>
          <w:p w14:paraId="0658BC30">
            <w:pPr>
              <w:pStyle w:val="45"/>
              <w:ind w:firstLine="480"/>
              <w:rPr>
                <w:sz w:val="24"/>
              </w:rPr>
            </w:pPr>
            <w:r>
              <w:rPr>
                <w:rFonts w:hint="eastAsia"/>
                <w:sz w:val="24"/>
              </w:rPr>
              <w:t>（</w:t>
            </w:r>
            <w:r>
              <w:rPr>
                <w:sz w:val="24"/>
              </w:rPr>
              <w:t>1</w:t>
            </w:r>
            <w:r>
              <w:rPr>
                <w:rFonts w:hint="eastAsia"/>
                <w:sz w:val="24"/>
              </w:rPr>
              <w:t>）清理场地阶段</w:t>
            </w:r>
          </w:p>
          <w:p w14:paraId="153838A2">
            <w:pPr>
              <w:pStyle w:val="45"/>
              <w:ind w:firstLine="480"/>
              <w:rPr>
                <w:sz w:val="24"/>
              </w:rPr>
            </w:pPr>
            <w:r>
              <w:rPr>
                <w:rFonts w:hint="eastAsia"/>
                <w:sz w:val="24"/>
              </w:rPr>
              <w:t>平整施工场地，人工挖填方。</w:t>
            </w:r>
          </w:p>
          <w:p w14:paraId="28E1655C">
            <w:pPr>
              <w:pStyle w:val="45"/>
              <w:ind w:firstLine="480"/>
              <w:rPr>
                <w:sz w:val="24"/>
              </w:rPr>
            </w:pPr>
            <w:r>
              <w:rPr>
                <w:rFonts w:hint="eastAsia"/>
                <w:sz w:val="24"/>
              </w:rPr>
              <w:t>（</w:t>
            </w:r>
            <w:r>
              <w:rPr>
                <w:sz w:val="24"/>
              </w:rPr>
              <w:t>2</w:t>
            </w:r>
            <w:r>
              <w:rPr>
                <w:rFonts w:hint="eastAsia"/>
                <w:sz w:val="24"/>
              </w:rPr>
              <w:t>）基础工程施工阶段</w:t>
            </w:r>
          </w:p>
          <w:p w14:paraId="69FA5156">
            <w:pPr>
              <w:pStyle w:val="45"/>
              <w:ind w:firstLine="480"/>
              <w:rPr>
                <w:sz w:val="24"/>
              </w:rPr>
            </w:pPr>
            <w:r>
              <w:rPr>
                <w:rFonts w:hint="eastAsia"/>
                <w:sz w:val="24"/>
              </w:rPr>
              <w:t>基坑护壁及修建地基。</w:t>
            </w:r>
          </w:p>
          <w:p w14:paraId="430F450E">
            <w:pPr>
              <w:pStyle w:val="45"/>
              <w:ind w:firstLine="480"/>
              <w:rPr>
                <w:sz w:val="24"/>
              </w:rPr>
            </w:pPr>
            <w:r>
              <w:rPr>
                <w:rFonts w:hint="eastAsia"/>
                <w:sz w:val="24"/>
              </w:rPr>
              <w:t>（</w:t>
            </w:r>
            <w:r>
              <w:rPr>
                <w:sz w:val="24"/>
              </w:rPr>
              <w:t>3</w:t>
            </w:r>
            <w:r>
              <w:rPr>
                <w:rFonts w:hint="eastAsia"/>
                <w:sz w:val="24"/>
              </w:rPr>
              <w:t>）主体工程建设阶段</w:t>
            </w:r>
          </w:p>
          <w:p w14:paraId="3BD90ABE">
            <w:pPr>
              <w:pStyle w:val="45"/>
              <w:ind w:firstLine="480"/>
              <w:rPr>
                <w:sz w:val="24"/>
              </w:rPr>
            </w:pPr>
            <w:r>
              <w:rPr>
                <w:rFonts w:hint="eastAsia"/>
                <w:sz w:val="24"/>
              </w:rPr>
              <w:t>进行主体结构施工。</w:t>
            </w:r>
          </w:p>
          <w:p w14:paraId="107E0101">
            <w:pPr>
              <w:pStyle w:val="45"/>
              <w:ind w:firstLine="480"/>
              <w:rPr>
                <w:sz w:val="24"/>
              </w:rPr>
            </w:pPr>
            <w:r>
              <w:rPr>
                <w:rFonts w:hint="eastAsia"/>
                <w:sz w:val="24"/>
              </w:rPr>
              <w:t>（</w:t>
            </w:r>
            <w:r>
              <w:rPr>
                <w:sz w:val="24"/>
              </w:rPr>
              <w:t>4</w:t>
            </w:r>
            <w:r>
              <w:rPr>
                <w:rFonts w:hint="eastAsia"/>
                <w:sz w:val="24"/>
              </w:rPr>
              <w:t>）设备安装阶段</w:t>
            </w:r>
          </w:p>
          <w:p w14:paraId="4CF93F01">
            <w:pPr>
              <w:pStyle w:val="45"/>
              <w:ind w:firstLine="480"/>
              <w:rPr>
                <w:sz w:val="24"/>
              </w:rPr>
            </w:pPr>
            <w:r>
              <w:rPr>
                <w:rFonts w:hint="eastAsia"/>
                <w:sz w:val="24"/>
              </w:rPr>
              <w:t>进行各种设备的安装施工，最后进行外装饰和内装修。</w:t>
            </w:r>
          </w:p>
          <w:p w14:paraId="10F2F9AF">
            <w:pPr>
              <w:pStyle w:val="45"/>
              <w:ind w:firstLine="480"/>
              <w:rPr>
                <w:sz w:val="24"/>
              </w:rPr>
            </w:pPr>
            <w:r>
              <w:rPr>
                <w:rFonts w:hint="eastAsia"/>
                <w:sz w:val="24"/>
              </w:rPr>
              <w:t>（</w:t>
            </w:r>
            <w:r>
              <w:rPr>
                <w:sz w:val="24"/>
              </w:rPr>
              <w:t>5</w:t>
            </w:r>
            <w:r>
              <w:rPr>
                <w:rFonts w:hint="eastAsia"/>
                <w:sz w:val="24"/>
              </w:rPr>
              <w:t>）清理整治阶段</w:t>
            </w:r>
          </w:p>
          <w:p w14:paraId="54616CC4">
            <w:pPr>
              <w:pStyle w:val="45"/>
              <w:ind w:firstLine="480"/>
              <w:rPr>
                <w:sz w:val="24"/>
              </w:rPr>
            </w:pPr>
            <w:r>
              <w:rPr>
                <w:rFonts w:hint="eastAsia"/>
                <w:sz w:val="24"/>
              </w:rPr>
              <w:t>对整个建筑工地进行清理，清除杂物和固废，打扫卫生、准备投入使用。</w:t>
            </w:r>
          </w:p>
          <w:p w14:paraId="38966BE7">
            <w:pPr>
              <w:pStyle w:val="45"/>
              <w:ind w:firstLine="480"/>
              <w:rPr>
                <w:sz w:val="24"/>
              </w:rPr>
            </w:pPr>
            <w:r>
              <w:rPr>
                <w:rFonts w:hint="eastAsia"/>
                <w:sz w:val="24"/>
              </w:rPr>
              <w:t>项目施工期产污环节主要包括：清理场地阶段、基础工程施工阶段产生的噪声、扬尘、废水和固废等；主体工程建设阶段产生的固废、噪声等。</w:t>
            </w:r>
          </w:p>
          <w:p w14:paraId="7DB64871">
            <w:pPr>
              <w:adjustRightInd w:val="0"/>
              <w:snapToGrid w:val="0"/>
              <w:spacing w:before="120" w:beforeLines="50" w:line="360" w:lineRule="auto"/>
              <w:ind w:firstLine="482" w:firstLineChars="200"/>
              <w:rPr>
                <w:b/>
                <w:bCs/>
                <w:sz w:val="24"/>
              </w:rPr>
            </w:pPr>
            <w:r>
              <w:rPr>
                <w:b/>
                <w:bCs/>
                <w:sz w:val="24"/>
              </w:rPr>
              <w:t>2、运营期工艺流程简述</w:t>
            </w:r>
          </w:p>
          <w:p w14:paraId="627D8688">
            <w:pPr>
              <w:pStyle w:val="45"/>
              <w:ind w:firstLine="480"/>
              <w:rPr>
                <w:sz w:val="24"/>
              </w:rPr>
            </w:pPr>
            <w:r>
              <w:rPr>
                <w:rFonts w:hint="eastAsia"/>
                <w:sz w:val="24"/>
              </w:rPr>
              <w:t>（1）软水制备具体的工艺流程如下：</w:t>
            </w:r>
          </w:p>
          <w:p w14:paraId="049EEB7F">
            <w:pPr>
              <w:pStyle w:val="45"/>
              <w:ind w:firstLine="480"/>
              <w:rPr>
                <w:sz w:val="24"/>
              </w:rPr>
            </w:pPr>
            <w:r>
              <w:rPr>
                <w:rFonts w:hint="eastAsia"/>
                <w:sz w:val="24"/>
              </w:rPr>
              <w:t>①离子交换系统</w:t>
            </w:r>
          </w:p>
          <w:p w14:paraId="5FBD23AD">
            <w:pPr>
              <w:pStyle w:val="45"/>
              <w:ind w:firstLine="480"/>
              <w:rPr>
                <w:sz w:val="24"/>
              </w:rPr>
            </w:pPr>
            <w:r>
              <w:rPr>
                <w:rFonts w:hint="eastAsia"/>
                <w:sz w:val="24"/>
              </w:rPr>
              <w:t>经过滤器过滤的原水进入原水水箱，通过水泵进入阳离子交换器，阳离子交换器出水经除氧器去除水中氧气等气体后，进入阳床出水水箱，经泵送至阴离子交换器进行脱盐处置，最终出水进入软水水箱。</w:t>
            </w:r>
          </w:p>
          <w:p w14:paraId="760E9B0E">
            <w:pPr>
              <w:pStyle w:val="45"/>
              <w:ind w:firstLine="480"/>
              <w:rPr>
                <w:sz w:val="24"/>
              </w:rPr>
            </w:pPr>
            <w:r>
              <w:rPr>
                <w:rFonts w:hint="eastAsia"/>
                <w:sz w:val="24"/>
              </w:rPr>
              <w:t>②离子交换树脂再生</w:t>
            </w:r>
          </w:p>
          <w:p w14:paraId="295F67EA">
            <w:pPr>
              <w:pStyle w:val="45"/>
              <w:ind w:firstLine="480"/>
              <w:rPr>
                <w:sz w:val="24"/>
              </w:rPr>
            </w:pPr>
            <w:r>
              <w:rPr>
                <w:rFonts w:hint="eastAsia"/>
                <w:sz w:val="24"/>
              </w:rPr>
              <w:t>离子交换系统中的离子交换树脂需要定期再生和更换，将产生再生废水和废离子交换树脂。</w:t>
            </w:r>
          </w:p>
          <w:p w14:paraId="4C22515A">
            <w:pPr>
              <w:pStyle w:val="45"/>
              <w:ind w:firstLine="480"/>
              <w:rPr>
                <w:sz w:val="24"/>
              </w:rPr>
            </w:pPr>
            <w:r>
              <w:rPr>
                <w:rFonts w:hint="eastAsia"/>
                <w:sz w:val="24"/>
              </w:rPr>
              <w:t>再生废水及过滤器反冲洗废水进入废水箱内，之后</w:t>
            </w:r>
            <w:r>
              <w:rPr>
                <w:rFonts w:hint="eastAsia"/>
                <w:bCs/>
                <w:sz w:val="24"/>
              </w:rPr>
              <w:t>排入工业场地污水处理站，处理后回用于选煤厂生产补充水和场地绿化用水，</w:t>
            </w:r>
            <w:r>
              <w:rPr>
                <w:rFonts w:hint="eastAsia"/>
                <w:sz w:val="24"/>
              </w:rPr>
              <w:t>废水主要污染物为盐分。</w:t>
            </w:r>
          </w:p>
          <w:p w14:paraId="5B97BF43">
            <w:pPr>
              <w:adjustRightInd w:val="0"/>
              <w:snapToGrid w:val="0"/>
              <w:jc w:val="center"/>
              <w:rPr>
                <w:b/>
                <w:szCs w:val="21"/>
              </w:rPr>
            </w:pPr>
            <w:r>
              <w:object>
                <v:shape id="_x0000_i1028" o:spt="75" type="#_x0000_t75" style="height:114pt;width:413.25pt;" o:ole="t" filled="f" o:preferrelative="t" stroked="f" coordsize="21600,21600">
                  <v:path/>
                  <v:fill on="f" focussize="0,0"/>
                  <v:stroke on="f" joinstyle="miter"/>
                  <v:imagedata r:id="rId19" o:title=""/>
                  <o:lock v:ext="edit" aspectratio="t"/>
                  <w10:wrap type="none"/>
                  <w10:anchorlock/>
                </v:shape>
                <o:OLEObject Type="Embed" ProgID="Visio.Drawing.11" ShapeID="_x0000_i1028" DrawAspect="Content" ObjectID="_1468075728" r:id="rId18">
                  <o:LockedField>false</o:LockedField>
                </o:OLEObject>
              </w:object>
            </w:r>
          </w:p>
          <w:p w14:paraId="31BCFE07">
            <w:pPr>
              <w:adjustRightInd w:val="0"/>
              <w:snapToGrid w:val="0"/>
              <w:jc w:val="center"/>
              <w:rPr>
                <w:b/>
                <w:szCs w:val="21"/>
              </w:rPr>
            </w:pPr>
            <w:r>
              <w:rPr>
                <w:b/>
                <w:szCs w:val="21"/>
              </w:rPr>
              <w:t>图2-</w:t>
            </w:r>
            <w:r>
              <w:rPr>
                <w:rFonts w:hint="eastAsia"/>
                <w:b/>
                <w:szCs w:val="21"/>
              </w:rPr>
              <w:t>4</w:t>
            </w:r>
            <w:r>
              <w:rPr>
                <w:b/>
                <w:szCs w:val="21"/>
              </w:rPr>
              <w:t xml:space="preserve">  </w:t>
            </w:r>
            <w:r>
              <w:rPr>
                <w:rFonts w:hint="eastAsia"/>
                <w:b/>
                <w:szCs w:val="21"/>
              </w:rPr>
              <w:t>项目软水制备工艺流程</w:t>
            </w:r>
            <w:r>
              <w:rPr>
                <w:b/>
                <w:szCs w:val="21"/>
              </w:rPr>
              <w:t>及产污环节图</w:t>
            </w:r>
          </w:p>
          <w:p w14:paraId="3A6A2B1C">
            <w:pPr>
              <w:pStyle w:val="45"/>
              <w:ind w:firstLine="480"/>
              <w:rPr>
                <w:sz w:val="24"/>
              </w:rPr>
            </w:pPr>
            <w:r>
              <w:rPr>
                <w:rFonts w:hint="eastAsia"/>
                <w:sz w:val="24"/>
              </w:rPr>
              <w:t>（2）锅炉具体的工艺流程如下：</w:t>
            </w:r>
          </w:p>
          <w:p w14:paraId="6E77C47E">
            <w:pPr>
              <w:pStyle w:val="45"/>
              <w:ind w:firstLine="480"/>
              <w:rPr>
                <w:sz w:val="24"/>
              </w:rPr>
            </w:pPr>
            <w:r>
              <w:rPr>
                <w:rFonts w:hint="eastAsia"/>
                <w:sz w:val="24"/>
              </w:rPr>
              <w:t>①上料系统</w:t>
            </w:r>
          </w:p>
          <w:p w14:paraId="783ADCE5">
            <w:pPr>
              <w:pStyle w:val="45"/>
              <w:ind w:firstLine="480"/>
              <w:rPr>
                <w:bCs/>
                <w:sz w:val="24"/>
              </w:rPr>
            </w:pPr>
            <w:r>
              <w:rPr>
                <w:bCs/>
                <w:sz w:val="24"/>
              </w:rPr>
              <w:t>上料系统由</w:t>
            </w:r>
            <w:r>
              <w:rPr>
                <w:rFonts w:hint="eastAsia"/>
                <w:bCs/>
                <w:sz w:val="24"/>
              </w:rPr>
              <w:t>全封闭输煤栈桥从转载点</w:t>
            </w:r>
            <w:r>
              <w:rPr>
                <w:bCs/>
                <w:sz w:val="24"/>
              </w:rPr>
              <w:t>将煤</w:t>
            </w:r>
            <w:r>
              <w:rPr>
                <w:rFonts w:hint="eastAsia"/>
                <w:bCs/>
                <w:sz w:val="24"/>
              </w:rPr>
              <w:t>输送至锅炉炉前煤仓，经溜槽落入锅炉炉前煤斗，经螺旋给煤机送至锅炉内，给料机</w:t>
            </w:r>
            <w:r>
              <w:rPr>
                <w:bCs/>
                <w:sz w:val="24"/>
              </w:rPr>
              <w:t>的给燃料量可在一定的范围内根据燃料用量进行调整。</w:t>
            </w:r>
          </w:p>
          <w:p w14:paraId="3A9A12A5">
            <w:pPr>
              <w:pStyle w:val="45"/>
              <w:ind w:firstLine="480"/>
              <w:rPr>
                <w:bCs/>
                <w:sz w:val="24"/>
              </w:rPr>
            </w:pPr>
            <w:r>
              <w:rPr>
                <w:rFonts w:hint="eastAsia"/>
                <w:bCs/>
                <w:sz w:val="24"/>
              </w:rPr>
              <w:t>②</w:t>
            </w:r>
            <w:r>
              <w:rPr>
                <w:bCs/>
                <w:sz w:val="24"/>
              </w:rPr>
              <w:t>燃烧系统</w:t>
            </w:r>
          </w:p>
          <w:p w14:paraId="43CA1563">
            <w:pPr>
              <w:pStyle w:val="45"/>
              <w:ind w:firstLine="480"/>
              <w:rPr>
                <w:bCs/>
                <w:sz w:val="24"/>
              </w:rPr>
            </w:pPr>
            <w:r>
              <w:rPr>
                <w:rFonts w:hint="eastAsia"/>
                <w:bCs/>
                <w:sz w:val="24"/>
              </w:rPr>
              <w:t>A</w:t>
            </w:r>
            <w:r>
              <w:rPr>
                <w:bCs/>
                <w:sz w:val="24"/>
              </w:rPr>
              <w:t>送风系统</w:t>
            </w:r>
          </w:p>
          <w:p w14:paraId="3AA361D0">
            <w:pPr>
              <w:pStyle w:val="45"/>
              <w:ind w:firstLine="480"/>
              <w:rPr>
                <w:bCs/>
                <w:sz w:val="24"/>
              </w:rPr>
            </w:pPr>
            <w:r>
              <w:rPr>
                <w:bCs/>
                <w:sz w:val="24"/>
              </w:rPr>
              <w:t>空气经鼓风机加压后进入空气预热器，</w:t>
            </w:r>
            <w:r>
              <w:rPr>
                <w:rFonts w:hint="eastAsia"/>
                <w:bCs/>
                <w:sz w:val="24"/>
              </w:rPr>
              <w:t>再</w:t>
            </w:r>
            <w:r>
              <w:rPr>
                <w:bCs/>
                <w:sz w:val="24"/>
              </w:rPr>
              <w:t>进入锅炉炉排各风室。锅炉产生的烟气，经过</w:t>
            </w:r>
            <w:r>
              <w:rPr>
                <w:rFonts w:hint="eastAsia"/>
                <w:bCs/>
                <w:sz w:val="24"/>
              </w:rPr>
              <w:t>SNCR+SCR脱硝</w:t>
            </w:r>
            <w:r>
              <w:rPr>
                <w:bCs/>
                <w:sz w:val="24"/>
              </w:rPr>
              <w:t>后，进入</w:t>
            </w:r>
            <w:r>
              <w:rPr>
                <w:rFonts w:hint="eastAsia"/>
                <w:bCs/>
                <w:sz w:val="24"/>
              </w:rPr>
              <w:t>旋风除尘器、</w:t>
            </w:r>
            <w:r>
              <w:rPr>
                <w:bCs/>
                <w:sz w:val="24"/>
              </w:rPr>
              <w:t>布袋除尘器，经除尘器</w:t>
            </w:r>
            <w:r>
              <w:rPr>
                <w:rFonts w:hint="eastAsia"/>
                <w:bCs/>
                <w:sz w:val="24"/>
              </w:rPr>
              <w:t>及后续脱硫塔</w:t>
            </w:r>
            <w:r>
              <w:rPr>
                <w:bCs/>
                <w:sz w:val="24"/>
              </w:rPr>
              <w:t>净化后通过烟囱排入大气。</w:t>
            </w:r>
          </w:p>
          <w:p w14:paraId="28EC4327">
            <w:pPr>
              <w:pStyle w:val="45"/>
              <w:ind w:firstLine="480"/>
              <w:rPr>
                <w:bCs/>
                <w:sz w:val="24"/>
              </w:rPr>
            </w:pPr>
            <w:r>
              <w:rPr>
                <w:rFonts w:hint="eastAsia"/>
                <w:bCs/>
                <w:sz w:val="24"/>
              </w:rPr>
              <w:t>B</w:t>
            </w:r>
            <w:r>
              <w:rPr>
                <w:bCs/>
                <w:sz w:val="24"/>
              </w:rPr>
              <w:t>燃料、灰、渣系统</w:t>
            </w:r>
          </w:p>
          <w:p w14:paraId="0AD8F9CD">
            <w:pPr>
              <w:pStyle w:val="45"/>
              <w:ind w:firstLine="480"/>
              <w:rPr>
                <w:bCs/>
                <w:sz w:val="24"/>
              </w:rPr>
            </w:pPr>
            <w:r>
              <w:rPr>
                <w:rFonts w:hint="eastAsia"/>
                <w:bCs/>
                <w:sz w:val="24"/>
              </w:rPr>
              <w:t>项目采用干出渣方式，</w:t>
            </w:r>
            <w:r>
              <w:rPr>
                <w:bCs/>
                <w:sz w:val="24"/>
              </w:rPr>
              <w:t>燃料自炉前</w:t>
            </w:r>
            <w:r>
              <w:rPr>
                <w:rFonts w:hint="eastAsia"/>
                <w:bCs/>
                <w:sz w:val="24"/>
              </w:rPr>
              <w:t>煤仓</w:t>
            </w:r>
            <w:r>
              <w:rPr>
                <w:bCs/>
                <w:sz w:val="24"/>
              </w:rPr>
              <w:t>、</w:t>
            </w:r>
            <w:r>
              <w:rPr>
                <w:rFonts w:hint="eastAsia"/>
                <w:bCs/>
                <w:sz w:val="24"/>
              </w:rPr>
              <w:t>溜槽</w:t>
            </w:r>
            <w:r>
              <w:rPr>
                <w:bCs/>
                <w:sz w:val="24"/>
              </w:rPr>
              <w:t>、</w:t>
            </w:r>
            <w:r>
              <w:rPr>
                <w:rFonts w:hint="eastAsia"/>
                <w:bCs/>
                <w:sz w:val="24"/>
              </w:rPr>
              <w:t>螺旋给煤机</w:t>
            </w:r>
            <w:r>
              <w:rPr>
                <w:bCs/>
                <w:sz w:val="24"/>
              </w:rPr>
              <w:t>送入炉床。燃烬的灰渣</w:t>
            </w:r>
            <w:r>
              <w:rPr>
                <w:rFonts w:hint="eastAsia"/>
                <w:bCs/>
                <w:sz w:val="24"/>
              </w:rPr>
              <w:t>直接</w:t>
            </w:r>
            <w:r>
              <w:rPr>
                <w:bCs/>
                <w:sz w:val="24"/>
              </w:rPr>
              <w:t>掉入锅炉底部，炉渣</w:t>
            </w:r>
            <w:r>
              <w:rPr>
                <w:rFonts w:hint="eastAsia"/>
                <w:bCs/>
                <w:sz w:val="24"/>
              </w:rPr>
              <w:t>经冷渣器及重链除渣机（ZKC型）运至室外渣仓</w:t>
            </w:r>
            <w:r>
              <w:rPr>
                <w:bCs/>
                <w:sz w:val="24"/>
              </w:rPr>
              <w:t>。</w:t>
            </w:r>
          </w:p>
          <w:p w14:paraId="40F3DDA7">
            <w:pPr>
              <w:pStyle w:val="45"/>
              <w:ind w:firstLine="480"/>
              <w:rPr>
                <w:bCs/>
                <w:sz w:val="24"/>
              </w:rPr>
            </w:pPr>
            <w:r>
              <w:rPr>
                <w:rFonts w:hint="eastAsia"/>
                <w:bCs/>
                <w:sz w:val="24"/>
              </w:rPr>
              <w:t>③</w:t>
            </w:r>
            <w:r>
              <w:rPr>
                <w:bCs/>
                <w:sz w:val="24"/>
              </w:rPr>
              <w:t>烟气系统</w:t>
            </w:r>
          </w:p>
          <w:p w14:paraId="668B21A3">
            <w:pPr>
              <w:pStyle w:val="45"/>
              <w:ind w:firstLine="480"/>
              <w:rPr>
                <w:bCs/>
                <w:sz w:val="24"/>
              </w:rPr>
            </w:pPr>
            <w:r>
              <w:rPr>
                <w:bCs/>
                <w:sz w:val="24"/>
              </w:rPr>
              <w:t>锅炉烟气依次经过炉膛、锅筒、烟道后从锅炉排出，为有效减少烟气污染，</w:t>
            </w:r>
            <w:r>
              <w:rPr>
                <w:rFonts w:hint="eastAsia"/>
                <w:bCs/>
                <w:sz w:val="24"/>
              </w:rPr>
              <w:t>项目锅炉产生</w:t>
            </w:r>
            <w:r>
              <w:rPr>
                <w:bCs/>
                <w:sz w:val="24"/>
              </w:rPr>
              <w:t>烟气</w:t>
            </w:r>
            <w:r>
              <w:rPr>
                <w:rFonts w:hint="eastAsia"/>
                <w:bCs/>
                <w:sz w:val="24"/>
              </w:rPr>
              <w:t>经炉内SNCR+3套SCR+3套旋风除尘+袋式除尘+1套氧化镁湿法脱硫处理后</w:t>
            </w:r>
            <w:r>
              <w:rPr>
                <w:bCs/>
                <w:sz w:val="24"/>
              </w:rPr>
              <w:t>，再经引风机、烟道由烟囱排向大气。</w:t>
            </w:r>
          </w:p>
          <w:p w14:paraId="02965F7B">
            <w:pPr>
              <w:pStyle w:val="45"/>
              <w:ind w:firstLine="480"/>
              <w:rPr>
                <w:bCs/>
                <w:sz w:val="24"/>
              </w:rPr>
            </w:pPr>
            <w:r>
              <w:rPr>
                <w:rFonts w:hint="eastAsia"/>
                <w:sz w:val="24"/>
              </w:rPr>
              <w:t>④脱硝、</w:t>
            </w:r>
            <w:r>
              <w:rPr>
                <w:bCs/>
                <w:sz w:val="24"/>
              </w:rPr>
              <w:t>脱硫</w:t>
            </w:r>
            <w:r>
              <w:rPr>
                <w:rFonts w:hint="eastAsia"/>
                <w:bCs/>
                <w:sz w:val="24"/>
              </w:rPr>
              <w:t>、</w:t>
            </w:r>
            <w:r>
              <w:rPr>
                <w:bCs/>
                <w:sz w:val="24"/>
              </w:rPr>
              <w:t>除尘系统</w:t>
            </w:r>
          </w:p>
          <w:p w14:paraId="5DD9AF6C">
            <w:pPr>
              <w:pStyle w:val="45"/>
              <w:ind w:firstLine="480"/>
              <w:rPr>
                <w:bCs/>
                <w:sz w:val="24"/>
              </w:rPr>
            </w:pPr>
            <w:r>
              <w:rPr>
                <w:rFonts w:hint="eastAsia"/>
                <w:bCs/>
                <w:sz w:val="24"/>
              </w:rPr>
              <w:t>锅炉烟气炉内SNCR+3套SCR+3套旋风除尘+袋式除尘+1套氧化镁湿法脱硫处理</w:t>
            </w:r>
            <w:r>
              <w:rPr>
                <w:bCs/>
                <w:sz w:val="24"/>
              </w:rPr>
              <w:t>，经处理后的烟气</w:t>
            </w:r>
            <w:r>
              <w:rPr>
                <w:rFonts w:hint="eastAsia"/>
                <w:bCs/>
                <w:sz w:val="24"/>
              </w:rPr>
              <w:t>经过1根45m高</w:t>
            </w:r>
            <w:r>
              <w:rPr>
                <w:bCs/>
                <w:sz w:val="24"/>
              </w:rPr>
              <w:t>烟囱排入大气。</w:t>
            </w:r>
          </w:p>
          <w:p w14:paraId="249868E3">
            <w:pPr>
              <w:pStyle w:val="45"/>
              <w:ind w:firstLine="480"/>
              <w:rPr>
                <w:bCs/>
                <w:sz w:val="24"/>
              </w:rPr>
            </w:pPr>
            <w:r>
              <w:rPr>
                <w:rFonts w:hint="eastAsia"/>
                <w:bCs/>
                <w:sz w:val="24"/>
              </w:rPr>
              <w:t>A.脱硝</w:t>
            </w:r>
          </w:p>
          <w:p w14:paraId="5189385F">
            <w:pPr>
              <w:pStyle w:val="45"/>
              <w:ind w:firstLine="480"/>
              <w:rPr>
                <w:bCs/>
                <w:sz w:val="24"/>
              </w:rPr>
            </w:pPr>
            <w:r>
              <w:rPr>
                <w:rFonts w:hint="eastAsia"/>
                <w:bCs/>
                <w:sz w:val="24"/>
              </w:rPr>
              <w:t>本工程烟气脱硝采用炉内SNCR+3套SCR法脱硝。在锅炉本体烟气出口进行SCR脱硝，催化装置为蜂窝式结构，催化剂为钒钛系（V</w:t>
            </w:r>
            <w:r>
              <w:rPr>
                <w:rFonts w:hint="eastAsia"/>
                <w:bCs/>
                <w:sz w:val="24"/>
                <w:vertAlign w:val="subscript"/>
              </w:rPr>
              <w:t>2</w:t>
            </w:r>
            <w:r>
              <w:rPr>
                <w:rFonts w:hint="eastAsia"/>
                <w:bCs/>
                <w:sz w:val="24"/>
              </w:rPr>
              <w:t>O</w:t>
            </w:r>
            <w:r>
              <w:rPr>
                <w:rFonts w:hint="eastAsia"/>
                <w:bCs/>
                <w:sz w:val="24"/>
                <w:vertAlign w:val="subscript"/>
              </w:rPr>
              <w:t>5</w:t>
            </w:r>
            <w:r>
              <w:rPr>
                <w:rFonts w:hint="eastAsia"/>
                <w:bCs/>
                <w:sz w:val="24"/>
              </w:rPr>
              <w:t>TiO</w:t>
            </w:r>
            <w:r>
              <w:rPr>
                <w:rFonts w:hint="eastAsia"/>
                <w:bCs/>
                <w:sz w:val="24"/>
                <w:vertAlign w:val="subscript"/>
              </w:rPr>
              <w:t>2</w:t>
            </w:r>
            <w:r>
              <w:rPr>
                <w:rFonts w:hint="eastAsia"/>
                <w:bCs/>
                <w:sz w:val="24"/>
              </w:rPr>
              <w:t>），在催化装置的作用下，以一定浓度的氨水（尿素）作为还原剂，在320~420℃范围内，将NO</w:t>
            </w:r>
            <w:r>
              <w:rPr>
                <w:rFonts w:hint="eastAsia"/>
                <w:bCs/>
                <w:sz w:val="24"/>
                <w:vertAlign w:val="subscript"/>
              </w:rPr>
              <w:t>x</w:t>
            </w:r>
            <w:r>
              <w:rPr>
                <w:rFonts w:hint="eastAsia"/>
                <w:bCs/>
                <w:sz w:val="24"/>
              </w:rPr>
              <w:t>还原成N</w:t>
            </w:r>
            <w:r>
              <w:rPr>
                <w:rFonts w:hint="eastAsia"/>
                <w:bCs/>
                <w:sz w:val="24"/>
                <w:vertAlign w:val="subscript"/>
              </w:rPr>
              <w:t>2</w:t>
            </w:r>
            <w:r>
              <w:rPr>
                <w:rFonts w:hint="eastAsia"/>
                <w:bCs/>
                <w:sz w:val="24"/>
              </w:rPr>
              <w:t>和H</w:t>
            </w:r>
            <w:r>
              <w:rPr>
                <w:rFonts w:hint="eastAsia"/>
                <w:bCs/>
                <w:sz w:val="24"/>
                <w:vertAlign w:val="subscript"/>
              </w:rPr>
              <w:t>2</w:t>
            </w:r>
            <w:r>
              <w:rPr>
                <w:rFonts w:hint="eastAsia"/>
                <w:bCs/>
                <w:sz w:val="24"/>
              </w:rPr>
              <w:t>O的工艺。</w:t>
            </w:r>
            <w:r>
              <w:rPr>
                <w:bCs/>
                <w:sz w:val="24"/>
              </w:rPr>
              <w:t>SNCR+</w:t>
            </w:r>
            <w:r>
              <w:rPr>
                <w:rFonts w:hint="eastAsia"/>
                <w:bCs/>
                <w:sz w:val="24"/>
              </w:rPr>
              <w:t>SCR工艺脱硝效率可达55%，燃煤蒸汽锅炉一般设计排烟温度在250~300℃之间，为了提高还原剂与氮氧化物的化合效率，系统设置尿素热解炉、稀释风机，由电加热器将气态风温度提高到430℃，由氨喷射格栅均匀的将脱硝剂与氮氧化物结合，完成脱硝的目的。</w:t>
            </w:r>
          </w:p>
          <w:p w14:paraId="4F839F8B">
            <w:pPr>
              <w:pStyle w:val="45"/>
              <w:ind w:firstLine="480"/>
              <w:rPr>
                <w:bCs/>
                <w:sz w:val="24"/>
              </w:rPr>
            </w:pPr>
            <w:r>
              <w:rPr>
                <w:rFonts w:hint="eastAsia"/>
                <w:bCs/>
                <w:sz w:val="24"/>
              </w:rPr>
              <w:t>B.除尘</w:t>
            </w:r>
          </w:p>
          <w:p w14:paraId="78D17479">
            <w:pPr>
              <w:pStyle w:val="45"/>
              <w:ind w:firstLine="480"/>
              <w:rPr>
                <w:bCs/>
                <w:sz w:val="24"/>
              </w:rPr>
            </w:pPr>
            <w:r>
              <w:rPr>
                <w:rFonts w:hint="eastAsia"/>
                <w:bCs/>
                <w:sz w:val="24"/>
              </w:rPr>
              <w:t>旋风除尘器是利用粉尘的质量力（重力、惯性力、离心力等）将其去除，所以它的除尘效率与粉尘质量密切相关：粒径较大的粉尘，由于其质量较大，故较容易除去；而粒径较小的粉尘，由于质量也小，故难以除去，特别对细微粉尘的去除更是无能为力，其净化效率通常在40~80%。因此本项目将旋风除尘器用于预除尘或者针对大颗粒粉尘的净化。</w:t>
            </w:r>
          </w:p>
          <w:p w14:paraId="34FB3E5A">
            <w:pPr>
              <w:pStyle w:val="45"/>
              <w:ind w:firstLine="480"/>
              <w:rPr>
                <w:bCs/>
                <w:sz w:val="24"/>
              </w:rPr>
            </w:pPr>
            <w:r>
              <w:rPr>
                <w:bCs/>
                <w:sz w:val="24"/>
              </w:rPr>
              <w:t>布袋除尘器是一种干式滤尘装置。它适用于捕集细小、干燥、非纤维性粉尘。滤袋采用纺织的滤布或非纺织的毡制成，利用纤维织物的过滤作用对含尘气体进行过滤，当含尘气体进入袋式除尘器后，颗粒大、比重大的粉尘，由于重力的作用沉降下来，落入灰斗，含有较细小粉尘的气体在通过滤料时，粉尘被阻留，使气体得到净化。</w:t>
            </w:r>
          </w:p>
          <w:p w14:paraId="2593C755">
            <w:pPr>
              <w:pStyle w:val="45"/>
              <w:ind w:firstLine="480"/>
              <w:rPr>
                <w:bCs/>
                <w:sz w:val="24"/>
              </w:rPr>
            </w:pPr>
            <w:r>
              <w:rPr>
                <w:rFonts w:hint="eastAsia"/>
                <w:bCs/>
                <w:sz w:val="24"/>
              </w:rPr>
              <w:t>C.脱硫</w:t>
            </w:r>
          </w:p>
          <w:p w14:paraId="3152CA0B">
            <w:pPr>
              <w:pStyle w:val="45"/>
              <w:ind w:firstLine="480"/>
              <w:rPr>
                <w:sz w:val="24"/>
              </w:rPr>
            </w:pPr>
            <w:r>
              <w:rPr>
                <w:rFonts w:hint="eastAsia"/>
                <w:sz w:val="24"/>
              </w:rPr>
              <w:t>项目脱硫采用氧化镁湿法脱硫，设置2台玻璃钢脱硫塔（1用1备），其原理</w:t>
            </w:r>
            <w:r>
              <w:rPr>
                <w:sz w:val="24"/>
              </w:rPr>
              <w:t>是氧化镁与水反应生成氢氧化镁，再与二氧化硫溶于水生成的亚硫酸溶液进行酸碱中和反应，生成亚硫酸镁，亚硫酸镁被强制氧化转化成硫酸镁，再制成七水硫酸镁。脱硫过程中发生的主要化学反应有：</w:t>
            </w:r>
          </w:p>
          <w:p w14:paraId="3C2121B3">
            <w:pPr>
              <w:pStyle w:val="45"/>
              <w:ind w:firstLine="420"/>
              <w:rPr>
                <w:sz w:val="24"/>
              </w:rPr>
            </w:pPr>
            <w:r>
              <w:drawing>
                <wp:inline distT="0" distB="0" distL="0" distR="0">
                  <wp:extent cx="2028825" cy="790575"/>
                  <wp:effectExtent l="0" t="0" r="9525" b="9525"/>
                  <wp:docPr id="7465594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6559423" name="图片 1"/>
                          <pic:cNvPicPr>
                            <a:picLocks noChangeAspect="1"/>
                          </pic:cNvPicPr>
                        </pic:nvPicPr>
                        <pic:blipFill>
                          <a:blip r:embed="rId20"/>
                          <a:stretch>
                            <a:fillRect/>
                          </a:stretch>
                        </pic:blipFill>
                        <pic:spPr>
                          <a:xfrm>
                            <a:off x="0" y="0"/>
                            <a:ext cx="2028825" cy="790575"/>
                          </a:xfrm>
                          <a:prstGeom prst="rect">
                            <a:avLst/>
                          </a:prstGeom>
                        </pic:spPr>
                      </pic:pic>
                    </a:graphicData>
                  </a:graphic>
                </wp:inline>
              </w:drawing>
            </w:r>
          </w:p>
          <w:p w14:paraId="2508F5AF">
            <w:pPr>
              <w:pStyle w:val="45"/>
              <w:ind w:firstLine="420"/>
              <w:rPr>
                <w:sz w:val="24"/>
              </w:rPr>
            </w:pPr>
            <w:r>
              <w:drawing>
                <wp:inline distT="0" distB="0" distL="0" distR="0">
                  <wp:extent cx="1876425" cy="466725"/>
                  <wp:effectExtent l="0" t="0" r="9525" b="9525"/>
                  <wp:docPr id="3803568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0356866" name="图片 1"/>
                          <pic:cNvPicPr>
                            <a:picLocks noChangeAspect="1"/>
                          </pic:cNvPicPr>
                        </pic:nvPicPr>
                        <pic:blipFill>
                          <a:blip r:embed="rId21"/>
                          <a:stretch>
                            <a:fillRect/>
                          </a:stretch>
                        </pic:blipFill>
                        <pic:spPr>
                          <a:xfrm>
                            <a:off x="0" y="0"/>
                            <a:ext cx="1876425" cy="466725"/>
                          </a:xfrm>
                          <a:prstGeom prst="rect">
                            <a:avLst/>
                          </a:prstGeom>
                        </pic:spPr>
                      </pic:pic>
                    </a:graphicData>
                  </a:graphic>
                </wp:inline>
              </w:drawing>
            </w:r>
          </w:p>
          <w:p w14:paraId="2529F025">
            <w:pPr>
              <w:pStyle w:val="45"/>
              <w:ind w:firstLine="480"/>
              <w:rPr>
                <w:sz w:val="24"/>
              </w:rPr>
            </w:pPr>
            <w:r>
              <w:rPr>
                <w:sz w:val="24"/>
              </w:rPr>
              <w:t>袋装脱硫剂（纯度为85%的氧化镁）由市场采购。配置浆液时，袋装氧化镁由人工拆袋后经投料口倒入</w:t>
            </w:r>
            <w:r>
              <w:rPr>
                <w:rFonts w:hint="eastAsia"/>
                <w:sz w:val="24"/>
              </w:rPr>
              <w:t>配制罐，经搅拌后均匀混合</w:t>
            </w:r>
            <w:r>
              <w:rPr>
                <w:sz w:val="24"/>
              </w:rPr>
              <w:t>。</w:t>
            </w:r>
            <w:r>
              <w:rPr>
                <w:rFonts w:hint="eastAsia"/>
                <w:sz w:val="24"/>
              </w:rPr>
              <w:t>配置好的氧化镁浆液</w:t>
            </w:r>
            <w:r>
              <w:rPr>
                <w:sz w:val="24"/>
              </w:rPr>
              <w:t>通过脱硫剂供给泵送往</w:t>
            </w:r>
            <w:r>
              <w:rPr>
                <w:rFonts w:hint="eastAsia"/>
                <w:sz w:val="24"/>
              </w:rPr>
              <w:t>脱硫</w:t>
            </w:r>
            <w:r>
              <w:rPr>
                <w:sz w:val="24"/>
              </w:rPr>
              <w:t>塔。</w:t>
            </w:r>
          </w:p>
          <w:p w14:paraId="47BA7D9D">
            <w:pPr>
              <w:pStyle w:val="45"/>
              <w:ind w:firstLine="480"/>
              <w:rPr>
                <w:sz w:val="24"/>
              </w:rPr>
            </w:pPr>
            <w:r>
              <w:rPr>
                <w:sz w:val="24"/>
              </w:rPr>
              <w:t>来自锅炉的原烟气经除尘后，由引风机经入口挡板进入</w:t>
            </w:r>
            <w:r>
              <w:rPr>
                <w:rFonts w:hint="eastAsia"/>
                <w:sz w:val="24"/>
              </w:rPr>
              <w:t>脱硫</w:t>
            </w:r>
            <w:r>
              <w:rPr>
                <w:sz w:val="24"/>
              </w:rPr>
              <w:t>塔，在</w:t>
            </w:r>
            <w:r>
              <w:rPr>
                <w:rFonts w:hint="eastAsia"/>
                <w:sz w:val="24"/>
              </w:rPr>
              <w:t>脱硫</w:t>
            </w:r>
            <w:r>
              <w:rPr>
                <w:sz w:val="24"/>
              </w:rPr>
              <w:t>塔内进行脱硫反应，然后经除雾器除去水雾后，通入烟囱排放。</w:t>
            </w:r>
          </w:p>
          <w:p w14:paraId="3B03B22B">
            <w:pPr>
              <w:pStyle w:val="45"/>
              <w:ind w:firstLine="480"/>
              <w:rPr>
                <w:sz w:val="24"/>
              </w:rPr>
            </w:pPr>
            <w:r>
              <w:rPr>
                <w:sz w:val="24"/>
              </w:rPr>
              <w:t>氧化镁的脱硫机理是碱性氧化物与水反应生成氢氧化物，再与二氧化硫溶于水生成的亚硫酸溶液进行酸碱中和反应，氧化镁反应生成亚硫酸镁和硫酸镁。</w:t>
            </w:r>
          </w:p>
          <w:p w14:paraId="5D8251CA">
            <w:pPr>
              <w:pStyle w:val="45"/>
              <w:ind w:firstLine="480"/>
              <w:rPr>
                <w:sz w:val="24"/>
              </w:rPr>
            </w:pPr>
            <w:r>
              <w:rPr>
                <w:sz w:val="24"/>
              </w:rPr>
              <w:t>吸收塔浆池的pH值通过补充吸收剂浆液注入来控制，最佳反应 pH 值在5.0～6.0之间。SO</w:t>
            </w:r>
            <w:r>
              <w:rPr>
                <w:sz w:val="24"/>
                <w:vertAlign w:val="subscript"/>
              </w:rPr>
              <w:t>2</w:t>
            </w:r>
            <w:r>
              <w:rPr>
                <w:sz w:val="24"/>
              </w:rPr>
              <w:t>吸收系统是烟气脱硫系统的核心，主要包括脱硫塔、喷嘴、除雾器和浆液循环等设施、设备。</w:t>
            </w:r>
          </w:p>
          <w:p w14:paraId="6206B5B1">
            <w:pPr>
              <w:pStyle w:val="45"/>
              <w:ind w:firstLine="480"/>
              <w:rPr>
                <w:sz w:val="24"/>
              </w:rPr>
            </w:pPr>
            <w:r>
              <w:rPr>
                <w:sz w:val="24"/>
              </w:rPr>
              <w:t>脱硫塔的操作温度为50℃，操作压力为1500Pa；设计温度为165℃，设计力为2000Pa。本系统喷淋塔喷嘴采用3层布置，喷淋浆液与烟气进行逆向接触，充分地进行反应。为了减少设备的结构堵塞问题以及减小塔内压力损失，保证烟气畅通，塔体内不设任何支撑或检修架。经洗涤后的烟气湿度比较大，需要对它进行除雾处理，一般是在吸收塔内喷淋层的</w:t>
            </w:r>
            <w:r>
              <w:rPr>
                <w:rFonts w:hint="eastAsia"/>
                <w:sz w:val="24"/>
              </w:rPr>
              <w:t>顶层</w:t>
            </w:r>
            <w:r>
              <w:rPr>
                <w:sz w:val="24"/>
              </w:rPr>
              <w:t>安装除雾器，同时在除雾器的上面安装了自动工艺水冲洗系统以便及时处理运行一段时间后除雾器上面的积灰。</w:t>
            </w:r>
          </w:p>
          <w:p w14:paraId="1D7845E3">
            <w:pPr>
              <w:pStyle w:val="45"/>
              <w:ind w:firstLine="480"/>
              <w:rPr>
                <w:bCs/>
                <w:sz w:val="24"/>
              </w:rPr>
            </w:pPr>
            <w:r>
              <w:rPr>
                <w:rFonts w:hint="eastAsia"/>
                <w:bCs/>
                <w:sz w:val="24"/>
              </w:rPr>
              <w:t>二氧化硫吸收液达到一定浓度时需从循环池排出部分进入沉淀池并通过管式曝气器强制氧化，</w:t>
            </w:r>
            <w:r>
              <w:rPr>
                <w:bCs/>
                <w:sz w:val="24"/>
              </w:rPr>
              <w:t>处理后</w:t>
            </w:r>
            <w:r>
              <w:rPr>
                <w:rFonts w:hint="eastAsia"/>
                <w:bCs/>
                <w:sz w:val="24"/>
              </w:rPr>
              <w:t>形成</w:t>
            </w:r>
            <w:r>
              <w:rPr>
                <w:bCs/>
                <w:sz w:val="24"/>
              </w:rPr>
              <w:t>的硫酸盐沉淀，然后</w:t>
            </w:r>
            <w:r>
              <w:rPr>
                <w:rFonts w:hint="eastAsia"/>
                <w:bCs/>
                <w:sz w:val="24"/>
              </w:rPr>
              <w:t>上层清水返回至脱硫系统，下层沉淀物经泥浆泵打入板框压滤机</w:t>
            </w:r>
            <w:r>
              <w:rPr>
                <w:bCs/>
                <w:sz w:val="24"/>
              </w:rPr>
              <w:t>，</w:t>
            </w:r>
            <w:r>
              <w:rPr>
                <w:rFonts w:hint="eastAsia"/>
                <w:bCs/>
                <w:sz w:val="24"/>
              </w:rPr>
              <w:t>经压滤后外售建材厂综合利用。</w:t>
            </w:r>
          </w:p>
          <w:p w14:paraId="2D574CFA">
            <w:pPr>
              <w:pStyle w:val="45"/>
              <w:ind w:firstLine="480"/>
              <w:rPr>
                <w:bCs/>
                <w:sz w:val="24"/>
              </w:rPr>
            </w:pPr>
            <w:r>
              <w:rPr>
                <w:rFonts w:hint="eastAsia"/>
                <w:bCs/>
                <w:sz w:val="24"/>
              </w:rPr>
              <w:t>⑤</w:t>
            </w:r>
            <w:r>
              <w:rPr>
                <w:bCs/>
                <w:sz w:val="24"/>
              </w:rPr>
              <w:t>除灰渣</w:t>
            </w:r>
          </w:p>
          <w:p w14:paraId="7B6D4CDE">
            <w:pPr>
              <w:pStyle w:val="45"/>
              <w:ind w:firstLine="480"/>
              <w:rPr>
                <w:sz w:val="24"/>
              </w:rPr>
            </w:pPr>
            <w:r>
              <w:rPr>
                <w:rFonts w:hint="eastAsia"/>
                <w:bCs/>
                <w:sz w:val="24"/>
              </w:rPr>
              <w:t>燃烬的灰渣直接掉入锅炉底部，炉渣经冷渣器及重链除渣机（ZKC型）运至室外渣仓暂存</w:t>
            </w:r>
            <w:r>
              <w:rPr>
                <w:bCs/>
                <w:sz w:val="24"/>
              </w:rPr>
              <w:t>。</w:t>
            </w:r>
          </w:p>
          <w:p w14:paraId="2FBD3707">
            <w:pPr>
              <w:pStyle w:val="45"/>
              <w:ind w:firstLine="0" w:firstLineChars="0"/>
              <w:jc w:val="center"/>
              <w:rPr>
                <w:sz w:val="24"/>
              </w:rPr>
            </w:pPr>
            <w:r>
              <w:rPr>
                <w:rFonts w:hint="eastAsia"/>
              </w:rPr>
              <w:object>
                <v:shape id="_x0000_i1029" o:spt="75" type="#_x0000_t75" style="height:158.25pt;width:408pt;" o:ole="t" filled="f" o:preferrelative="t" stroked="f" coordsize="21600,21600">
                  <v:path/>
                  <v:fill on="f" focussize="0,0"/>
                  <v:stroke on="f" joinstyle="miter"/>
                  <v:imagedata r:id="rId23" o:title=""/>
                  <o:lock v:ext="edit" aspectratio="t"/>
                  <w10:wrap type="none"/>
                  <w10:anchorlock/>
                </v:shape>
                <o:OLEObject Type="Embed" ProgID="Visio.Drawing.11" ShapeID="_x0000_i1029" DrawAspect="Content" ObjectID="_1468075729" r:id="rId22">
                  <o:LockedField>false</o:LockedField>
                </o:OLEObject>
              </w:object>
            </w:r>
          </w:p>
          <w:p w14:paraId="6CC89CFD">
            <w:pPr>
              <w:pStyle w:val="45"/>
              <w:ind w:firstLine="422"/>
              <w:jc w:val="center"/>
              <w:rPr>
                <w:szCs w:val="21"/>
              </w:rPr>
            </w:pPr>
            <w:r>
              <w:rPr>
                <w:b/>
                <w:szCs w:val="21"/>
              </w:rPr>
              <w:t>图2-</w:t>
            </w:r>
            <w:r>
              <w:rPr>
                <w:rFonts w:hint="eastAsia"/>
                <w:b/>
                <w:szCs w:val="21"/>
              </w:rPr>
              <w:t>5</w:t>
            </w:r>
            <w:r>
              <w:rPr>
                <w:b/>
                <w:szCs w:val="21"/>
              </w:rPr>
              <w:t xml:space="preserve">  </w:t>
            </w:r>
            <w:r>
              <w:rPr>
                <w:rFonts w:hint="eastAsia"/>
                <w:b/>
                <w:szCs w:val="21"/>
              </w:rPr>
              <w:t>项目锅炉工艺流程</w:t>
            </w:r>
            <w:r>
              <w:rPr>
                <w:b/>
                <w:szCs w:val="21"/>
              </w:rPr>
              <w:t>及产污环节图</w:t>
            </w:r>
          </w:p>
          <w:p w14:paraId="2ACECEFF">
            <w:pPr>
              <w:pStyle w:val="45"/>
              <w:ind w:firstLine="480"/>
              <w:rPr>
                <w:sz w:val="24"/>
              </w:rPr>
            </w:pPr>
            <w:r>
              <w:rPr>
                <w:rFonts w:hint="eastAsia"/>
                <w:sz w:val="24"/>
              </w:rPr>
              <w:t>（4）产污环节</w:t>
            </w:r>
          </w:p>
          <w:p w14:paraId="3F5595B8">
            <w:pPr>
              <w:adjustRightInd w:val="0"/>
              <w:snapToGrid w:val="0"/>
              <w:spacing w:line="360" w:lineRule="auto"/>
              <w:ind w:firstLine="480" w:firstLineChars="200"/>
              <w:rPr>
                <w:sz w:val="24"/>
              </w:rPr>
            </w:pPr>
            <w:r>
              <w:rPr>
                <w:rFonts w:hint="eastAsia"/>
                <w:sz w:val="24"/>
              </w:rPr>
              <w:t>废气：锅炉烟气G1，主要污染物为二氧化硫、氮氧化物和颗粒物；煤仓无组织粉尘G2，主要污染物为颗粒物；渣仓无组织粉尘G3，主要污染物为颗粒物；氨逃逸G4，主要污染物为氨；</w:t>
            </w:r>
          </w:p>
          <w:p w14:paraId="515D8956">
            <w:pPr>
              <w:adjustRightInd w:val="0"/>
              <w:snapToGrid w:val="0"/>
              <w:spacing w:line="360" w:lineRule="auto"/>
              <w:ind w:firstLine="480" w:firstLineChars="200"/>
              <w:rPr>
                <w:sz w:val="24"/>
              </w:rPr>
            </w:pPr>
            <w:r>
              <w:rPr>
                <w:rFonts w:hint="eastAsia"/>
                <w:sz w:val="24"/>
              </w:rPr>
              <w:t>废水：软水制备排污水W1和锅炉排污水W2；</w:t>
            </w:r>
          </w:p>
          <w:p w14:paraId="0C6A8BC0">
            <w:pPr>
              <w:adjustRightInd w:val="0"/>
              <w:snapToGrid w:val="0"/>
              <w:spacing w:line="360" w:lineRule="auto"/>
              <w:ind w:firstLine="480" w:firstLineChars="200"/>
              <w:rPr>
                <w:sz w:val="24"/>
              </w:rPr>
            </w:pPr>
            <w:r>
              <w:rPr>
                <w:rFonts w:hint="eastAsia"/>
                <w:sz w:val="24"/>
              </w:rPr>
              <w:t>噪声：主要是给水泵、风机等设备运行时产生的噪声；</w:t>
            </w:r>
          </w:p>
          <w:p w14:paraId="6E80009D">
            <w:pPr>
              <w:adjustRightInd w:val="0"/>
              <w:snapToGrid w:val="0"/>
              <w:spacing w:line="360" w:lineRule="auto"/>
              <w:ind w:firstLine="480" w:firstLineChars="200"/>
              <w:rPr>
                <w:sz w:val="24"/>
              </w:rPr>
            </w:pPr>
            <w:r>
              <w:rPr>
                <w:rFonts w:hint="eastAsia"/>
                <w:sz w:val="24"/>
              </w:rPr>
              <w:t>固废：主要有废离子交换树脂S1、锅炉灰渣S2、脱硫副产物S3、SCR废催化剂S4。</w:t>
            </w:r>
          </w:p>
          <w:p w14:paraId="3FA48C42">
            <w:pPr>
              <w:adjustRightInd w:val="0"/>
              <w:snapToGrid w:val="0"/>
              <w:spacing w:line="360" w:lineRule="auto"/>
              <w:ind w:firstLine="482" w:firstLineChars="200"/>
              <w:rPr>
                <w:b/>
                <w:sz w:val="24"/>
              </w:rPr>
            </w:pPr>
            <w:r>
              <w:rPr>
                <w:b/>
                <w:sz w:val="24"/>
              </w:rPr>
              <w:t>3、污染因素汇总</w:t>
            </w:r>
          </w:p>
          <w:p w14:paraId="26A59852">
            <w:pPr>
              <w:pStyle w:val="49"/>
              <w:spacing w:line="360" w:lineRule="auto"/>
              <w:ind w:firstLine="480" w:firstLineChars="200"/>
              <w:rPr>
                <w:rFonts w:ascii="Times New Roman" w:hAnsi="Times New Roman" w:cs="Times New Roman"/>
                <w:bCs/>
                <w:sz w:val="24"/>
                <w:szCs w:val="24"/>
              </w:rPr>
            </w:pPr>
            <w:r>
              <w:rPr>
                <w:rFonts w:ascii="Times New Roman" w:hAnsi="Times New Roman" w:cs="Times New Roman"/>
                <w:bCs/>
                <w:sz w:val="24"/>
                <w:szCs w:val="24"/>
              </w:rPr>
              <w:t>根据工艺流程及产污环节分析，本项目运营期主要污染源汇总详见下表。</w:t>
            </w:r>
          </w:p>
          <w:p w14:paraId="39D13B2F">
            <w:pPr>
              <w:jc w:val="center"/>
              <w:rPr>
                <w:b/>
                <w:szCs w:val="21"/>
              </w:rPr>
            </w:pPr>
            <w:r>
              <w:rPr>
                <w:b/>
                <w:szCs w:val="21"/>
              </w:rPr>
              <w:t>表2-</w:t>
            </w:r>
            <w:r>
              <w:rPr>
                <w:rFonts w:hint="eastAsia"/>
                <w:b/>
                <w:szCs w:val="21"/>
              </w:rPr>
              <w:t>8</w:t>
            </w:r>
            <w:r>
              <w:rPr>
                <w:b/>
                <w:szCs w:val="21"/>
              </w:rPr>
              <w:t xml:space="preserve">  项目主要污染源汇总表</w:t>
            </w:r>
          </w:p>
          <w:tbl>
            <w:tblPr>
              <w:tblStyle w:val="31"/>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96"/>
              <w:gridCol w:w="956"/>
              <w:gridCol w:w="1074"/>
              <w:gridCol w:w="1924"/>
              <w:gridCol w:w="3537"/>
            </w:tblGrid>
            <w:tr w14:paraId="575FE4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6" w:type="dxa"/>
                  <w:vAlign w:val="center"/>
                </w:tcPr>
                <w:p w14:paraId="2AD85929">
                  <w:pPr>
                    <w:jc w:val="center"/>
                    <w:rPr>
                      <w:szCs w:val="21"/>
                    </w:rPr>
                  </w:pPr>
                  <w:r>
                    <w:rPr>
                      <w:szCs w:val="21"/>
                    </w:rPr>
                    <w:t>污染</w:t>
                  </w:r>
                </w:p>
                <w:p w14:paraId="48E140A0">
                  <w:pPr>
                    <w:jc w:val="center"/>
                    <w:rPr>
                      <w:szCs w:val="21"/>
                    </w:rPr>
                  </w:pPr>
                  <w:r>
                    <w:rPr>
                      <w:szCs w:val="21"/>
                    </w:rPr>
                    <w:t>类别</w:t>
                  </w:r>
                </w:p>
              </w:tc>
              <w:tc>
                <w:tcPr>
                  <w:tcW w:w="956" w:type="dxa"/>
                  <w:vAlign w:val="center"/>
                </w:tcPr>
                <w:p w14:paraId="047925F3">
                  <w:pPr>
                    <w:jc w:val="center"/>
                    <w:rPr>
                      <w:szCs w:val="21"/>
                    </w:rPr>
                  </w:pPr>
                  <w:r>
                    <w:rPr>
                      <w:szCs w:val="21"/>
                    </w:rPr>
                    <w:t>污染源名称</w:t>
                  </w:r>
                </w:p>
              </w:tc>
              <w:tc>
                <w:tcPr>
                  <w:tcW w:w="1029" w:type="dxa"/>
                  <w:vAlign w:val="center"/>
                </w:tcPr>
                <w:p w14:paraId="36B19D5D">
                  <w:pPr>
                    <w:jc w:val="center"/>
                    <w:rPr>
                      <w:szCs w:val="21"/>
                    </w:rPr>
                  </w:pPr>
                  <w:r>
                    <w:rPr>
                      <w:rFonts w:hint="eastAsia"/>
                      <w:szCs w:val="21"/>
                    </w:rPr>
                    <w:t>产污工序</w:t>
                  </w:r>
                </w:p>
              </w:tc>
              <w:tc>
                <w:tcPr>
                  <w:tcW w:w="1924" w:type="dxa"/>
                  <w:vAlign w:val="center"/>
                </w:tcPr>
                <w:p w14:paraId="56EEDA91">
                  <w:pPr>
                    <w:jc w:val="center"/>
                    <w:rPr>
                      <w:szCs w:val="21"/>
                    </w:rPr>
                  </w:pPr>
                  <w:r>
                    <w:rPr>
                      <w:szCs w:val="21"/>
                    </w:rPr>
                    <w:t>污染物</w:t>
                  </w:r>
                </w:p>
              </w:tc>
              <w:tc>
                <w:tcPr>
                  <w:tcW w:w="3537" w:type="dxa"/>
                  <w:vAlign w:val="center"/>
                </w:tcPr>
                <w:p w14:paraId="2443C817">
                  <w:pPr>
                    <w:jc w:val="center"/>
                    <w:rPr>
                      <w:szCs w:val="21"/>
                    </w:rPr>
                  </w:pPr>
                  <w:r>
                    <w:rPr>
                      <w:szCs w:val="21"/>
                    </w:rPr>
                    <w:t>拟采取措施</w:t>
                  </w:r>
                </w:p>
              </w:tc>
            </w:tr>
            <w:tr w14:paraId="4C0E41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6" w:type="dxa"/>
                  <w:vMerge w:val="restart"/>
                  <w:vAlign w:val="center"/>
                </w:tcPr>
                <w:p w14:paraId="14DD8E39">
                  <w:pPr>
                    <w:jc w:val="center"/>
                    <w:rPr>
                      <w:szCs w:val="21"/>
                    </w:rPr>
                  </w:pPr>
                  <w:r>
                    <w:rPr>
                      <w:szCs w:val="21"/>
                    </w:rPr>
                    <w:t>废气</w:t>
                  </w:r>
                </w:p>
              </w:tc>
              <w:tc>
                <w:tcPr>
                  <w:tcW w:w="956" w:type="dxa"/>
                  <w:vAlign w:val="center"/>
                </w:tcPr>
                <w:p w14:paraId="12A5D070">
                  <w:pPr>
                    <w:jc w:val="center"/>
                    <w:rPr>
                      <w:szCs w:val="21"/>
                    </w:rPr>
                  </w:pPr>
                  <w:r>
                    <w:rPr>
                      <w:rFonts w:hint="eastAsia"/>
                      <w:szCs w:val="21"/>
                    </w:rPr>
                    <w:t>锅炉烟气G1</w:t>
                  </w:r>
                </w:p>
              </w:tc>
              <w:tc>
                <w:tcPr>
                  <w:tcW w:w="1029" w:type="dxa"/>
                  <w:vAlign w:val="center"/>
                </w:tcPr>
                <w:p w14:paraId="7E3A2735">
                  <w:pPr>
                    <w:jc w:val="center"/>
                    <w:rPr>
                      <w:szCs w:val="21"/>
                    </w:rPr>
                  </w:pPr>
                  <w:r>
                    <w:rPr>
                      <w:rFonts w:hint="eastAsia"/>
                      <w:szCs w:val="21"/>
                    </w:rPr>
                    <w:t>燃煤蒸汽锅炉</w:t>
                  </w:r>
                </w:p>
              </w:tc>
              <w:tc>
                <w:tcPr>
                  <w:tcW w:w="1924" w:type="dxa"/>
                  <w:vAlign w:val="center"/>
                </w:tcPr>
                <w:p w14:paraId="17FF2A3F">
                  <w:pPr>
                    <w:jc w:val="center"/>
                    <w:rPr>
                      <w:szCs w:val="21"/>
                    </w:rPr>
                  </w:pPr>
                  <w:r>
                    <w:rPr>
                      <w:rFonts w:hint="eastAsia"/>
                      <w:szCs w:val="21"/>
                    </w:rPr>
                    <w:t>二氧化硫、氮氧化物、颗粒物、汞及其化合物</w:t>
                  </w:r>
                </w:p>
              </w:tc>
              <w:tc>
                <w:tcPr>
                  <w:tcW w:w="3537" w:type="dxa"/>
                  <w:vAlign w:val="center"/>
                </w:tcPr>
                <w:p w14:paraId="33046E75">
                  <w:pPr>
                    <w:jc w:val="center"/>
                    <w:rPr>
                      <w:szCs w:val="21"/>
                    </w:rPr>
                  </w:pPr>
                  <w:r>
                    <w:rPr>
                      <w:rFonts w:hint="eastAsia"/>
                      <w:bCs/>
                      <w:szCs w:val="21"/>
                    </w:rPr>
                    <w:t>炉内SNCR+3套SCR+3套旋风除尘+袋式除尘+1套氧化镁湿法脱硫处理</w:t>
                  </w:r>
                  <w:r>
                    <w:rPr>
                      <w:rFonts w:hint="eastAsia"/>
                      <w:szCs w:val="21"/>
                    </w:rPr>
                    <w:t>，烟气由1根45m高排气筒（DA001）排放</w:t>
                  </w:r>
                </w:p>
              </w:tc>
            </w:tr>
            <w:tr w14:paraId="230039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6" w:type="dxa"/>
                  <w:vMerge w:val="continue"/>
                  <w:vAlign w:val="center"/>
                </w:tcPr>
                <w:p w14:paraId="59F34115">
                  <w:pPr>
                    <w:jc w:val="center"/>
                    <w:rPr>
                      <w:szCs w:val="21"/>
                    </w:rPr>
                  </w:pPr>
                </w:p>
              </w:tc>
              <w:tc>
                <w:tcPr>
                  <w:tcW w:w="956" w:type="dxa"/>
                  <w:vAlign w:val="center"/>
                </w:tcPr>
                <w:p w14:paraId="6414B950">
                  <w:pPr>
                    <w:jc w:val="center"/>
                    <w:rPr>
                      <w:szCs w:val="21"/>
                    </w:rPr>
                  </w:pPr>
                  <w:r>
                    <w:rPr>
                      <w:rFonts w:hint="eastAsia"/>
                      <w:szCs w:val="21"/>
                    </w:rPr>
                    <w:t>煤仓无组织粉尘G2</w:t>
                  </w:r>
                </w:p>
              </w:tc>
              <w:tc>
                <w:tcPr>
                  <w:tcW w:w="1029" w:type="dxa"/>
                  <w:vAlign w:val="center"/>
                </w:tcPr>
                <w:p w14:paraId="0A16277B">
                  <w:pPr>
                    <w:jc w:val="center"/>
                    <w:rPr>
                      <w:szCs w:val="21"/>
                    </w:rPr>
                  </w:pPr>
                  <w:r>
                    <w:rPr>
                      <w:rFonts w:hint="eastAsia"/>
                      <w:szCs w:val="21"/>
                    </w:rPr>
                    <w:t>煤仓</w:t>
                  </w:r>
                </w:p>
              </w:tc>
              <w:tc>
                <w:tcPr>
                  <w:tcW w:w="1924" w:type="dxa"/>
                  <w:vAlign w:val="center"/>
                </w:tcPr>
                <w:p w14:paraId="0EF53F00">
                  <w:pPr>
                    <w:jc w:val="center"/>
                    <w:rPr>
                      <w:szCs w:val="21"/>
                    </w:rPr>
                  </w:pPr>
                  <w:r>
                    <w:rPr>
                      <w:rFonts w:hint="eastAsia"/>
                      <w:szCs w:val="21"/>
                    </w:rPr>
                    <w:t>颗粒物</w:t>
                  </w:r>
                </w:p>
              </w:tc>
              <w:tc>
                <w:tcPr>
                  <w:tcW w:w="3537" w:type="dxa"/>
                  <w:vAlign w:val="center"/>
                </w:tcPr>
                <w:p w14:paraId="717EA802">
                  <w:pPr>
                    <w:jc w:val="center"/>
                    <w:rPr>
                      <w:szCs w:val="21"/>
                    </w:rPr>
                  </w:pPr>
                  <w:r>
                    <w:rPr>
                      <w:rFonts w:hint="eastAsia"/>
                      <w:bCs/>
                      <w:szCs w:val="21"/>
                    </w:rPr>
                    <w:t>全封闭煤仓，无组织排放</w:t>
                  </w:r>
                </w:p>
              </w:tc>
            </w:tr>
            <w:tr w14:paraId="3BB0C0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6" w:type="dxa"/>
                  <w:vMerge w:val="continue"/>
                  <w:vAlign w:val="center"/>
                </w:tcPr>
                <w:p w14:paraId="70EA495A">
                  <w:pPr>
                    <w:jc w:val="center"/>
                    <w:rPr>
                      <w:szCs w:val="21"/>
                    </w:rPr>
                  </w:pPr>
                </w:p>
              </w:tc>
              <w:tc>
                <w:tcPr>
                  <w:tcW w:w="956" w:type="dxa"/>
                  <w:vAlign w:val="center"/>
                </w:tcPr>
                <w:p w14:paraId="670CF070">
                  <w:pPr>
                    <w:jc w:val="center"/>
                    <w:rPr>
                      <w:szCs w:val="21"/>
                    </w:rPr>
                  </w:pPr>
                  <w:r>
                    <w:rPr>
                      <w:rFonts w:hint="eastAsia"/>
                      <w:szCs w:val="21"/>
                    </w:rPr>
                    <w:t>渣仓无组织粉尘G3</w:t>
                  </w:r>
                </w:p>
              </w:tc>
              <w:tc>
                <w:tcPr>
                  <w:tcW w:w="1029" w:type="dxa"/>
                  <w:vAlign w:val="center"/>
                </w:tcPr>
                <w:p w14:paraId="7670E482">
                  <w:pPr>
                    <w:jc w:val="center"/>
                    <w:rPr>
                      <w:szCs w:val="21"/>
                    </w:rPr>
                  </w:pPr>
                  <w:r>
                    <w:rPr>
                      <w:rFonts w:hint="eastAsia"/>
                      <w:szCs w:val="21"/>
                    </w:rPr>
                    <w:t>渣仓</w:t>
                  </w:r>
                </w:p>
              </w:tc>
              <w:tc>
                <w:tcPr>
                  <w:tcW w:w="1924" w:type="dxa"/>
                  <w:vAlign w:val="center"/>
                </w:tcPr>
                <w:p w14:paraId="63FB37AD">
                  <w:pPr>
                    <w:jc w:val="center"/>
                    <w:rPr>
                      <w:szCs w:val="21"/>
                    </w:rPr>
                  </w:pPr>
                  <w:r>
                    <w:rPr>
                      <w:rFonts w:hint="eastAsia"/>
                      <w:szCs w:val="21"/>
                    </w:rPr>
                    <w:t>颗粒物</w:t>
                  </w:r>
                </w:p>
              </w:tc>
              <w:tc>
                <w:tcPr>
                  <w:tcW w:w="3537" w:type="dxa"/>
                  <w:vAlign w:val="center"/>
                </w:tcPr>
                <w:p w14:paraId="3793C9C8">
                  <w:pPr>
                    <w:jc w:val="center"/>
                    <w:rPr>
                      <w:bCs/>
                      <w:szCs w:val="21"/>
                    </w:rPr>
                  </w:pPr>
                  <w:r>
                    <w:rPr>
                      <w:rFonts w:hint="eastAsia"/>
                      <w:bCs/>
                      <w:szCs w:val="21"/>
                    </w:rPr>
                    <w:t>全封闭渣仓，无组织排放</w:t>
                  </w:r>
                </w:p>
              </w:tc>
            </w:tr>
            <w:tr w14:paraId="3E34F9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6" w:type="dxa"/>
                  <w:vMerge w:val="continue"/>
                  <w:vAlign w:val="center"/>
                </w:tcPr>
                <w:p w14:paraId="18DDC621">
                  <w:pPr>
                    <w:jc w:val="center"/>
                    <w:rPr>
                      <w:szCs w:val="21"/>
                    </w:rPr>
                  </w:pPr>
                </w:p>
              </w:tc>
              <w:tc>
                <w:tcPr>
                  <w:tcW w:w="956" w:type="dxa"/>
                  <w:vAlign w:val="center"/>
                </w:tcPr>
                <w:p w14:paraId="0F069A5C">
                  <w:pPr>
                    <w:jc w:val="center"/>
                    <w:rPr>
                      <w:szCs w:val="21"/>
                    </w:rPr>
                  </w:pPr>
                  <w:r>
                    <w:rPr>
                      <w:rFonts w:hint="eastAsia"/>
                      <w:szCs w:val="21"/>
                    </w:rPr>
                    <w:t>氨逃逸G4</w:t>
                  </w:r>
                </w:p>
              </w:tc>
              <w:tc>
                <w:tcPr>
                  <w:tcW w:w="1029" w:type="dxa"/>
                  <w:vAlign w:val="center"/>
                </w:tcPr>
                <w:p w14:paraId="0B5C8202">
                  <w:pPr>
                    <w:jc w:val="center"/>
                    <w:rPr>
                      <w:szCs w:val="21"/>
                    </w:rPr>
                  </w:pPr>
                  <w:r>
                    <w:rPr>
                      <w:rFonts w:hint="eastAsia"/>
                      <w:szCs w:val="21"/>
                    </w:rPr>
                    <w:t>SNCR+SCR脱硝</w:t>
                  </w:r>
                </w:p>
              </w:tc>
              <w:tc>
                <w:tcPr>
                  <w:tcW w:w="1924" w:type="dxa"/>
                  <w:vAlign w:val="center"/>
                </w:tcPr>
                <w:p w14:paraId="76F43E3F">
                  <w:pPr>
                    <w:jc w:val="center"/>
                    <w:rPr>
                      <w:szCs w:val="21"/>
                    </w:rPr>
                  </w:pPr>
                  <w:r>
                    <w:rPr>
                      <w:rFonts w:hint="eastAsia"/>
                      <w:szCs w:val="21"/>
                    </w:rPr>
                    <w:t>氨</w:t>
                  </w:r>
                </w:p>
              </w:tc>
              <w:tc>
                <w:tcPr>
                  <w:tcW w:w="3537" w:type="dxa"/>
                  <w:vAlign w:val="center"/>
                </w:tcPr>
                <w:p w14:paraId="1304E795">
                  <w:pPr>
                    <w:jc w:val="center"/>
                    <w:rPr>
                      <w:bCs/>
                      <w:szCs w:val="21"/>
                    </w:rPr>
                  </w:pPr>
                  <w:r>
                    <w:rPr>
                      <w:rFonts w:hint="eastAsia"/>
                      <w:bCs/>
                      <w:szCs w:val="21"/>
                    </w:rPr>
                    <w:t>1根45m高排气筒（DA001）排放</w:t>
                  </w:r>
                </w:p>
              </w:tc>
            </w:tr>
            <w:tr w14:paraId="1D163B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6" w:type="dxa"/>
                  <w:vMerge w:val="restart"/>
                  <w:vAlign w:val="center"/>
                </w:tcPr>
                <w:p w14:paraId="5AB38F14">
                  <w:pPr>
                    <w:jc w:val="center"/>
                    <w:rPr>
                      <w:szCs w:val="21"/>
                    </w:rPr>
                  </w:pPr>
                  <w:r>
                    <w:rPr>
                      <w:rFonts w:hint="eastAsia"/>
                      <w:szCs w:val="21"/>
                    </w:rPr>
                    <w:t>废水</w:t>
                  </w:r>
                </w:p>
              </w:tc>
              <w:tc>
                <w:tcPr>
                  <w:tcW w:w="956" w:type="dxa"/>
                  <w:vAlign w:val="center"/>
                </w:tcPr>
                <w:p w14:paraId="3584CB6E">
                  <w:pPr>
                    <w:jc w:val="center"/>
                    <w:rPr>
                      <w:szCs w:val="21"/>
                    </w:rPr>
                  </w:pPr>
                  <w:r>
                    <w:rPr>
                      <w:rFonts w:hint="eastAsia"/>
                      <w:szCs w:val="21"/>
                    </w:rPr>
                    <w:t>软水制备排污水W1</w:t>
                  </w:r>
                </w:p>
              </w:tc>
              <w:tc>
                <w:tcPr>
                  <w:tcW w:w="1029" w:type="dxa"/>
                  <w:vAlign w:val="center"/>
                </w:tcPr>
                <w:p w14:paraId="427D1AA5">
                  <w:pPr>
                    <w:jc w:val="center"/>
                    <w:rPr>
                      <w:szCs w:val="21"/>
                    </w:rPr>
                  </w:pPr>
                  <w:r>
                    <w:rPr>
                      <w:rFonts w:hint="eastAsia"/>
                      <w:szCs w:val="21"/>
                    </w:rPr>
                    <w:t>软水制备</w:t>
                  </w:r>
                </w:p>
              </w:tc>
              <w:tc>
                <w:tcPr>
                  <w:tcW w:w="1924" w:type="dxa"/>
                  <w:vAlign w:val="center"/>
                </w:tcPr>
                <w:p w14:paraId="5474040E">
                  <w:pPr>
                    <w:pStyle w:val="15"/>
                    <w:widowControl w:val="0"/>
                    <w:spacing w:before="0" w:after="0" w:line="240" w:lineRule="auto"/>
                    <w:ind w:right="0"/>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TDS</w:t>
                  </w:r>
                </w:p>
              </w:tc>
              <w:tc>
                <w:tcPr>
                  <w:tcW w:w="3537" w:type="dxa"/>
                  <w:vMerge w:val="restart"/>
                  <w:vAlign w:val="center"/>
                </w:tcPr>
                <w:p w14:paraId="01CC7E4F">
                  <w:pPr>
                    <w:jc w:val="center"/>
                    <w:rPr>
                      <w:szCs w:val="21"/>
                    </w:rPr>
                  </w:pPr>
                  <w:r>
                    <w:rPr>
                      <w:rFonts w:hint="eastAsia"/>
                      <w:szCs w:val="21"/>
                    </w:rPr>
                    <w:t>用于脱硫系统补充水，不外排</w:t>
                  </w:r>
                </w:p>
              </w:tc>
            </w:tr>
            <w:tr w14:paraId="7046D8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6" w:type="dxa"/>
                  <w:vMerge w:val="continue"/>
                  <w:vAlign w:val="center"/>
                </w:tcPr>
                <w:p w14:paraId="78F263D8">
                  <w:pPr>
                    <w:jc w:val="center"/>
                    <w:rPr>
                      <w:szCs w:val="21"/>
                    </w:rPr>
                  </w:pPr>
                </w:p>
              </w:tc>
              <w:tc>
                <w:tcPr>
                  <w:tcW w:w="956" w:type="dxa"/>
                  <w:vAlign w:val="center"/>
                </w:tcPr>
                <w:p w14:paraId="05ED3C80">
                  <w:pPr>
                    <w:jc w:val="center"/>
                    <w:rPr>
                      <w:szCs w:val="21"/>
                    </w:rPr>
                  </w:pPr>
                  <w:r>
                    <w:rPr>
                      <w:rFonts w:hint="eastAsia"/>
                      <w:szCs w:val="21"/>
                    </w:rPr>
                    <w:t>锅炉排污水W2</w:t>
                  </w:r>
                </w:p>
              </w:tc>
              <w:tc>
                <w:tcPr>
                  <w:tcW w:w="1029" w:type="dxa"/>
                  <w:vAlign w:val="center"/>
                </w:tcPr>
                <w:p w14:paraId="7936A4AE">
                  <w:pPr>
                    <w:jc w:val="center"/>
                    <w:rPr>
                      <w:szCs w:val="21"/>
                    </w:rPr>
                  </w:pPr>
                  <w:r>
                    <w:rPr>
                      <w:rFonts w:hint="eastAsia"/>
                      <w:szCs w:val="21"/>
                    </w:rPr>
                    <w:t>燃煤蒸汽锅炉</w:t>
                  </w:r>
                </w:p>
              </w:tc>
              <w:tc>
                <w:tcPr>
                  <w:tcW w:w="1924" w:type="dxa"/>
                  <w:vAlign w:val="center"/>
                </w:tcPr>
                <w:p w14:paraId="4058B187">
                  <w:pPr>
                    <w:pStyle w:val="15"/>
                    <w:widowControl w:val="0"/>
                    <w:spacing w:before="0" w:after="0" w:line="240" w:lineRule="auto"/>
                    <w:ind w:right="0"/>
                    <w:jc w:val="center"/>
                    <w:rPr>
                      <w:rFonts w:ascii="Times New Roman" w:hAnsi="Times New Roman" w:eastAsia="宋体" w:cs="Times New Roman"/>
                      <w:sz w:val="21"/>
                      <w:szCs w:val="21"/>
                    </w:rPr>
                  </w:pPr>
                  <w:r>
                    <w:rPr>
                      <w:rFonts w:hint="eastAsia" w:ascii="Times New Roman" w:hAnsi="Times New Roman" w:eastAsia="宋体" w:cs="Times New Roman"/>
                      <w:sz w:val="21"/>
                      <w:szCs w:val="21"/>
                    </w:rPr>
                    <w:t>TDS</w:t>
                  </w:r>
                </w:p>
              </w:tc>
              <w:tc>
                <w:tcPr>
                  <w:tcW w:w="3537" w:type="dxa"/>
                  <w:vMerge w:val="continue"/>
                  <w:vAlign w:val="center"/>
                </w:tcPr>
                <w:p w14:paraId="259F6DDF">
                  <w:pPr>
                    <w:jc w:val="center"/>
                    <w:rPr>
                      <w:szCs w:val="21"/>
                    </w:rPr>
                  </w:pPr>
                </w:p>
              </w:tc>
            </w:tr>
            <w:tr w14:paraId="5C3249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6" w:type="dxa"/>
                  <w:vAlign w:val="center"/>
                </w:tcPr>
                <w:p w14:paraId="682C5001">
                  <w:pPr>
                    <w:jc w:val="center"/>
                    <w:rPr>
                      <w:szCs w:val="21"/>
                    </w:rPr>
                  </w:pPr>
                  <w:r>
                    <w:rPr>
                      <w:szCs w:val="21"/>
                    </w:rPr>
                    <w:t>噪声</w:t>
                  </w:r>
                </w:p>
              </w:tc>
              <w:tc>
                <w:tcPr>
                  <w:tcW w:w="1985" w:type="dxa"/>
                  <w:gridSpan w:val="2"/>
                  <w:vAlign w:val="center"/>
                </w:tcPr>
                <w:p w14:paraId="07062C74">
                  <w:pPr>
                    <w:jc w:val="center"/>
                    <w:rPr>
                      <w:szCs w:val="21"/>
                    </w:rPr>
                  </w:pPr>
                  <w:r>
                    <w:rPr>
                      <w:szCs w:val="21"/>
                    </w:rPr>
                    <w:t>设备噪声</w:t>
                  </w:r>
                </w:p>
              </w:tc>
              <w:tc>
                <w:tcPr>
                  <w:tcW w:w="1924" w:type="dxa"/>
                  <w:vAlign w:val="center"/>
                </w:tcPr>
                <w:p w14:paraId="12E41BCF">
                  <w:pPr>
                    <w:jc w:val="center"/>
                    <w:rPr>
                      <w:szCs w:val="21"/>
                    </w:rPr>
                  </w:pPr>
                  <w:r>
                    <w:rPr>
                      <w:szCs w:val="21"/>
                    </w:rPr>
                    <w:t>噪音</w:t>
                  </w:r>
                </w:p>
              </w:tc>
              <w:tc>
                <w:tcPr>
                  <w:tcW w:w="3537" w:type="dxa"/>
                  <w:vAlign w:val="center"/>
                </w:tcPr>
                <w:p w14:paraId="540B9A7B">
                  <w:pPr>
                    <w:jc w:val="center"/>
                    <w:rPr>
                      <w:szCs w:val="21"/>
                    </w:rPr>
                  </w:pPr>
                  <w:r>
                    <w:rPr>
                      <w:szCs w:val="21"/>
                    </w:rPr>
                    <w:t>高噪声设备采取</w:t>
                  </w:r>
                  <w:r>
                    <w:rPr>
                      <w:rFonts w:hint="eastAsia"/>
                      <w:szCs w:val="21"/>
                    </w:rPr>
                    <w:t>厂房隔声、设备减振</w:t>
                  </w:r>
                  <w:r>
                    <w:rPr>
                      <w:szCs w:val="21"/>
                    </w:rPr>
                    <w:t>等措施</w:t>
                  </w:r>
                </w:p>
              </w:tc>
            </w:tr>
            <w:tr w14:paraId="45693E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6" w:type="dxa"/>
                  <w:vMerge w:val="restart"/>
                  <w:vAlign w:val="center"/>
                </w:tcPr>
                <w:p w14:paraId="10299F44">
                  <w:pPr>
                    <w:jc w:val="center"/>
                    <w:rPr>
                      <w:szCs w:val="21"/>
                    </w:rPr>
                  </w:pPr>
                  <w:r>
                    <w:rPr>
                      <w:rFonts w:hint="eastAsia"/>
                      <w:szCs w:val="21"/>
                    </w:rPr>
                    <w:t>固废</w:t>
                  </w:r>
                </w:p>
              </w:tc>
              <w:tc>
                <w:tcPr>
                  <w:tcW w:w="1985" w:type="dxa"/>
                  <w:gridSpan w:val="2"/>
                  <w:vAlign w:val="center"/>
                </w:tcPr>
                <w:p w14:paraId="27CFACE0">
                  <w:pPr>
                    <w:jc w:val="center"/>
                    <w:rPr>
                      <w:szCs w:val="21"/>
                    </w:rPr>
                  </w:pPr>
                  <w:r>
                    <w:rPr>
                      <w:rFonts w:hint="eastAsia"/>
                      <w:szCs w:val="21"/>
                    </w:rPr>
                    <w:t>废离子交换树脂S1</w:t>
                  </w:r>
                </w:p>
              </w:tc>
              <w:tc>
                <w:tcPr>
                  <w:tcW w:w="1924" w:type="dxa"/>
                  <w:vAlign w:val="center"/>
                </w:tcPr>
                <w:p w14:paraId="6527D78D">
                  <w:pPr>
                    <w:jc w:val="center"/>
                    <w:rPr>
                      <w:szCs w:val="21"/>
                    </w:rPr>
                  </w:pPr>
                  <w:r>
                    <w:rPr>
                      <w:rFonts w:hint="eastAsia"/>
                      <w:szCs w:val="21"/>
                    </w:rPr>
                    <w:t>树脂</w:t>
                  </w:r>
                </w:p>
              </w:tc>
              <w:tc>
                <w:tcPr>
                  <w:tcW w:w="3537" w:type="dxa"/>
                  <w:vAlign w:val="center"/>
                </w:tcPr>
                <w:p w14:paraId="448535AE">
                  <w:pPr>
                    <w:jc w:val="center"/>
                    <w:rPr>
                      <w:szCs w:val="21"/>
                    </w:rPr>
                  </w:pPr>
                  <w:r>
                    <w:rPr>
                      <w:rFonts w:hint="eastAsia"/>
                      <w:szCs w:val="21"/>
                    </w:rPr>
                    <w:t>定期更换时由厂家回收处理</w:t>
                  </w:r>
                </w:p>
              </w:tc>
            </w:tr>
            <w:tr w14:paraId="3708D8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6" w:type="dxa"/>
                  <w:vMerge w:val="continue"/>
                  <w:vAlign w:val="center"/>
                </w:tcPr>
                <w:p w14:paraId="4222226C">
                  <w:pPr>
                    <w:jc w:val="center"/>
                    <w:rPr>
                      <w:szCs w:val="21"/>
                    </w:rPr>
                  </w:pPr>
                </w:p>
              </w:tc>
              <w:tc>
                <w:tcPr>
                  <w:tcW w:w="1985" w:type="dxa"/>
                  <w:gridSpan w:val="2"/>
                  <w:vAlign w:val="center"/>
                </w:tcPr>
                <w:p w14:paraId="328F537D">
                  <w:pPr>
                    <w:jc w:val="center"/>
                    <w:rPr>
                      <w:szCs w:val="21"/>
                    </w:rPr>
                  </w:pPr>
                  <w:r>
                    <w:rPr>
                      <w:rFonts w:hint="eastAsia"/>
                      <w:szCs w:val="21"/>
                    </w:rPr>
                    <w:t>锅炉灰渣S2</w:t>
                  </w:r>
                </w:p>
              </w:tc>
              <w:tc>
                <w:tcPr>
                  <w:tcW w:w="1924" w:type="dxa"/>
                  <w:vAlign w:val="center"/>
                </w:tcPr>
                <w:p w14:paraId="3F82BC79">
                  <w:pPr>
                    <w:jc w:val="center"/>
                    <w:rPr>
                      <w:szCs w:val="21"/>
                    </w:rPr>
                  </w:pPr>
                  <w:r>
                    <w:rPr>
                      <w:rFonts w:hint="eastAsia"/>
                      <w:szCs w:val="21"/>
                    </w:rPr>
                    <w:t>灰渣</w:t>
                  </w:r>
                </w:p>
              </w:tc>
              <w:tc>
                <w:tcPr>
                  <w:tcW w:w="3537" w:type="dxa"/>
                  <w:vAlign w:val="center"/>
                </w:tcPr>
                <w:p w14:paraId="15855489">
                  <w:pPr>
                    <w:jc w:val="center"/>
                    <w:rPr>
                      <w:szCs w:val="21"/>
                    </w:rPr>
                  </w:pPr>
                  <w:r>
                    <w:rPr>
                      <w:rFonts w:hint="eastAsia"/>
                      <w:szCs w:val="21"/>
                    </w:rPr>
                    <w:t>当地铺路或建材厂综合利用，不外排</w:t>
                  </w:r>
                </w:p>
              </w:tc>
            </w:tr>
            <w:tr w14:paraId="4AE50D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6" w:type="dxa"/>
                  <w:vMerge w:val="continue"/>
                  <w:vAlign w:val="center"/>
                </w:tcPr>
                <w:p w14:paraId="17401DC5">
                  <w:pPr>
                    <w:jc w:val="center"/>
                    <w:rPr>
                      <w:szCs w:val="21"/>
                    </w:rPr>
                  </w:pPr>
                </w:p>
              </w:tc>
              <w:tc>
                <w:tcPr>
                  <w:tcW w:w="1985" w:type="dxa"/>
                  <w:gridSpan w:val="2"/>
                  <w:vAlign w:val="center"/>
                </w:tcPr>
                <w:p w14:paraId="11C2C7E4">
                  <w:pPr>
                    <w:jc w:val="center"/>
                    <w:rPr>
                      <w:szCs w:val="21"/>
                    </w:rPr>
                  </w:pPr>
                  <w:r>
                    <w:rPr>
                      <w:rFonts w:hint="eastAsia"/>
                      <w:szCs w:val="21"/>
                    </w:rPr>
                    <w:t>脱硫副产物S3</w:t>
                  </w:r>
                </w:p>
              </w:tc>
              <w:tc>
                <w:tcPr>
                  <w:tcW w:w="1924" w:type="dxa"/>
                  <w:vAlign w:val="center"/>
                </w:tcPr>
                <w:p w14:paraId="787B2794">
                  <w:pPr>
                    <w:jc w:val="center"/>
                    <w:rPr>
                      <w:szCs w:val="21"/>
                    </w:rPr>
                  </w:pPr>
                  <w:r>
                    <w:rPr>
                      <w:rFonts w:hint="eastAsia"/>
                      <w:szCs w:val="21"/>
                    </w:rPr>
                    <w:t>硫酸镁</w:t>
                  </w:r>
                </w:p>
              </w:tc>
              <w:tc>
                <w:tcPr>
                  <w:tcW w:w="3537" w:type="dxa"/>
                  <w:vAlign w:val="center"/>
                </w:tcPr>
                <w:p w14:paraId="27AA49FC">
                  <w:pPr>
                    <w:jc w:val="center"/>
                    <w:rPr>
                      <w:szCs w:val="21"/>
                    </w:rPr>
                  </w:pPr>
                  <w:r>
                    <w:rPr>
                      <w:rFonts w:hint="eastAsia"/>
                      <w:szCs w:val="21"/>
                    </w:rPr>
                    <w:t>建材厂综合利用，不外排</w:t>
                  </w:r>
                </w:p>
              </w:tc>
            </w:tr>
            <w:tr w14:paraId="45A0FF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0" w:hRule="atLeast"/>
                <w:jc w:val="center"/>
              </w:trPr>
              <w:tc>
                <w:tcPr>
                  <w:tcW w:w="496" w:type="dxa"/>
                  <w:vMerge w:val="continue"/>
                  <w:vAlign w:val="center"/>
                </w:tcPr>
                <w:p w14:paraId="6CC767F1">
                  <w:pPr>
                    <w:jc w:val="center"/>
                    <w:rPr>
                      <w:szCs w:val="21"/>
                    </w:rPr>
                  </w:pPr>
                </w:p>
              </w:tc>
              <w:tc>
                <w:tcPr>
                  <w:tcW w:w="1985" w:type="dxa"/>
                  <w:gridSpan w:val="2"/>
                  <w:vAlign w:val="center"/>
                </w:tcPr>
                <w:p w14:paraId="38EB757F">
                  <w:pPr>
                    <w:jc w:val="center"/>
                    <w:rPr>
                      <w:szCs w:val="21"/>
                    </w:rPr>
                  </w:pPr>
                  <w:r>
                    <w:rPr>
                      <w:rFonts w:hint="eastAsia"/>
                      <w:szCs w:val="21"/>
                    </w:rPr>
                    <w:t>废催化剂S4</w:t>
                  </w:r>
                </w:p>
              </w:tc>
              <w:tc>
                <w:tcPr>
                  <w:tcW w:w="1924" w:type="dxa"/>
                  <w:vAlign w:val="center"/>
                </w:tcPr>
                <w:p w14:paraId="3C07672C">
                  <w:pPr>
                    <w:jc w:val="center"/>
                    <w:rPr>
                      <w:szCs w:val="21"/>
                    </w:rPr>
                  </w:pPr>
                  <w:r>
                    <w:rPr>
                      <w:rFonts w:hint="eastAsia"/>
                      <w:szCs w:val="21"/>
                    </w:rPr>
                    <w:t>废催化剂</w:t>
                  </w:r>
                </w:p>
              </w:tc>
              <w:tc>
                <w:tcPr>
                  <w:tcW w:w="3537" w:type="dxa"/>
                  <w:vAlign w:val="center"/>
                </w:tcPr>
                <w:p w14:paraId="030DDB41">
                  <w:pPr>
                    <w:jc w:val="center"/>
                    <w:rPr>
                      <w:szCs w:val="21"/>
                    </w:rPr>
                  </w:pPr>
                  <w:r>
                    <w:rPr>
                      <w:rFonts w:hint="eastAsia"/>
                      <w:bCs/>
                      <w:szCs w:val="21"/>
                    </w:rPr>
                    <w:t>本次于工业场地内新建1座30</w:t>
                  </w:r>
                  <w:r>
                    <w:rPr>
                      <w:bCs/>
                      <w:szCs w:val="21"/>
                    </w:rPr>
                    <w:t>m</w:t>
                  </w:r>
                  <w:r>
                    <w:rPr>
                      <w:rFonts w:hint="eastAsia"/>
                      <w:bCs/>
                      <w:szCs w:val="21"/>
                      <w:vertAlign w:val="superscript"/>
                    </w:rPr>
                    <w:t>2</w:t>
                  </w:r>
                  <w:r>
                    <w:rPr>
                      <w:rFonts w:hint="eastAsia"/>
                      <w:bCs/>
                      <w:szCs w:val="21"/>
                    </w:rPr>
                    <w:t>危废贮存库，废催化剂暂存于危废贮存库，委托有资质单位处理</w:t>
                  </w:r>
                </w:p>
              </w:tc>
            </w:tr>
          </w:tbl>
          <w:p w14:paraId="65199ABF">
            <w:pPr>
              <w:pStyle w:val="27"/>
              <w:jc w:val="center"/>
              <w:rPr>
                <w:rFonts w:hint="eastAsia" w:ascii="黑体" w:hAnsi="黑体" w:eastAsia="黑体"/>
                <w:snapToGrid w:val="0"/>
                <w:szCs w:val="24"/>
              </w:rPr>
            </w:pPr>
          </w:p>
        </w:tc>
      </w:tr>
      <w:tr w14:paraId="3F71A33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372" w:type="pct"/>
            <w:vAlign w:val="center"/>
          </w:tcPr>
          <w:p w14:paraId="524C7AAF">
            <w:pPr>
              <w:pStyle w:val="27"/>
              <w:jc w:val="center"/>
              <w:rPr>
                <w:rFonts w:hint="eastAsia" w:ascii="黑体" w:hAnsi="黑体" w:eastAsia="黑体"/>
                <w:snapToGrid w:val="0"/>
                <w:szCs w:val="24"/>
              </w:rPr>
            </w:pPr>
            <w:r>
              <w:rPr>
                <w:rFonts w:ascii="Times New Roman" w:hAnsi="Times New Roman" w:cs="Times New Roman"/>
                <w:bCs/>
                <w:szCs w:val="24"/>
              </w:rPr>
              <w:t>与项目有关的原有环境污染问题</w:t>
            </w:r>
          </w:p>
        </w:tc>
        <w:tc>
          <w:tcPr>
            <w:tcW w:w="4628" w:type="pct"/>
            <w:vAlign w:val="center"/>
          </w:tcPr>
          <w:p w14:paraId="5B0B7A64">
            <w:pPr>
              <w:pStyle w:val="49"/>
              <w:spacing w:line="360" w:lineRule="auto"/>
              <w:ind w:firstLine="480" w:firstLineChars="200"/>
              <w:rPr>
                <w:rFonts w:ascii="Times New Roman" w:hAnsi="Times New Roman" w:cs="Times New Roman"/>
                <w:bCs/>
                <w:sz w:val="24"/>
                <w:szCs w:val="24"/>
              </w:rPr>
            </w:pPr>
            <w:r>
              <w:rPr>
                <w:rFonts w:hint="eastAsia" w:ascii="Times New Roman" w:hAnsi="Times New Roman" w:cs="Times New Roman"/>
                <w:bCs/>
                <w:sz w:val="24"/>
                <w:szCs w:val="24"/>
              </w:rPr>
              <w:t>1、现有项目环保手续履行情况</w:t>
            </w:r>
          </w:p>
          <w:p w14:paraId="626340F7">
            <w:pPr>
              <w:pStyle w:val="49"/>
              <w:spacing w:line="360" w:lineRule="auto"/>
              <w:ind w:firstLine="480" w:firstLineChars="200"/>
              <w:rPr>
                <w:rFonts w:ascii="Times New Roman" w:hAnsi="Times New Roman" w:cs="Times New Roman"/>
                <w:bCs/>
                <w:sz w:val="24"/>
                <w:szCs w:val="24"/>
              </w:rPr>
            </w:pPr>
            <w:r>
              <w:rPr>
                <w:rFonts w:hint="eastAsia" w:ascii="Times New Roman" w:hAnsi="Times New Roman" w:cs="Times New Roman"/>
                <w:bCs/>
                <w:sz w:val="24"/>
                <w:szCs w:val="24"/>
              </w:rPr>
              <w:t>杭锦旗聚能能源有限公司于2014年12月3日取得原内蒙古自治区环境保护厅《关于杭锦旗聚能能源有限公司油房壕矿井及选煤厂环境影响报告书的批复》（内环审〔2014〕190号），批复生产能力为500万t/a，井工开采，并配套建设同等规模的选煤厂。煤矿目前正处于建设阶段，燃煤蒸汽锅炉目前未建设，整体项目目前尚未完成竣工环境保护验收。</w:t>
            </w:r>
          </w:p>
          <w:p w14:paraId="0D47DDF2">
            <w:pPr>
              <w:pStyle w:val="49"/>
              <w:spacing w:line="360" w:lineRule="auto"/>
              <w:ind w:firstLine="480" w:firstLineChars="200"/>
              <w:rPr>
                <w:rFonts w:ascii="Times New Roman" w:hAnsi="Times New Roman" w:cs="Times New Roman"/>
                <w:bCs/>
                <w:sz w:val="24"/>
                <w:szCs w:val="24"/>
              </w:rPr>
            </w:pPr>
            <w:r>
              <w:rPr>
                <w:rFonts w:hint="eastAsia" w:ascii="Times New Roman" w:hAnsi="Times New Roman" w:cs="Times New Roman"/>
                <w:bCs/>
                <w:sz w:val="24"/>
                <w:szCs w:val="24"/>
              </w:rPr>
              <w:t>2、现有项目污染物排放情况</w:t>
            </w:r>
          </w:p>
          <w:p w14:paraId="191A3AD9">
            <w:pPr>
              <w:pStyle w:val="49"/>
              <w:spacing w:line="360" w:lineRule="auto"/>
              <w:ind w:firstLine="480" w:firstLineChars="200"/>
              <w:rPr>
                <w:rFonts w:ascii="Times New Roman" w:hAnsi="Times New Roman" w:cs="Times New Roman"/>
                <w:bCs/>
                <w:sz w:val="24"/>
                <w:szCs w:val="24"/>
              </w:rPr>
            </w:pPr>
            <w:r>
              <w:rPr>
                <w:rFonts w:hint="eastAsia" w:ascii="Times New Roman" w:hAnsi="Times New Roman" w:cs="Times New Roman"/>
                <w:bCs/>
                <w:sz w:val="24"/>
                <w:szCs w:val="24"/>
              </w:rPr>
              <w:t>煤矿目前正处于建设阶段，燃煤蒸汽锅炉目前未建设，整体项目目前尚未完成竣工环境保护验收。本次主要根据现有项目环境影响报告以及批复内容对厂区进行污染物排放量核算。</w:t>
            </w:r>
          </w:p>
          <w:p w14:paraId="1E505793">
            <w:pPr>
              <w:pStyle w:val="49"/>
              <w:jc w:val="center"/>
              <w:rPr>
                <w:rFonts w:ascii="Times New Roman" w:hAnsi="Times New Roman" w:cs="Times New Roman"/>
                <w:b/>
              </w:rPr>
            </w:pPr>
            <w:r>
              <w:rPr>
                <w:rFonts w:hint="eastAsia" w:ascii="Times New Roman" w:hAnsi="Times New Roman" w:cs="Times New Roman"/>
                <w:b/>
              </w:rPr>
              <w:t>表2-9 企业环评阶段污染防治情况一览表</w:t>
            </w:r>
          </w:p>
          <w:tbl>
            <w:tblPr>
              <w:tblStyle w:val="32"/>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16"/>
              <w:gridCol w:w="1993"/>
              <w:gridCol w:w="853"/>
              <w:gridCol w:w="924"/>
              <w:gridCol w:w="794"/>
              <w:gridCol w:w="1943"/>
              <w:gridCol w:w="1042"/>
            </w:tblGrid>
            <w:tr w14:paraId="38C877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restart"/>
                  <w:vAlign w:val="center"/>
                </w:tcPr>
                <w:p w14:paraId="6ABCF3D7">
                  <w:pPr>
                    <w:pStyle w:val="49"/>
                    <w:jc w:val="center"/>
                    <w:rPr>
                      <w:rFonts w:ascii="Times New Roman" w:hAnsi="Times New Roman" w:cs="Times New Roman"/>
                      <w:bCs/>
                    </w:rPr>
                  </w:pPr>
                  <w:r>
                    <w:rPr>
                      <w:rFonts w:hint="eastAsia" w:ascii="Times New Roman" w:hAnsi="Times New Roman" w:cs="Times New Roman"/>
                      <w:bCs/>
                    </w:rPr>
                    <w:t>项目</w:t>
                  </w:r>
                </w:p>
              </w:tc>
              <w:tc>
                <w:tcPr>
                  <w:tcW w:w="2134" w:type="dxa"/>
                  <w:vMerge w:val="restart"/>
                  <w:vAlign w:val="center"/>
                </w:tcPr>
                <w:p w14:paraId="6DE35CC3">
                  <w:pPr>
                    <w:pStyle w:val="49"/>
                    <w:jc w:val="center"/>
                    <w:rPr>
                      <w:rFonts w:ascii="Times New Roman" w:hAnsi="Times New Roman" w:cs="Times New Roman"/>
                      <w:bCs/>
                    </w:rPr>
                  </w:pPr>
                  <w:r>
                    <w:rPr>
                      <w:rFonts w:hint="eastAsia" w:ascii="Times New Roman" w:hAnsi="Times New Roman" w:cs="Times New Roman"/>
                      <w:bCs/>
                    </w:rPr>
                    <w:t>治理措施</w:t>
                  </w:r>
                </w:p>
              </w:tc>
              <w:tc>
                <w:tcPr>
                  <w:tcW w:w="2416" w:type="dxa"/>
                  <w:gridSpan w:val="3"/>
                  <w:vAlign w:val="center"/>
                </w:tcPr>
                <w:p w14:paraId="574A9BFA">
                  <w:pPr>
                    <w:pStyle w:val="49"/>
                    <w:jc w:val="center"/>
                    <w:rPr>
                      <w:rFonts w:ascii="Times New Roman" w:hAnsi="Times New Roman" w:cs="Times New Roman"/>
                      <w:bCs/>
                    </w:rPr>
                  </w:pPr>
                  <w:r>
                    <w:rPr>
                      <w:rFonts w:hint="eastAsia" w:ascii="Times New Roman" w:hAnsi="Times New Roman" w:cs="Times New Roman"/>
                      <w:bCs/>
                    </w:rPr>
                    <w:t>处理后排放情况</w:t>
                  </w:r>
                </w:p>
              </w:tc>
              <w:tc>
                <w:tcPr>
                  <w:tcW w:w="2760" w:type="dxa"/>
                  <w:gridSpan w:val="2"/>
                  <w:vAlign w:val="center"/>
                </w:tcPr>
                <w:p w14:paraId="644EA979">
                  <w:pPr>
                    <w:pStyle w:val="49"/>
                    <w:jc w:val="center"/>
                    <w:rPr>
                      <w:rFonts w:ascii="Times New Roman" w:hAnsi="Times New Roman" w:cs="Times New Roman"/>
                      <w:bCs/>
                    </w:rPr>
                  </w:pPr>
                  <w:r>
                    <w:rPr>
                      <w:rFonts w:hint="eastAsia" w:ascii="Times New Roman" w:hAnsi="Times New Roman" w:cs="Times New Roman"/>
                      <w:bCs/>
                    </w:rPr>
                    <w:t>排放标准</w:t>
                  </w:r>
                </w:p>
              </w:tc>
            </w:tr>
            <w:tr w14:paraId="7BEE0A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continue"/>
                  <w:vAlign w:val="center"/>
                </w:tcPr>
                <w:p w14:paraId="0B3C537C">
                  <w:pPr>
                    <w:pStyle w:val="49"/>
                    <w:jc w:val="center"/>
                    <w:rPr>
                      <w:rFonts w:ascii="Times New Roman" w:hAnsi="Times New Roman" w:cs="Times New Roman"/>
                      <w:bCs/>
                    </w:rPr>
                  </w:pPr>
                </w:p>
              </w:tc>
              <w:tc>
                <w:tcPr>
                  <w:tcW w:w="2134" w:type="dxa"/>
                  <w:vMerge w:val="continue"/>
                  <w:vAlign w:val="center"/>
                </w:tcPr>
                <w:p w14:paraId="245B6E8D">
                  <w:pPr>
                    <w:pStyle w:val="49"/>
                    <w:jc w:val="center"/>
                    <w:rPr>
                      <w:rFonts w:ascii="Times New Roman" w:hAnsi="Times New Roman" w:cs="Times New Roman"/>
                      <w:bCs/>
                    </w:rPr>
                  </w:pPr>
                </w:p>
              </w:tc>
              <w:tc>
                <w:tcPr>
                  <w:tcW w:w="890" w:type="dxa"/>
                  <w:vAlign w:val="center"/>
                </w:tcPr>
                <w:p w14:paraId="1C5BAA82">
                  <w:pPr>
                    <w:pStyle w:val="49"/>
                    <w:jc w:val="center"/>
                    <w:rPr>
                      <w:rFonts w:ascii="Times New Roman" w:hAnsi="Times New Roman" w:cs="Times New Roman"/>
                      <w:bCs/>
                    </w:rPr>
                  </w:pPr>
                  <w:r>
                    <w:rPr>
                      <w:rFonts w:hint="eastAsia" w:ascii="Times New Roman" w:hAnsi="Times New Roman" w:cs="Times New Roman"/>
                      <w:bCs/>
                    </w:rPr>
                    <w:t>污染物</w:t>
                  </w:r>
                </w:p>
              </w:tc>
              <w:tc>
                <w:tcPr>
                  <w:tcW w:w="942" w:type="dxa"/>
                  <w:vAlign w:val="center"/>
                </w:tcPr>
                <w:p w14:paraId="03A90696">
                  <w:pPr>
                    <w:pStyle w:val="49"/>
                    <w:jc w:val="center"/>
                    <w:rPr>
                      <w:rFonts w:ascii="Times New Roman" w:hAnsi="Times New Roman" w:cs="Times New Roman"/>
                      <w:bCs/>
                    </w:rPr>
                  </w:pPr>
                  <w:r>
                    <w:rPr>
                      <w:rFonts w:hint="eastAsia" w:ascii="Times New Roman" w:hAnsi="Times New Roman" w:cs="Times New Roman"/>
                      <w:bCs/>
                    </w:rPr>
                    <w:t>浓度mg/m</w:t>
                  </w:r>
                  <w:r>
                    <w:rPr>
                      <w:rFonts w:hint="eastAsia" w:ascii="Times New Roman" w:hAnsi="Times New Roman" w:cs="Times New Roman"/>
                      <w:bCs/>
                      <w:vertAlign w:val="superscript"/>
                    </w:rPr>
                    <w:t>3</w:t>
                  </w:r>
                </w:p>
              </w:tc>
              <w:tc>
                <w:tcPr>
                  <w:tcW w:w="584" w:type="dxa"/>
                  <w:vAlign w:val="center"/>
                </w:tcPr>
                <w:p w14:paraId="066E554E">
                  <w:pPr>
                    <w:pStyle w:val="49"/>
                    <w:jc w:val="center"/>
                    <w:rPr>
                      <w:rFonts w:ascii="Times New Roman" w:hAnsi="Times New Roman" w:cs="Times New Roman"/>
                      <w:bCs/>
                    </w:rPr>
                  </w:pPr>
                  <w:r>
                    <w:rPr>
                      <w:rFonts w:hint="eastAsia" w:ascii="Times New Roman" w:hAnsi="Times New Roman" w:cs="Times New Roman"/>
                      <w:bCs/>
                    </w:rPr>
                    <w:t>排放量t/a</w:t>
                  </w:r>
                </w:p>
              </w:tc>
              <w:tc>
                <w:tcPr>
                  <w:tcW w:w="1699" w:type="dxa"/>
                  <w:vAlign w:val="center"/>
                </w:tcPr>
                <w:p w14:paraId="5D9F83D8">
                  <w:pPr>
                    <w:pStyle w:val="49"/>
                    <w:jc w:val="center"/>
                    <w:rPr>
                      <w:rFonts w:ascii="Times New Roman" w:hAnsi="Times New Roman" w:cs="Times New Roman"/>
                      <w:bCs/>
                    </w:rPr>
                  </w:pPr>
                  <w:r>
                    <w:rPr>
                      <w:rFonts w:hint="eastAsia" w:ascii="Times New Roman" w:hAnsi="Times New Roman" w:cs="Times New Roman"/>
                      <w:bCs/>
                    </w:rPr>
                    <w:t>标准名称</w:t>
                  </w:r>
                </w:p>
              </w:tc>
              <w:tc>
                <w:tcPr>
                  <w:tcW w:w="1061" w:type="dxa"/>
                  <w:vAlign w:val="center"/>
                </w:tcPr>
                <w:p w14:paraId="51CB3646">
                  <w:pPr>
                    <w:pStyle w:val="49"/>
                    <w:jc w:val="center"/>
                    <w:rPr>
                      <w:rFonts w:ascii="Times New Roman" w:hAnsi="Times New Roman" w:cs="Times New Roman"/>
                      <w:bCs/>
                    </w:rPr>
                  </w:pPr>
                  <w:r>
                    <w:rPr>
                      <w:rFonts w:hint="eastAsia" w:ascii="Times New Roman" w:hAnsi="Times New Roman" w:cs="Times New Roman"/>
                      <w:bCs/>
                    </w:rPr>
                    <w:t>标准值mg/m</w:t>
                  </w:r>
                  <w:r>
                    <w:rPr>
                      <w:rFonts w:hint="eastAsia" w:ascii="Times New Roman" w:hAnsi="Times New Roman" w:cs="Times New Roman"/>
                      <w:bCs/>
                      <w:vertAlign w:val="superscript"/>
                    </w:rPr>
                    <w:t>3</w:t>
                  </w:r>
                </w:p>
              </w:tc>
            </w:tr>
            <w:tr w14:paraId="4A89D5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restart"/>
                  <w:vAlign w:val="center"/>
                </w:tcPr>
                <w:p w14:paraId="760EE565">
                  <w:pPr>
                    <w:pStyle w:val="49"/>
                    <w:jc w:val="center"/>
                    <w:rPr>
                      <w:rFonts w:ascii="Times New Roman" w:hAnsi="Times New Roman" w:cs="Times New Roman"/>
                      <w:bCs/>
                    </w:rPr>
                  </w:pPr>
                  <w:r>
                    <w:rPr>
                      <w:rFonts w:hint="eastAsia" w:ascii="Times New Roman" w:hAnsi="Times New Roman" w:cs="Times New Roman"/>
                      <w:bCs/>
                    </w:rPr>
                    <w:t>锅炉烟气</w:t>
                  </w:r>
                </w:p>
              </w:tc>
              <w:tc>
                <w:tcPr>
                  <w:tcW w:w="2134" w:type="dxa"/>
                  <w:vMerge w:val="restart"/>
                  <w:vAlign w:val="center"/>
                </w:tcPr>
                <w:p w14:paraId="34834C67">
                  <w:pPr>
                    <w:pStyle w:val="49"/>
                    <w:jc w:val="center"/>
                    <w:rPr>
                      <w:rFonts w:ascii="Times New Roman" w:hAnsi="Times New Roman" w:cs="Times New Roman"/>
                      <w:bCs/>
                    </w:rPr>
                  </w:pPr>
                  <w:r>
                    <w:rPr>
                      <w:rFonts w:hint="eastAsia" w:ascii="Times New Roman" w:hAnsi="Times New Roman" w:cs="Times New Roman"/>
                      <w:bCs/>
                    </w:rPr>
                    <w:t>采用多管旋风除尘器+旋流板塔脱硫除尘器（双碱法工艺）进行处理，综合除尘效率不小于98%，脱硫效率不小于80%，锅炉采用低氮燃烧，锅炉房烟囱高度60m，上口直径1.7m</w:t>
                  </w:r>
                </w:p>
              </w:tc>
              <w:tc>
                <w:tcPr>
                  <w:tcW w:w="890" w:type="dxa"/>
                  <w:vAlign w:val="center"/>
                </w:tcPr>
                <w:p w14:paraId="033DFF7C">
                  <w:pPr>
                    <w:pStyle w:val="49"/>
                    <w:jc w:val="center"/>
                    <w:rPr>
                      <w:rFonts w:ascii="Times New Roman" w:hAnsi="Times New Roman" w:cs="Times New Roman"/>
                      <w:bCs/>
                    </w:rPr>
                  </w:pPr>
                  <w:r>
                    <w:rPr>
                      <w:rFonts w:hint="eastAsia" w:ascii="Times New Roman" w:hAnsi="Times New Roman" w:cs="Times New Roman"/>
                      <w:bCs/>
                    </w:rPr>
                    <w:t>颗粒物</w:t>
                  </w:r>
                </w:p>
              </w:tc>
              <w:tc>
                <w:tcPr>
                  <w:tcW w:w="942" w:type="dxa"/>
                  <w:vAlign w:val="center"/>
                </w:tcPr>
                <w:p w14:paraId="7C7EDCAF">
                  <w:pPr>
                    <w:pStyle w:val="49"/>
                    <w:jc w:val="center"/>
                    <w:rPr>
                      <w:rFonts w:ascii="Times New Roman" w:hAnsi="Times New Roman" w:cs="Times New Roman"/>
                      <w:bCs/>
                    </w:rPr>
                  </w:pPr>
                  <w:r>
                    <w:rPr>
                      <w:rFonts w:hint="eastAsia" w:ascii="Times New Roman" w:hAnsi="Times New Roman" w:cs="Times New Roman"/>
                      <w:bCs/>
                    </w:rPr>
                    <w:t>48.9</w:t>
                  </w:r>
                </w:p>
              </w:tc>
              <w:tc>
                <w:tcPr>
                  <w:tcW w:w="584" w:type="dxa"/>
                  <w:vAlign w:val="center"/>
                </w:tcPr>
                <w:p w14:paraId="29E51EF6">
                  <w:pPr>
                    <w:pStyle w:val="49"/>
                    <w:jc w:val="center"/>
                    <w:rPr>
                      <w:rFonts w:ascii="Times New Roman" w:hAnsi="Times New Roman" w:cs="Times New Roman"/>
                      <w:bCs/>
                    </w:rPr>
                  </w:pPr>
                  <w:r>
                    <w:rPr>
                      <w:rFonts w:hint="eastAsia" w:ascii="Times New Roman" w:hAnsi="Times New Roman" w:cs="Times New Roman"/>
                      <w:bCs/>
                    </w:rPr>
                    <w:t>16.7</w:t>
                  </w:r>
                </w:p>
              </w:tc>
              <w:tc>
                <w:tcPr>
                  <w:tcW w:w="1699" w:type="dxa"/>
                  <w:vMerge w:val="restart"/>
                  <w:vAlign w:val="center"/>
                </w:tcPr>
                <w:p w14:paraId="33971DB3">
                  <w:pPr>
                    <w:pStyle w:val="49"/>
                    <w:jc w:val="center"/>
                    <w:rPr>
                      <w:rFonts w:ascii="Times New Roman" w:hAnsi="Times New Roman" w:cs="Times New Roman"/>
                      <w:bCs/>
                    </w:rPr>
                  </w:pPr>
                  <w:r>
                    <w:rPr>
                      <w:rFonts w:hint="eastAsia" w:ascii="Times New Roman" w:hAnsi="Times New Roman" w:cs="Times New Roman"/>
                      <w:bCs/>
                    </w:rPr>
                    <w:t>《锅炉大气污染物排放标准》（GB13271-2014）</w:t>
                  </w:r>
                </w:p>
              </w:tc>
              <w:tc>
                <w:tcPr>
                  <w:tcW w:w="1061" w:type="dxa"/>
                  <w:vAlign w:val="center"/>
                </w:tcPr>
                <w:p w14:paraId="55E197CF">
                  <w:pPr>
                    <w:pStyle w:val="49"/>
                    <w:jc w:val="center"/>
                    <w:rPr>
                      <w:rFonts w:ascii="Times New Roman" w:hAnsi="Times New Roman" w:cs="Times New Roman"/>
                      <w:bCs/>
                    </w:rPr>
                  </w:pPr>
                  <w:r>
                    <w:rPr>
                      <w:rFonts w:hint="eastAsia" w:ascii="Times New Roman" w:hAnsi="Times New Roman" w:cs="Times New Roman"/>
                      <w:bCs/>
                    </w:rPr>
                    <w:t>50</w:t>
                  </w:r>
                </w:p>
              </w:tc>
            </w:tr>
            <w:tr w14:paraId="748E49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continue"/>
                  <w:vAlign w:val="center"/>
                </w:tcPr>
                <w:p w14:paraId="24C6545D">
                  <w:pPr>
                    <w:pStyle w:val="49"/>
                    <w:jc w:val="center"/>
                    <w:rPr>
                      <w:rFonts w:ascii="Times New Roman" w:hAnsi="Times New Roman" w:cs="Times New Roman"/>
                      <w:bCs/>
                    </w:rPr>
                  </w:pPr>
                </w:p>
              </w:tc>
              <w:tc>
                <w:tcPr>
                  <w:tcW w:w="2134" w:type="dxa"/>
                  <w:vMerge w:val="continue"/>
                  <w:vAlign w:val="center"/>
                </w:tcPr>
                <w:p w14:paraId="679F2709">
                  <w:pPr>
                    <w:pStyle w:val="49"/>
                    <w:jc w:val="center"/>
                    <w:rPr>
                      <w:rFonts w:ascii="Times New Roman" w:hAnsi="Times New Roman" w:cs="Times New Roman"/>
                      <w:bCs/>
                    </w:rPr>
                  </w:pPr>
                </w:p>
              </w:tc>
              <w:tc>
                <w:tcPr>
                  <w:tcW w:w="890" w:type="dxa"/>
                  <w:vAlign w:val="center"/>
                </w:tcPr>
                <w:p w14:paraId="00F099D0">
                  <w:pPr>
                    <w:pStyle w:val="49"/>
                    <w:jc w:val="center"/>
                    <w:rPr>
                      <w:rFonts w:ascii="Times New Roman" w:hAnsi="Times New Roman" w:cs="Times New Roman"/>
                      <w:bCs/>
                    </w:rPr>
                  </w:pPr>
                  <w:r>
                    <w:rPr>
                      <w:rFonts w:hint="eastAsia" w:ascii="Times New Roman" w:hAnsi="Times New Roman" w:cs="Times New Roman"/>
                      <w:bCs/>
                    </w:rPr>
                    <w:t>二氧化硫</w:t>
                  </w:r>
                </w:p>
              </w:tc>
              <w:tc>
                <w:tcPr>
                  <w:tcW w:w="942" w:type="dxa"/>
                  <w:vAlign w:val="center"/>
                </w:tcPr>
                <w:p w14:paraId="2949674D">
                  <w:pPr>
                    <w:pStyle w:val="49"/>
                    <w:jc w:val="center"/>
                    <w:rPr>
                      <w:rFonts w:ascii="Times New Roman" w:hAnsi="Times New Roman" w:cs="Times New Roman"/>
                      <w:bCs/>
                    </w:rPr>
                  </w:pPr>
                  <w:r>
                    <w:rPr>
                      <w:rFonts w:hint="eastAsia" w:ascii="Times New Roman" w:hAnsi="Times New Roman" w:cs="Times New Roman"/>
                      <w:bCs/>
                    </w:rPr>
                    <w:t>215.8</w:t>
                  </w:r>
                </w:p>
              </w:tc>
              <w:tc>
                <w:tcPr>
                  <w:tcW w:w="584" w:type="dxa"/>
                  <w:vAlign w:val="center"/>
                </w:tcPr>
                <w:p w14:paraId="000CCB4C">
                  <w:pPr>
                    <w:pStyle w:val="49"/>
                    <w:jc w:val="center"/>
                    <w:rPr>
                      <w:rFonts w:ascii="Times New Roman" w:hAnsi="Times New Roman" w:cs="Times New Roman"/>
                      <w:bCs/>
                    </w:rPr>
                  </w:pPr>
                  <w:r>
                    <w:rPr>
                      <w:rFonts w:hint="eastAsia" w:ascii="Times New Roman" w:hAnsi="Times New Roman" w:cs="Times New Roman"/>
                      <w:bCs/>
                    </w:rPr>
                    <w:t>73.6</w:t>
                  </w:r>
                </w:p>
              </w:tc>
              <w:tc>
                <w:tcPr>
                  <w:tcW w:w="1699" w:type="dxa"/>
                  <w:vMerge w:val="continue"/>
                  <w:vAlign w:val="center"/>
                </w:tcPr>
                <w:p w14:paraId="10BB5C7F">
                  <w:pPr>
                    <w:pStyle w:val="49"/>
                    <w:jc w:val="center"/>
                    <w:rPr>
                      <w:rFonts w:ascii="Times New Roman" w:hAnsi="Times New Roman" w:cs="Times New Roman"/>
                      <w:bCs/>
                    </w:rPr>
                  </w:pPr>
                </w:p>
              </w:tc>
              <w:tc>
                <w:tcPr>
                  <w:tcW w:w="1061" w:type="dxa"/>
                  <w:vAlign w:val="center"/>
                </w:tcPr>
                <w:p w14:paraId="05DFC4D1">
                  <w:pPr>
                    <w:pStyle w:val="49"/>
                    <w:jc w:val="center"/>
                    <w:rPr>
                      <w:rFonts w:ascii="Times New Roman" w:hAnsi="Times New Roman" w:cs="Times New Roman"/>
                      <w:bCs/>
                    </w:rPr>
                  </w:pPr>
                  <w:r>
                    <w:rPr>
                      <w:rFonts w:hint="eastAsia" w:ascii="Times New Roman" w:hAnsi="Times New Roman" w:cs="Times New Roman"/>
                      <w:bCs/>
                    </w:rPr>
                    <w:t>300</w:t>
                  </w:r>
                </w:p>
              </w:tc>
            </w:tr>
            <w:tr w14:paraId="023F5D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continue"/>
                  <w:vAlign w:val="center"/>
                </w:tcPr>
                <w:p w14:paraId="11A59802">
                  <w:pPr>
                    <w:pStyle w:val="49"/>
                    <w:jc w:val="center"/>
                    <w:rPr>
                      <w:rFonts w:ascii="Times New Roman" w:hAnsi="Times New Roman" w:cs="Times New Roman"/>
                      <w:bCs/>
                    </w:rPr>
                  </w:pPr>
                </w:p>
              </w:tc>
              <w:tc>
                <w:tcPr>
                  <w:tcW w:w="2134" w:type="dxa"/>
                  <w:vMerge w:val="continue"/>
                  <w:vAlign w:val="center"/>
                </w:tcPr>
                <w:p w14:paraId="18C543BE">
                  <w:pPr>
                    <w:pStyle w:val="49"/>
                    <w:jc w:val="center"/>
                    <w:rPr>
                      <w:rFonts w:ascii="Times New Roman" w:hAnsi="Times New Roman" w:cs="Times New Roman"/>
                      <w:bCs/>
                    </w:rPr>
                  </w:pPr>
                </w:p>
              </w:tc>
              <w:tc>
                <w:tcPr>
                  <w:tcW w:w="890" w:type="dxa"/>
                  <w:vAlign w:val="center"/>
                </w:tcPr>
                <w:p w14:paraId="2C53C4DE">
                  <w:pPr>
                    <w:pStyle w:val="49"/>
                    <w:jc w:val="center"/>
                    <w:rPr>
                      <w:rFonts w:ascii="Times New Roman" w:hAnsi="Times New Roman" w:cs="Times New Roman"/>
                      <w:bCs/>
                    </w:rPr>
                  </w:pPr>
                  <w:r>
                    <w:rPr>
                      <w:rFonts w:hint="eastAsia" w:ascii="Times New Roman" w:hAnsi="Times New Roman" w:cs="Times New Roman"/>
                      <w:bCs/>
                    </w:rPr>
                    <w:t>氮氧化物</w:t>
                  </w:r>
                </w:p>
              </w:tc>
              <w:tc>
                <w:tcPr>
                  <w:tcW w:w="942" w:type="dxa"/>
                  <w:vAlign w:val="center"/>
                </w:tcPr>
                <w:p w14:paraId="24B433D8">
                  <w:pPr>
                    <w:pStyle w:val="49"/>
                    <w:jc w:val="center"/>
                    <w:rPr>
                      <w:rFonts w:ascii="Times New Roman" w:hAnsi="Times New Roman" w:cs="Times New Roman"/>
                      <w:bCs/>
                    </w:rPr>
                  </w:pPr>
                  <w:r>
                    <w:rPr>
                      <w:rFonts w:hint="eastAsia" w:ascii="Times New Roman" w:hAnsi="Times New Roman" w:cs="Times New Roman"/>
                      <w:bCs/>
                    </w:rPr>
                    <w:t>190</w:t>
                  </w:r>
                </w:p>
              </w:tc>
              <w:tc>
                <w:tcPr>
                  <w:tcW w:w="584" w:type="dxa"/>
                  <w:vAlign w:val="center"/>
                </w:tcPr>
                <w:p w14:paraId="3035ABFA">
                  <w:pPr>
                    <w:pStyle w:val="49"/>
                    <w:jc w:val="center"/>
                    <w:rPr>
                      <w:rFonts w:ascii="Times New Roman" w:hAnsi="Times New Roman" w:cs="Times New Roman"/>
                      <w:bCs/>
                    </w:rPr>
                  </w:pPr>
                  <w:r>
                    <w:rPr>
                      <w:rFonts w:hint="eastAsia" w:ascii="Times New Roman" w:hAnsi="Times New Roman" w:cs="Times New Roman"/>
                      <w:bCs/>
                    </w:rPr>
                    <w:t>51.957</w:t>
                  </w:r>
                </w:p>
              </w:tc>
              <w:tc>
                <w:tcPr>
                  <w:tcW w:w="1699" w:type="dxa"/>
                  <w:vMerge w:val="continue"/>
                  <w:vAlign w:val="center"/>
                </w:tcPr>
                <w:p w14:paraId="471830D3">
                  <w:pPr>
                    <w:pStyle w:val="49"/>
                    <w:jc w:val="center"/>
                    <w:rPr>
                      <w:rFonts w:ascii="Times New Roman" w:hAnsi="Times New Roman" w:cs="Times New Roman"/>
                      <w:bCs/>
                    </w:rPr>
                  </w:pPr>
                </w:p>
              </w:tc>
              <w:tc>
                <w:tcPr>
                  <w:tcW w:w="1061" w:type="dxa"/>
                  <w:vAlign w:val="center"/>
                </w:tcPr>
                <w:p w14:paraId="16136CBD">
                  <w:pPr>
                    <w:pStyle w:val="49"/>
                    <w:jc w:val="center"/>
                    <w:rPr>
                      <w:rFonts w:ascii="Times New Roman" w:hAnsi="Times New Roman" w:cs="Times New Roman"/>
                      <w:bCs/>
                    </w:rPr>
                  </w:pPr>
                  <w:r>
                    <w:rPr>
                      <w:rFonts w:hint="eastAsia" w:ascii="Times New Roman" w:hAnsi="Times New Roman" w:cs="Times New Roman"/>
                      <w:bCs/>
                    </w:rPr>
                    <w:t>300</w:t>
                  </w:r>
                </w:p>
              </w:tc>
            </w:tr>
            <w:tr w14:paraId="55A20F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restart"/>
                  <w:vAlign w:val="center"/>
                </w:tcPr>
                <w:p w14:paraId="1DAEE748">
                  <w:pPr>
                    <w:pStyle w:val="49"/>
                    <w:jc w:val="center"/>
                    <w:rPr>
                      <w:rFonts w:ascii="Times New Roman" w:hAnsi="Times New Roman" w:cs="Times New Roman"/>
                      <w:bCs/>
                    </w:rPr>
                  </w:pPr>
                  <w:r>
                    <w:rPr>
                      <w:rFonts w:hint="eastAsia" w:ascii="Times New Roman" w:hAnsi="Times New Roman" w:cs="Times New Roman"/>
                      <w:bCs/>
                    </w:rPr>
                    <w:t>煤泥干燥车间</w:t>
                  </w:r>
                </w:p>
              </w:tc>
              <w:tc>
                <w:tcPr>
                  <w:tcW w:w="2134" w:type="dxa"/>
                  <w:vMerge w:val="restart"/>
                  <w:vAlign w:val="center"/>
                </w:tcPr>
                <w:p w14:paraId="59EB7F69">
                  <w:pPr>
                    <w:pStyle w:val="49"/>
                    <w:jc w:val="center"/>
                    <w:rPr>
                      <w:rFonts w:ascii="Times New Roman" w:hAnsi="Times New Roman" w:cs="Times New Roman"/>
                      <w:bCs/>
                    </w:rPr>
                  </w:pPr>
                  <w:r>
                    <w:rPr>
                      <w:rFonts w:hint="eastAsia" w:ascii="Times New Roman" w:hAnsi="Times New Roman" w:cs="Times New Roman"/>
                      <w:bCs/>
                    </w:rPr>
                    <w:t>干燥车间废气处理设计采用旋风除尘器+旋流板塔脱硫除尘器(双碱法工艺)，除尘效率98%，脱硫效率80%，烟囱属干燥设备自带，高15m。</w:t>
                  </w:r>
                </w:p>
              </w:tc>
              <w:tc>
                <w:tcPr>
                  <w:tcW w:w="890" w:type="dxa"/>
                  <w:vAlign w:val="center"/>
                </w:tcPr>
                <w:p w14:paraId="3A83B936">
                  <w:pPr>
                    <w:pStyle w:val="49"/>
                    <w:jc w:val="center"/>
                    <w:rPr>
                      <w:rFonts w:ascii="Times New Roman" w:hAnsi="Times New Roman" w:cs="Times New Roman"/>
                      <w:bCs/>
                    </w:rPr>
                  </w:pPr>
                  <w:r>
                    <w:rPr>
                      <w:rFonts w:hint="eastAsia" w:ascii="Times New Roman" w:hAnsi="Times New Roman" w:cs="Times New Roman"/>
                      <w:bCs/>
                    </w:rPr>
                    <w:t>颗粒物</w:t>
                  </w:r>
                </w:p>
              </w:tc>
              <w:tc>
                <w:tcPr>
                  <w:tcW w:w="942" w:type="dxa"/>
                  <w:vAlign w:val="center"/>
                </w:tcPr>
                <w:p w14:paraId="6A650CD4">
                  <w:pPr>
                    <w:pStyle w:val="49"/>
                    <w:jc w:val="center"/>
                    <w:rPr>
                      <w:rFonts w:ascii="Times New Roman" w:hAnsi="Times New Roman" w:cs="Times New Roman"/>
                      <w:bCs/>
                    </w:rPr>
                  </w:pPr>
                  <w:r>
                    <w:rPr>
                      <w:rFonts w:hint="eastAsia" w:ascii="Times New Roman" w:hAnsi="Times New Roman" w:cs="Times New Roman"/>
                      <w:bCs/>
                    </w:rPr>
                    <w:t>110</w:t>
                  </w:r>
                </w:p>
              </w:tc>
              <w:tc>
                <w:tcPr>
                  <w:tcW w:w="584" w:type="dxa"/>
                  <w:vAlign w:val="center"/>
                </w:tcPr>
                <w:p w14:paraId="41AA1468">
                  <w:pPr>
                    <w:pStyle w:val="49"/>
                    <w:jc w:val="center"/>
                    <w:rPr>
                      <w:rFonts w:ascii="Times New Roman" w:hAnsi="Times New Roman" w:cs="Times New Roman"/>
                      <w:bCs/>
                    </w:rPr>
                  </w:pPr>
                  <w:r>
                    <w:rPr>
                      <w:rFonts w:hint="eastAsia" w:ascii="Times New Roman" w:hAnsi="Times New Roman" w:cs="Times New Roman"/>
                      <w:bCs/>
                    </w:rPr>
                    <w:t>23.3</w:t>
                  </w:r>
                </w:p>
              </w:tc>
              <w:tc>
                <w:tcPr>
                  <w:tcW w:w="1699" w:type="dxa"/>
                  <w:vMerge w:val="restart"/>
                  <w:vAlign w:val="center"/>
                </w:tcPr>
                <w:p w14:paraId="34DDA922">
                  <w:pPr>
                    <w:pStyle w:val="49"/>
                    <w:jc w:val="center"/>
                    <w:rPr>
                      <w:rFonts w:ascii="Times New Roman" w:hAnsi="Times New Roman" w:cs="Times New Roman"/>
                      <w:bCs/>
                    </w:rPr>
                  </w:pPr>
                  <w:r>
                    <w:rPr>
                      <w:rFonts w:hint="eastAsia" w:ascii="Times New Roman" w:hAnsi="Times New Roman" w:cs="Times New Roman"/>
                      <w:bCs/>
                    </w:rPr>
                    <w:t>《工业炉窑大气污染物排放标准》（GB9078-1996）</w:t>
                  </w:r>
                </w:p>
              </w:tc>
              <w:tc>
                <w:tcPr>
                  <w:tcW w:w="1061" w:type="dxa"/>
                  <w:vAlign w:val="center"/>
                </w:tcPr>
                <w:p w14:paraId="36AE3E8A">
                  <w:pPr>
                    <w:pStyle w:val="49"/>
                    <w:jc w:val="center"/>
                    <w:rPr>
                      <w:rFonts w:ascii="Times New Roman" w:hAnsi="Times New Roman" w:cs="Times New Roman"/>
                      <w:bCs/>
                    </w:rPr>
                  </w:pPr>
                  <w:r>
                    <w:rPr>
                      <w:rFonts w:hint="eastAsia" w:ascii="Times New Roman" w:hAnsi="Times New Roman" w:cs="Times New Roman"/>
                      <w:bCs/>
                    </w:rPr>
                    <w:t>200</w:t>
                  </w:r>
                </w:p>
              </w:tc>
            </w:tr>
            <w:tr w14:paraId="572FBF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continue"/>
                  <w:vAlign w:val="center"/>
                </w:tcPr>
                <w:p w14:paraId="5FB18765">
                  <w:pPr>
                    <w:pStyle w:val="49"/>
                    <w:jc w:val="center"/>
                    <w:rPr>
                      <w:rFonts w:ascii="Times New Roman" w:hAnsi="Times New Roman" w:cs="Times New Roman"/>
                      <w:bCs/>
                    </w:rPr>
                  </w:pPr>
                </w:p>
              </w:tc>
              <w:tc>
                <w:tcPr>
                  <w:tcW w:w="2134" w:type="dxa"/>
                  <w:vMerge w:val="continue"/>
                  <w:vAlign w:val="center"/>
                </w:tcPr>
                <w:p w14:paraId="38A40549">
                  <w:pPr>
                    <w:pStyle w:val="49"/>
                    <w:jc w:val="center"/>
                    <w:rPr>
                      <w:rFonts w:ascii="Times New Roman" w:hAnsi="Times New Roman" w:cs="Times New Roman"/>
                      <w:bCs/>
                    </w:rPr>
                  </w:pPr>
                </w:p>
              </w:tc>
              <w:tc>
                <w:tcPr>
                  <w:tcW w:w="890" w:type="dxa"/>
                  <w:vAlign w:val="center"/>
                </w:tcPr>
                <w:p w14:paraId="076B81F6">
                  <w:pPr>
                    <w:pStyle w:val="49"/>
                    <w:jc w:val="center"/>
                    <w:rPr>
                      <w:rFonts w:ascii="Times New Roman" w:hAnsi="Times New Roman" w:cs="Times New Roman"/>
                      <w:bCs/>
                    </w:rPr>
                  </w:pPr>
                  <w:r>
                    <w:rPr>
                      <w:rFonts w:hint="eastAsia" w:ascii="Times New Roman" w:hAnsi="Times New Roman" w:cs="Times New Roman"/>
                      <w:bCs/>
                    </w:rPr>
                    <w:t>二氧化硫</w:t>
                  </w:r>
                </w:p>
              </w:tc>
              <w:tc>
                <w:tcPr>
                  <w:tcW w:w="942" w:type="dxa"/>
                  <w:vAlign w:val="center"/>
                </w:tcPr>
                <w:p w14:paraId="426575EF">
                  <w:pPr>
                    <w:pStyle w:val="49"/>
                    <w:jc w:val="center"/>
                    <w:rPr>
                      <w:rFonts w:ascii="Times New Roman" w:hAnsi="Times New Roman" w:cs="Times New Roman"/>
                      <w:bCs/>
                    </w:rPr>
                  </w:pPr>
                  <w:r>
                    <w:rPr>
                      <w:rFonts w:hint="eastAsia" w:ascii="Times New Roman" w:hAnsi="Times New Roman" w:cs="Times New Roman"/>
                      <w:bCs/>
                    </w:rPr>
                    <w:t>110</w:t>
                  </w:r>
                </w:p>
              </w:tc>
              <w:tc>
                <w:tcPr>
                  <w:tcW w:w="584" w:type="dxa"/>
                  <w:vAlign w:val="center"/>
                </w:tcPr>
                <w:p w14:paraId="496A3B2C">
                  <w:pPr>
                    <w:pStyle w:val="49"/>
                    <w:jc w:val="center"/>
                    <w:rPr>
                      <w:rFonts w:ascii="Times New Roman" w:hAnsi="Times New Roman" w:cs="Times New Roman"/>
                      <w:bCs/>
                    </w:rPr>
                  </w:pPr>
                  <w:r>
                    <w:rPr>
                      <w:rFonts w:hint="eastAsia" w:ascii="Times New Roman" w:hAnsi="Times New Roman" w:cs="Times New Roman"/>
                      <w:bCs/>
                    </w:rPr>
                    <w:t>23.3</w:t>
                  </w:r>
                </w:p>
              </w:tc>
              <w:tc>
                <w:tcPr>
                  <w:tcW w:w="1699" w:type="dxa"/>
                  <w:vMerge w:val="continue"/>
                  <w:vAlign w:val="center"/>
                </w:tcPr>
                <w:p w14:paraId="0B6CEFAA">
                  <w:pPr>
                    <w:pStyle w:val="49"/>
                    <w:jc w:val="center"/>
                    <w:rPr>
                      <w:rFonts w:ascii="Times New Roman" w:hAnsi="Times New Roman" w:cs="Times New Roman"/>
                      <w:bCs/>
                    </w:rPr>
                  </w:pPr>
                </w:p>
              </w:tc>
              <w:tc>
                <w:tcPr>
                  <w:tcW w:w="1061" w:type="dxa"/>
                  <w:vAlign w:val="center"/>
                </w:tcPr>
                <w:p w14:paraId="6D32F6B7">
                  <w:pPr>
                    <w:pStyle w:val="49"/>
                    <w:jc w:val="center"/>
                    <w:rPr>
                      <w:rFonts w:ascii="Times New Roman" w:hAnsi="Times New Roman" w:cs="Times New Roman"/>
                      <w:bCs/>
                    </w:rPr>
                  </w:pPr>
                  <w:r>
                    <w:rPr>
                      <w:rFonts w:hint="eastAsia" w:ascii="Times New Roman" w:hAnsi="Times New Roman" w:cs="Times New Roman"/>
                      <w:bCs/>
                    </w:rPr>
                    <w:t>850</w:t>
                  </w:r>
                </w:p>
              </w:tc>
            </w:tr>
            <w:tr w14:paraId="760D48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continue"/>
                  <w:vAlign w:val="center"/>
                </w:tcPr>
                <w:p w14:paraId="54C24E85">
                  <w:pPr>
                    <w:pStyle w:val="49"/>
                    <w:jc w:val="center"/>
                    <w:rPr>
                      <w:rFonts w:ascii="Times New Roman" w:hAnsi="Times New Roman" w:cs="Times New Roman"/>
                      <w:bCs/>
                    </w:rPr>
                  </w:pPr>
                </w:p>
              </w:tc>
              <w:tc>
                <w:tcPr>
                  <w:tcW w:w="2134" w:type="dxa"/>
                  <w:vMerge w:val="continue"/>
                  <w:vAlign w:val="center"/>
                </w:tcPr>
                <w:p w14:paraId="3D4B1577">
                  <w:pPr>
                    <w:pStyle w:val="49"/>
                    <w:jc w:val="center"/>
                    <w:rPr>
                      <w:rFonts w:ascii="Times New Roman" w:hAnsi="Times New Roman" w:cs="Times New Roman"/>
                      <w:bCs/>
                    </w:rPr>
                  </w:pPr>
                </w:p>
              </w:tc>
              <w:tc>
                <w:tcPr>
                  <w:tcW w:w="890" w:type="dxa"/>
                  <w:vAlign w:val="center"/>
                </w:tcPr>
                <w:p w14:paraId="04834535">
                  <w:pPr>
                    <w:pStyle w:val="49"/>
                    <w:jc w:val="center"/>
                    <w:rPr>
                      <w:rFonts w:ascii="Times New Roman" w:hAnsi="Times New Roman" w:cs="Times New Roman"/>
                      <w:bCs/>
                    </w:rPr>
                  </w:pPr>
                  <w:r>
                    <w:rPr>
                      <w:rFonts w:hint="eastAsia" w:ascii="Times New Roman" w:hAnsi="Times New Roman" w:cs="Times New Roman"/>
                      <w:bCs/>
                    </w:rPr>
                    <w:t>氮氧化物</w:t>
                  </w:r>
                </w:p>
              </w:tc>
              <w:tc>
                <w:tcPr>
                  <w:tcW w:w="942" w:type="dxa"/>
                  <w:vAlign w:val="center"/>
                </w:tcPr>
                <w:p w14:paraId="3B02C6F7">
                  <w:pPr>
                    <w:pStyle w:val="49"/>
                    <w:jc w:val="center"/>
                    <w:rPr>
                      <w:rFonts w:ascii="Times New Roman" w:hAnsi="Times New Roman" w:cs="Times New Roman"/>
                      <w:bCs/>
                    </w:rPr>
                  </w:pPr>
                  <w:r>
                    <w:rPr>
                      <w:rFonts w:hint="eastAsia" w:ascii="Times New Roman" w:hAnsi="Times New Roman" w:cs="Times New Roman"/>
                      <w:bCs/>
                    </w:rPr>
                    <w:t>161.7</w:t>
                  </w:r>
                </w:p>
              </w:tc>
              <w:tc>
                <w:tcPr>
                  <w:tcW w:w="584" w:type="dxa"/>
                  <w:vAlign w:val="center"/>
                </w:tcPr>
                <w:p w14:paraId="7497BADC">
                  <w:pPr>
                    <w:pStyle w:val="49"/>
                    <w:jc w:val="center"/>
                    <w:rPr>
                      <w:rFonts w:ascii="Times New Roman" w:hAnsi="Times New Roman" w:cs="Times New Roman"/>
                      <w:bCs/>
                    </w:rPr>
                  </w:pPr>
                  <w:r>
                    <w:rPr>
                      <w:rFonts w:hint="eastAsia" w:ascii="Times New Roman" w:hAnsi="Times New Roman" w:cs="Times New Roman"/>
                      <w:bCs/>
                    </w:rPr>
                    <w:t>47.043</w:t>
                  </w:r>
                </w:p>
              </w:tc>
              <w:tc>
                <w:tcPr>
                  <w:tcW w:w="1699" w:type="dxa"/>
                  <w:vMerge w:val="continue"/>
                  <w:vAlign w:val="center"/>
                </w:tcPr>
                <w:p w14:paraId="7BE86E8C">
                  <w:pPr>
                    <w:pStyle w:val="49"/>
                    <w:jc w:val="center"/>
                    <w:rPr>
                      <w:rFonts w:ascii="Times New Roman" w:hAnsi="Times New Roman" w:cs="Times New Roman"/>
                      <w:bCs/>
                    </w:rPr>
                  </w:pPr>
                </w:p>
              </w:tc>
              <w:tc>
                <w:tcPr>
                  <w:tcW w:w="1061" w:type="dxa"/>
                  <w:vAlign w:val="center"/>
                </w:tcPr>
                <w:p w14:paraId="1EE5EEF7">
                  <w:pPr>
                    <w:pStyle w:val="49"/>
                    <w:jc w:val="center"/>
                    <w:rPr>
                      <w:rFonts w:ascii="Times New Roman" w:hAnsi="Times New Roman" w:cs="Times New Roman"/>
                      <w:bCs/>
                    </w:rPr>
                  </w:pPr>
                  <w:r>
                    <w:rPr>
                      <w:rFonts w:hint="eastAsia" w:ascii="Times New Roman" w:hAnsi="Times New Roman" w:cs="Times New Roman"/>
                      <w:bCs/>
                    </w:rPr>
                    <w:t>/</w:t>
                  </w:r>
                </w:p>
              </w:tc>
            </w:tr>
            <w:tr w14:paraId="406C40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6E18D530">
                  <w:pPr>
                    <w:pStyle w:val="49"/>
                    <w:jc w:val="center"/>
                    <w:rPr>
                      <w:rFonts w:ascii="Times New Roman" w:hAnsi="Times New Roman" w:cs="Times New Roman"/>
                      <w:bCs/>
                    </w:rPr>
                  </w:pPr>
                  <w:r>
                    <w:rPr>
                      <w:rFonts w:hint="eastAsia" w:ascii="Times New Roman" w:hAnsi="Times New Roman" w:cs="Times New Roman"/>
                      <w:bCs/>
                    </w:rPr>
                    <w:t>主厂房粉尘</w:t>
                  </w:r>
                </w:p>
              </w:tc>
              <w:tc>
                <w:tcPr>
                  <w:tcW w:w="2134" w:type="dxa"/>
                  <w:vAlign w:val="center"/>
                </w:tcPr>
                <w:p w14:paraId="49B784B4">
                  <w:pPr>
                    <w:pStyle w:val="49"/>
                    <w:jc w:val="center"/>
                    <w:rPr>
                      <w:rFonts w:ascii="Times New Roman" w:hAnsi="Times New Roman" w:cs="Times New Roman"/>
                      <w:bCs/>
                    </w:rPr>
                  </w:pPr>
                  <w:r>
                    <w:rPr>
                      <w:rFonts w:hint="eastAsia" w:ascii="Times New Roman" w:hAnsi="Times New Roman" w:cs="Times New Roman"/>
                      <w:bCs/>
                    </w:rPr>
                    <w:t>多管冲击式除尘机组4台，单台除尘风量Q=20000m3/h，处理效率≥98%</w:t>
                  </w:r>
                </w:p>
              </w:tc>
              <w:tc>
                <w:tcPr>
                  <w:tcW w:w="890" w:type="dxa"/>
                  <w:vAlign w:val="center"/>
                </w:tcPr>
                <w:p w14:paraId="206AC762">
                  <w:pPr>
                    <w:pStyle w:val="49"/>
                    <w:jc w:val="center"/>
                    <w:rPr>
                      <w:rFonts w:ascii="Times New Roman" w:hAnsi="Times New Roman" w:cs="Times New Roman"/>
                      <w:bCs/>
                    </w:rPr>
                  </w:pPr>
                  <w:r>
                    <w:rPr>
                      <w:rFonts w:hint="eastAsia" w:ascii="Times New Roman" w:hAnsi="Times New Roman" w:cs="Times New Roman"/>
                      <w:bCs/>
                    </w:rPr>
                    <w:t>颗粒物</w:t>
                  </w:r>
                </w:p>
              </w:tc>
              <w:tc>
                <w:tcPr>
                  <w:tcW w:w="942" w:type="dxa"/>
                  <w:vAlign w:val="center"/>
                </w:tcPr>
                <w:p w14:paraId="3B6FB3D9">
                  <w:pPr>
                    <w:pStyle w:val="49"/>
                    <w:jc w:val="center"/>
                    <w:rPr>
                      <w:rFonts w:ascii="Times New Roman" w:hAnsi="Times New Roman" w:cs="Times New Roman"/>
                      <w:bCs/>
                    </w:rPr>
                  </w:pPr>
                  <w:r>
                    <w:rPr>
                      <w:rFonts w:hint="eastAsia" w:ascii="Times New Roman" w:hAnsi="Times New Roman" w:cs="Times New Roman"/>
                      <w:bCs/>
                    </w:rPr>
                    <w:t>60</w:t>
                  </w:r>
                </w:p>
              </w:tc>
              <w:tc>
                <w:tcPr>
                  <w:tcW w:w="584" w:type="dxa"/>
                  <w:vAlign w:val="center"/>
                </w:tcPr>
                <w:p w14:paraId="47535CFB">
                  <w:pPr>
                    <w:pStyle w:val="49"/>
                    <w:jc w:val="center"/>
                    <w:rPr>
                      <w:rFonts w:ascii="Times New Roman" w:hAnsi="Times New Roman" w:cs="Times New Roman"/>
                      <w:bCs/>
                    </w:rPr>
                  </w:pPr>
                  <w:r>
                    <w:rPr>
                      <w:rFonts w:hint="eastAsia" w:ascii="Times New Roman" w:hAnsi="Times New Roman" w:cs="Times New Roman"/>
                      <w:bCs/>
                    </w:rPr>
                    <w:t>25.4</w:t>
                  </w:r>
                </w:p>
              </w:tc>
              <w:tc>
                <w:tcPr>
                  <w:tcW w:w="1699" w:type="dxa"/>
                  <w:vMerge w:val="restart"/>
                  <w:vAlign w:val="center"/>
                </w:tcPr>
                <w:p w14:paraId="6422D828">
                  <w:pPr>
                    <w:pStyle w:val="49"/>
                    <w:jc w:val="center"/>
                    <w:rPr>
                      <w:rFonts w:ascii="Times New Roman" w:hAnsi="Times New Roman" w:cs="Times New Roman"/>
                      <w:bCs/>
                    </w:rPr>
                  </w:pPr>
                  <w:r>
                    <w:rPr>
                      <w:rFonts w:hint="eastAsia" w:ascii="Times New Roman" w:hAnsi="Times New Roman" w:cs="Times New Roman"/>
                      <w:bCs/>
                    </w:rPr>
                    <w:t>《煤炭工业污染物排放标准》（GB20426-2006）</w:t>
                  </w:r>
                </w:p>
              </w:tc>
              <w:tc>
                <w:tcPr>
                  <w:tcW w:w="1061" w:type="dxa"/>
                  <w:vAlign w:val="center"/>
                </w:tcPr>
                <w:p w14:paraId="27CB619B">
                  <w:pPr>
                    <w:pStyle w:val="49"/>
                    <w:jc w:val="center"/>
                    <w:rPr>
                      <w:rFonts w:ascii="Times New Roman" w:hAnsi="Times New Roman" w:cs="Times New Roman"/>
                      <w:bCs/>
                    </w:rPr>
                  </w:pPr>
                  <w:r>
                    <w:rPr>
                      <w:rFonts w:hint="eastAsia" w:ascii="Times New Roman" w:hAnsi="Times New Roman" w:cs="Times New Roman"/>
                      <w:bCs/>
                    </w:rPr>
                    <w:t>80</w:t>
                  </w:r>
                </w:p>
              </w:tc>
            </w:tr>
            <w:tr w14:paraId="33E4A9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2C5CACD8">
                  <w:pPr>
                    <w:pStyle w:val="49"/>
                    <w:jc w:val="center"/>
                    <w:rPr>
                      <w:rFonts w:ascii="Times New Roman" w:hAnsi="Times New Roman" w:cs="Times New Roman"/>
                      <w:bCs/>
                    </w:rPr>
                  </w:pPr>
                  <w:r>
                    <w:rPr>
                      <w:rFonts w:hint="eastAsia" w:ascii="Times New Roman" w:hAnsi="Times New Roman" w:cs="Times New Roman"/>
                      <w:bCs/>
                    </w:rPr>
                    <w:t>原煤仓粉尘</w:t>
                  </w:r>
                </w:p>
              </w:tc>
              <w:tc>
                <w:tcPr>
                  <w:tcW w:w="2134" w:type="dxa"/>
                  <w:vAlign w:val="center"/>
                </w:tcPr>
                <w:p w14:paraId="7A5F9476">
                  <w:pPr>
                    <w:pStyle w:val="49"/>
                    <w:jc w:val="center"/>
                    <w:rPr>
                      <w:rFonts w:ascii="Times New Roman" w:hAnsi="Times New Roman" w:cs="Times New Roman"/>
                      <w:bCs/>
                    </w:rPr>
                  </w:pPr>
                  <w:r>
                    <w:rPr>
                      <w:rFonts w:hint="eastAsia" w:ascii="Times New Roman" w:hAnsi="Times New Roman" w:cs="Times New Roman"/>
                      <w:bCs/>
                    </w:rPr>
                    <w:t>原煤仓仓顶选用TPBC-45-B型扁布袋除尘机组3台，单台除尘风量Q=5000m</w:t>
                  </w:r>
                  <w:r>
                    <w:rPr>
                      <w:rFonts w:hint="eastAsia" w:ascii="Times New Roman" w:hAnsi="Times New Roman" w:cs="Times New Roman"/>
                      <w:bCs/>
                      <w:vertAlign w:val="superscript"/>
                    </w:rPr>
                    <w:t>3</w:t>
                  </w:r>
                  <w:r>
                    <w:rPr>
                      <w:rFonts w:hint="eastAsia" w:ascii="Times New Roman" w:hAnsi="Times New Roman" w:cs="Times New Roman"/>
                      <w:bCs/>
                    </w:rPr>
                    <w:t>/h，处理效率≥98%</w:t>
                  </w:r>
                </w:p>
              </w:tc>
              <w:tc>
                <w:tcPr>
                  <w:tcW w:w="890" w:type="dxa"/>
                  <w:vAlign w:val="center"/>
                </w:tcPr>
                <w:p w14:paraId="3FCF6356">
                  <w:pPr>
                    <w:pStyle w:val="49"/>
                    <w:jc w:val="center"/>
                    <w:rPr>
                      <w:rFonts w:ascii="Times New Roman" w:hAnsi="Times New Roman" w:cs="Times New Roman"/>
                      <w:bCs/>
                    </w:rPr>
                  </w:pPr>
                  <w:r>
                    <w:rPr>
                      <w:rFonts w:hint="eastAsia" w:ascii="Times New Roman" w:hAnsi="Times New Roman" w:cs="Times New Roman"/>
                      <w:bCs/>
                    </w:rPr>
                    <w:t>颗粒物</w:t>
                  </w:r>
                </w:p>
              </w:tc>
              <w:tc>
                <w:tcPr>
                  <w:tcW w:w="942" w:type="dxa"/>
                  <w:vAlign w:val="center"/>
                </w:tcPr>
                <w:p w14:paraId="1222A673">
                  <w:pPr>
                    <w:pStyle w:val="49"/>
                    <w:jc w:val="center"/>
                    <w:rPr>
                      <w:rFonts w:ascii="Times New Roman" w:hAnsi="Times New Roman" w:cs="Times New Roman"/>
                      <w:bCs/>
                    </w:rPr>
                  </w:pPr>
                  <w:r>
                    <w:rPr>
                      <w:rFonts w:ascii="Times New Roman" w:hAnsi="Times New Roman" w:cs="Times New Roman"/>
                      <w:bCs/>
                    </w:rPr>
                    <w:t>60</w:t>
                  </w:r>
                </w:p>
              </w:tc>
              <w:tc>
                <w:tcPr>
                  <w:tcW w:w="584" w:type="dxa"/>
                  <w:vAlign w:val="center"/>
                </w:tcPr>
                <w:p w14:paraId="565832D6">
                  <w:pPr>
                    <w:pStyle w:val="49"/>
                    <w:jc w:val="center"/>
                    <w:rPr>
                      <w:rFonts w:ascii="Times New Roman" w:hAnsi="Times New Roman" w:cs="Times New Roman"/>
                      <w:bCs/>
                    </w:rPr>
                  </w:pPr>
                  <w:r>
                    <w:rPr>
                      <w:rFonts w:hint="eastAsia" w:ascii="Times New Roman" w:hAnsi="Times New Roman" w:cs="Times New Roman"/>
                      <w:bCs/>
                    </w:rPr>
                    <w:t>4.8</w:t>
                  </w:r>
                </w:p>
              </w:tc>
              <w:tc>
                <w:tcPr>
                  <w:tcW w:w="1699" w:type="dxa"/>
                  <w:vMerge w:val="continue"/>
                  <w:vAlign w:val="center"/>
                </w:tcPr>
                <w:p w14:paraId="10A32A44">
                  <w:pPr>
                    <w:pStyle w:val="49"/>
                    <w:jc w:val="center"/>
                    <w:rPr>
                      <w:rFonts w:ascii="Times New Roman" w:hAnsi="Times New Roman" w:cs="Times New Roman"/>
                      <w:bCs/>
                    </w:rPr>
                  </w:pPr>
                </w:p>
              </w:tc>
              <w:tc>
                <w:tcPr>
                  <w:tcW w:w="1061" w:type="dxa"/>
                  <w:vAlign w:val="center"/>
                </w:tcPr>
                <w:p w14:paraId="5E99231B">
                  <w:pPr>
                    <w:pStyle w:val="49"/>
                    <w:jc w:val="center"/>
                    <w:rPr>
                      <w:rFonts w:ascii="Times New Roman" w:hAnsi="Times New Roman" w:cs="Times New Roman"/>
                      <w:bCs/>
                    </w:rPr>
                  </w:pPr>
                  <w:r>
                    <w:rPr>
                      <w:rFonts w:ascii="Times New Roman" w:hAnsi="Times New Roman" w:cs="Times New Roman"/>
                      <w:bCs/>
                    </w:rPr>
                    <w:t>80</w:t>
                  </w:r>
                </w:p>
              </w:tc>
            </w:tr>
            <w:tr w14:paraId="3FE4CF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7DA60C29">
                  <w:pPr>
                    <w:pStyle w:val="49"/>
                    <w:jc w:val="center"/>
                    <w:rPr>
                      <w:rFonts w:ascii="Times New Roman" w:hAnsi="Times New Roman" w:cs="Times New Roman"/>
                      <w:bCs/>
                    </w:rPr>
                  </w:pPr>
                  <w:r>
                    <w:rPr>
                      <w:rFonts w:hint="eastAsia" w:ascii="Times New Roman" w:hAnsi="Times New Roman" w:cs="Times New Roman"/>
                      <w:bCs/>
                    </w:rPr>
                    <w:t>其他仓储粉尘</w:t>
                  </w:r>
                </w:p>
              </w:tc>
              <w:tc>
                <w:tcPr>
                  <w:tcW w:w="2134" w:type="dxa"/>
                  <w:vAlign w:val="center"/>
                </w:tcPr>
                <w:p w14:paraId="662D82AB">
                  <w:pPr>
                    <w:pStyle w:val="49"/>
                    <w:jc w:val="center"/>
                    <w:rPr>
                      <w:rFonts w:ascii="Times New Roman" w:hAnsi="Times New Roman" w:cs="Times New Roman"/>
                      <w:bCs/>
                    </w:rPr>
                  </w:pPr>
                  <w:r>
                    <w:rPr>
                      <w:rFonts w:hint="eastAsia" w:ascii="Times New Roman" w:hAnsi="Times New Roman" w:cs="Times New Roman"/>
                      <w:bCs/>
                    </w:rPr>
                    <w:t>产品仓、矸石仓仓顶室等主要扬尘点设置通风除尘设备，各环节合设一套DL系列单机袋式除尘机组，评价要求1号转载点增设一套DL系列单机袋式除尘机组，处理效率≥98%</w:t>
                  </w:r>
                </w:p>
              </w:tc>
              <w:tc>
                <w:tcPr>
                  <w:tcW w:w="890" w:type="dxa"/>
                  <w:vAlign w:val="center"/>
                </w:tcPr>
                <w:p w14:paraId="7AFACB09">
                  <w:pPr>
                    <w:pStyle w:val="49"/>
                    <w:jc w:val="center"/>
                    <w:rPr>
                      <w:rFonts w:ascii="Times New Roman" w:hAnsi="Times New Roman" w:cs="Times New Roman"/>
                      <w:bCs/>
                    </w:rPr>
                  </w:pPr>
                  <w:r>
                    <w:rPr>
                      <w:rFonts w:hint="eastAsia" w:ascii="Times New Roman" w:hAnsi="Times New Roman" w:cs="Times New Roman"/>
                      <w:bCs/>
                    </w:rPr>
                    <w:t>颗粒物</w:t>
                  </w:r>
                </w:p>
              </w:tc>
              <w:tc>
                <w:tcPr>
                  <w:tcW w:w="942" w:type="dxa"/>
                  <w:vAlign w:val="center"/>
                </w:tcPr>
                <w:p w14:paraId="024C0E36">
                  <w:pPr>
                    <w:pStyle w:val="49"/>
                    <w:jc w:val="center"/>
                    <w:rPr>
                      <w:rFonts w:ascii="Times New Roman" w:hAnsi="Times New Roman" w:cs="Times New Roman"/>
                      <w:bCs/>
                    </w:rPr>
                  </w:pPr>
                  <w:r>
                    <w:rPr>
                      <w:rFonts w:ascii="Times New Roman" w:hAnsi="Times New Roman" w:cs="Times New Roman"/>
                      <w:bCs/>
                    </w:rPr>
                    <w:t>60</w:t>
                  </w:r>
                </w:p>
              </w:tc>
              <w:tc>
                <w:tcPr>
                  <w:tcW w:w="584" w:type="dxa"/>
                  <w:vAlign w:val="center"/>
                </w:tcPr>
                <w:p w14:paraId="3AC9DD7F">
                  <w:pPr>
                    <w:pStyle w:val="49"/>
                    <w:jc w:val="center"/>
                    <w:rPr>
                      <w:rFonts w:ascii="Times New Roman" w:hAnsi="Times New Roman" w:cs="Times New Roman"/>
                      <w:bCs/>
                    </w:rPr>
                  </w:pPr>
                  <w:r>
                    <w:rPr>
                      <w:rFonts w:hint="eastAsia" w:ascii="Times New Roman" w:hAnsi="Times New Roman" w:cs="Times New Roman"/>
                      <w:bCs/>
                    </w:rPr>
                    <w:t>19.1</w:t>
                  </w:r>
                </w:p>
              </w:tc>
              <w:tc>
                <w:tcPr>
                  <w:tcW w:w="1699" w:type="dxa"/>
                  <w:vMerge w:val="continue"/>
                  <w:vAlign w:val="center"/>
                </w:tcPr>
                <w:p w14:paraId="6D432D99">
                  <w:pPr>
                    <w:pStyle w:val="49"/>
                    <w:jc w:val="center"/>
                    <w:rPr>
                      <w:rFonts w:ascii="Times New Roman" w:hAnsi="Times New Roman" w:cs="Times New Roman"/>
                      <w:bCs/>
                    </w:rPr>
                  </w:pPr>
                </w:p>
              </w:tc>
              <w:tc>
                <w:tcPr>
                  <w:tcW w:w="1061" w:type="dxa"/>
                  <w:vAlign w:val="center"/>
                </w:tcPr>
                <w:p w14:paraId="45393CF8">
                  <w:pPr>
                    <w:pStyle w:val="49"/>
                    <w:jc w:val="center"/>
                    <w:rPr>
                      <w:rFonts w:ascii="Times New Roman" w:hAnsi="Times New Roman" w:cs="Times New Roman"/>
                      <w:bCs/>
                    </w:rPr>
                  </w:pPr>
                  <w:r>
                    <w:rPr>
                      <w:rFonts w:ascii="Times New Roman" w:hAnsi="Times New Roman" w:cs="Times New Roman"/>
                      <w:bCs/>
                    </w:rPr>
                    <w:t>80</w:t>
                  </w:r>
                </w:p>
              </w:tc>
            </w:tr>
            <w:tr w14:paraId="2B7CB3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7A8AC8CA">
                  <w:pPr>
                    <w:pStyle w:val="49"/>
                    <w:jc w:val="center"/>
                    <w:rPr>
                      <w:rFonts w:ascii="Times New Roman" w:hAnsi="Times New Roman" w:cs="Times New Roman"/>
                      <w:bCs/>
                    </w:rPr>
                  </w:pPr>
                  <w:r>
                    <w:rPr>
                      <w:rFonts w:hint="eastAsia" w:ascii="Times New Roman" w:hAnsi="Times New Roman" w:cs="Times New Roman"/>
                      <w:bCs/>
                    </w:rPr>
                    <w:t>输煤栈桥粉尘</w:t>
                  </w:r>
                </w:p>
              </w:tc>
              <w:tc>
                <w:tcPr>
                  <w:tcW w:w="2134" w:type="dxa"/>
                  <w:vAlign w:val="center"/>
                </w:tcPr>
                <w:p w14:paraId="3945D8C1">
                  <w:pPr>
                    <w:pStyle w:val="49"/>
                    <w:jc w:val="center"/>
                    <w:rPr>
                      <w:rFonts w:ascii="Times New Roman" w:hAnsi="Times New Roman" w:cs="Times New Roman"/>
                      <w:bCs/>
                    </w:rPr>
                  </w:pPr>
                  <w:r>
                    <w:rPr>
                      <w:rFonts w:hint="eastAsia" w:ascii="Times New Roman" w:hAnsi="Times New Roman" w:cs="Times New Roman"/>
                      <w:bCs/>
                    </w:rPr>
                    <w:t>全封闭，场地内煤炭加工运输系统各原煤转载点均设置喷雾洒水抑尘装置</w:t>
                  </w:r>
                </w:p>
              </w:tc>
              <w:tc>
                <w:tcPr>
                  <w:tcW w:w="890" w:type="dxa"/>
                  <w:vAlign w:val="center"/>
                </w:tcPr>
                <w:p w14:paraId="47994931">
                  <w:pPr>
                    <w:pStyle w:val="49"/>
                    <w:jc w:val="center"/>
                    <w:rPr>
                      <w:rFonts w:ascii="Times New Roman" w:hAnsi="Times New Roman" w:cs="Times New Roman"/>
                      <w:bCs/>
                    </w:rPr>
                  </w:pPr>
                  <w:r>
                    <w:rPr>
                      <w:rFonts w:hint="eastAsia" w:ascii="Times New Roman" w:hAnsi="Times New Roman" w:cs="Times New Roman"/>
                      <w:bCs/>
                    </w:rPr>
                    <w:t>颗粒物</w:t>
                  </w:r>
                </w:p>
              </w:tc>
              <w:tc>
                <w:tcPr>
                  <w:tcW w:w="1526" w:type="dxa"/>
                  <w:gridSpan w:val="2"/>
                  <w:vAlign w:val="center"/>
                </w:tcPr>
                <w:p w14:paraId="4A31610D">
                  <w:pPr>
                    <w:pStyle w:val="49"/>
                    <w:jc w:val="center"/>
                    <w:rPr>
                      <w:rFonts w:ascii="Times New Roman" w:hAnsi="Times New Roman" w:cs="Times New Roman"/>
                      <w:bCs/>
                    </w:rPr>
                  </w:pPr>
                  <w:r>
                    <w:rPr>
                      <w:rFonts w:hint="eastAsia" w:ascii="Times New Roman" w:hAnsi="Times New Roman" w:cs="Times New Roman"/>
                      <w:bCs/>
                    </w:rPr>
                    <w:t>少量粉尘，无组织排放</w:t>
                  </w:r>
                </w:p>
              </w:tc>
              <w:tc>
                <w:tcPr>
                  <w:tcW w:w="1699" w:type="dxa"/>
                  <w:vMerge w:val="restart"/>
                  <w:vAlign w:val="center"/>
                </w:tcPr>
                <w:p w14:paraId="63650FC7">
                  <w:pPr>
                    <w:pStyle w:val="49"/>
                    <w:jc w:val="center"/>
                    <w:rPr>
                      <w:rFonts w:ascii="Times New Roman" w:hAnsi="Times New Roman" w:cs="Times New Roman"/>
                      <w:bCs/>
                    </w:rPr>
                  </w:pPr>
                  <w:r>
                    <w:rPr>
                      <w:rFonts w:hint="eastAsia" w:ascii="Times New Roman" w:hAnsi="Times New Roman" w:cs="Times New Roman"/>
                      <w:bCs/>
                    </w:rPr>
                    <w:t>《煤炭工业污染物排放标准》（GB20426-2006）中无组织排放标准</w:t>
                  </w:r>
                </w:p>
              </w:tc>
              <w:tc>
                <w:tcPr>
                  <w:tcW w:w="1061" w:type="dxa"/>
                  <w:vMerge w:val="restart"/>
                  <w:vAlign w:val="center"/>
                </w:tcPr>
                <w:p w14:paraId="371B4040">
                  <w:pPr>
                    <w:pStyle w:val="49"/>
                    <w:jc w:val="center"/>
                    <w:rPr>
                      <w:rFonts w:ascii="Times New Roman" w:hAnsi="Times New Roman" w:cs="Times New Roman"/>
                      <w:bCs/>
                    </w:rPr>
                  </w:pPr>
                  <w:r>
                    <w:rPr>
                      <w:rFonts w:hint="eastAsia" w:ascii="Times New Roman" w:hAnsi="Times New Roman" w:cs="Times New Roman"/>
                      <w:bCs/>
                    </w:rPr>
                    <w:t>1.0</w:t>
                  </w:r>
                </w:p>
              </w:tc>
            </w:tr>
            <w:tr w14:paraId="5B13A1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1BD4909A">
                  <w:pPr>
                    <w:pStyle w:val="49"/>
                    <w:jc w:val="center"/>
                    <w:rPr>
                      <w:rFonts w:ascii="Times New Roman" w:hAnsi="Times New Roman" w:cs="Times New Roman"/>
                      <w:bCs/>
                    </w:rPr>
                  </w:pPr>
                  <w:r>
                    <w:rPr>
                      <w:rFonts w:hint="eastAsia" w:ascii="Times New Roman" w:hAnsi="Times New Roman" w:cs="Times New Roman"/>
                      <w:bCs/>
                    </w:rPr>
                    <w:t>矸石周转场</w:t>
                  </w:r>
                </w:p>
              </w:tc>
              <w:tc>
                <w:tcPr>
                  <w:tcW w:w="2134" w:type="dxa"/>
                  <w:vAlign w:val="center"/>
                </w:tcPr>
                <w:p w14:paraId="44BC35FE">
                  <w:pPr>
                    <w:pStyle w:val="49"/>
                    <w:jc w:val="center"/>
                    <w:rPr>
                      <w:rFonts w:ascii="Times New Roman" w:hAnsi="Times New Roman" w:cs="Times New Roman"/>
                      <w:bCs/>
                    </w:rPr>
                  </w:pPr>
                  <w:r>
                    <w:rPr>
                      <w:rFonts w:hint="eastAsia" w:ascii="Times New Roman" w:hAnsi="Times New Roman" w:cs="Times New Roman"/>
                      <w:bCs/>
                    </w:rPr>
                    <w:t>设洒水车进行洒水抑尘，加强绿化</w:t>
                  </w:r>
                </w:p>
              </w:tc>
              <w:tc>
                <w:tcPr>
                  <w:tcW w:w="890" w:type="dxa"/>
                  <w:vAlign w:val="center"/>
                </w:tcPr>
                <w:p w14:paraId="03702725">
                  <w:pPr>
                    <w:pStyle w:val="49"/>
                    <w:jc w:val="center"/>
                    <w:rPr>
                      <w:rFonts w:ascii="Times New Roman" w:hAnsi="Times New Roman" w:cs="Times New Roman"/>
                      <w:bCs/>
                    </w:rPr>
                  </w:pPr>
                  <w:r>
                    <w:rPr>
                      <w:rFonts w:hint="eastAsia" w:ascii="Times New Roman" w:hAnsi="Times New Roman" w:cs="Times New Roman"/>
                      <w:bCs/>
                    </w:rPr>
                    <w:t>颗粒物</w:t>
                  </w:r>
                </w:p>
              </w:tc>
              <w:tc>
                <w:tcPr>
                  <w:tcW w:w="1526" w:type="dxa"/>
                  <w:gridSpan w:val="2"/>
                  <w:vAlign w:val="center"/>
                </w:tcPr>
                <w:p w14:paraId="009A7011">
                  <w:pPr>
                    <w:pStyle w:val="49"/>
                    <w:jc w:val="center"/>
                    <w:rPr>
                      <w:rFonts w:ascii="Times New Roman" w:hAnsi="Times New Roman" w:cs="Times New Roman"/>
                      <w:bCs/>
                    </w:rPr>
                  </w:pPr>
                  <w:r>
                    <w:rPr>
                      <w:rFonts w:hint="eastAsia" w:ascii="Times New Roman" w:hAnsi="Times New Roman" w:cs="Times New Roman"/>
                      <w:bCs/>
                    </w:rPr>
                    <w:t>少量粉尘，无组织排放</w:t>
                  </w:r>
                </w:p>
              </w:tc>
              <w:tc>
                <w:tcPr>
                  <w:tcW w:w="1699" w:type="dxa"/>
                  <w:vMerge w:val="continue"/>
                  <w:vAlign w:val="center"/>
                </w:tcPr>
                <w:p w14:paraId="3FC9E370">
                  <w:pPr>
                    <w:pStyle w:val="49"/>
                    <w:jc w:val="center"/>
                    <w:rPr>
                      <w:rFonts w:ascii="Times New Roman" w:hAnsi="Times New Roman" w:cs="Times New Roman"/>
                      <w:bCs/>
                    </w:rPr>
                  </w:pPr>
                </w:p>
              </w:tc>
              <w:tc>
                <w:tcPr>
                  <w:tcW w:w="1061" w:type="dxa"/>
                  <w:vMerge w:val="continue"/>
                  <w:vAlign w:val="center"/>
                </w:tcPr>
                <w:p w14:paraId="3F27206C">
                  <w:pPr>
                    <w:pStyle w:val="49"/>
                    <w:jc w:val="center"/>
                    <w:rPr>
                      <w:rFonts w:ascii="Times New Roman" w:hAnsi="Times New Roman" w:cs="Times New Roman"/>
                      <w:bCs/>
                    </w:rPr>
                  </w:pPr>
                </w:p>
              </w:tc>
            </w:tr>
            <w:tr w14:paraId="41EA56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79DBA909">
                  <w:pPr>
                    <w:pStyle w:val="49"/>
                    <w:jc w:val="center"/>
                    <w:rPr>
                      <w:rFonts w:ascii="Times New Roman" w:hAnsi="Times New Roman" w:cs="Times New Roman"/>
                      <w:bCs/>
                    </w:rPr>
                  </w:pPr>
                  <w:r>
                    <w:rPr>
                      <w:rFonts w:hint="eastAsia" w:ascii="Times New Roman" w:hAnsi="Times New Roman" w:cs="Times New Roman"/>
                      <w:bCs/>
                    </w:rPr>
                    <w:t>道路</w:t>
                  </w:r>
                </w:p>
              </w:tc>
              <w:tc>
                <w:tcPr>
                  <w:tcW w:w="2134" w:type="dxa"/>
                  <w:vAlign w:val="center"/>
                </w:tcPr>
                <w:p w14:paraId="7AF0A644">
                  <w:pPr>
                    <w:pStyle w:val="49"/>
                    <w:jc w:val="center"/>
                    <w:rPr>
                      <w:rFonts w:ascii="Times New Roman" w:hAnsi="Times New Roman" w:cs="Times New Roman"/>
                      <w:bCs/>
                    </w:rPr>
                  </w:pPr>
                  <w:r>
                    <w:rPr>
                      <w:rFonts w:hint="eastAsia" w:ascii="Times New Roman" w:hAnsi="Times New Roman" w:cs="Times New Roman"/>
                      <w:bCs/>
                    </w:rPr>
                    <w:t>道路硬化、两侧植树绿化、定期洒水和清扫</w:t>
                  </w:r>
                </w:p>
              </w:tc>
              <w:tc>
                <w:tcPr>
                  <w:tcW w:w="890" w:type="dxa"/>
                  <w:vAlign w:val="center"/>
                </w:tcPr>
                <w:p w14:paraId="7D278366">
                  <w:pPr>
                    <w:pStyle w:val="49"/>
                    <w:jc w:val="center"/>
                    <w:rPr>
                      <w:rFonts w:ascii="Times New Roman" w:hAnsi="Times New Roman" w:cs="Times New Roman"/>
                      <w:bCs/>
                    </w:rPr>
                  </w:pPr>
                  <w:r>
                    <w:rPr>
                      <w:rFonts w:hint="eastAsia" w:ascii="Times New Roman" w:hAnsi="Times New Roman" w:cs="Times New Roman"/>
                      <w:bCs/>
                    </w:rPr>
                    <w:t>颗粒物</w:t>
                  </w:r>
                </w:p>
              </w:tc>
              <w:tc>
                <w:tcPr>
                  <w:tcW w:w="1526" w:type="dxa"/>
                  <w:gridSpan w:val="2"/>
                  <w:vAlign w:val="center"/>
                </w:tcPr>
                <w:p w14:paraId="6FE8D444">
                  <w:pPr>
                    <w:pStyle w:val="49"/>
                    <w:jc w:val="center"/>
                    <w:rPr>
                      <w:rFonts w:ascii="Times New Roman" w:hAnsi="Times New Roman" w:cs="Times New Roman"/>
                      <w:bCs/>
                    </w:rPr>
                  </w:pPr>
                  <w:r>
                    <w:rPr>
                      <w:rFonts w:hint="eastAsia" w:ascii="Times New Roman" w:hAnsi="Times New Roman" w:cs="Times New Roman"/>
                      <w:bCs/>
                    </w:rPr>
                    <w:t>少量粉尘，无组织排放</w:t>
                  </w:r>
                </w:p>
              </w:tc>
              <w:tc>
                <w:tcPr>
                  <w:tcW w:w="1699" w:type="dxa"/>
                  <w:vMerge w:val="continue"/>
                  <w:vAlign w:val="center"/>
                </w:tcPr>
                <w:p w14:paraId="52242A6A">
                  <w:pPr>
                    <w:pStyle w:val="49"/>
                    <w:jc w:val="center"/>
                    <w:rPr>
                      <w:rFonts w:ascii="Times New Roman" w:hAnsi="Times New Roman" w:cs="Times New Roman"/>
                      <w:bCs/>
                    </w:rPr>
                  </w:pPr>
                </w:p>
              </w:tc>
              <w:tc>
                <w:tcPr>
                  <w:tcW w:w="1061" w:type="dxa"/>
                  <w:vMerge w:val="continue"/>
                  <w:vAlign w:val="center"/>
                </w:tcPr>
                <w:p w14:paraId="507C0C22">
                  <w:pPr>
                    <w:pStyle w:val="49"/>
                    <w:jc w:val="center"/>
                    <w:rPr>
                      <w:rFonts w:ascii="Times New Roman" w:hAnsi="Times New Roman" w:cs="Times New Roman"/>
                      <w:bCs/>
                    </w:rPr>
                  </w:pPr>
                </w:p>
              </w:tc>
            </w:tr>
            <w:tr w14:paraId="3CC7B9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restart"/>
                  <w:vAlign w:val="center"/>
                </w:tcPr>
                <w:p w14:paraId="62ECEB5B">
                  <w:pPr>
                    <w:pStyle w:val="49"/>
                    <w:jc w:val="center"/>
                    <w:rPr>
                      <w:rFonts w:ascii="Times New Roman" w:hAnsi="Times New Roman" w:cs="Times New Roman"/>
                      <w:bCs/>
                    </w:rPr>
                  </w:pPr>
                  <w:r>
                    <w:rPr>
                      <w:rFonts w:hint="eastAsia" w:ascii="Times New Roman" w:hAnsi="Times New Roman" w:cs="Times New Roman"/>
                      <w:bCs/>
                    </w:rPr>
                    <w:t>矿井水</w:t>
                  </w:r>
                </w:p>
              </w:tc>
              <w:tc>
                <w:tcPr>
                  <w:tcW w:w="2134" w:type="dxa"/>
                  <w:vMerge w:val="restart"/>
                  <w:vAlign w:val="center"/>
                </w:tcPr>
                <w:p w14:paraId="360DDF6C">
                  <w:pPr>
                    <w:pStyle w:val="49"/>
                    <w:jc w:val="center"/>
                    <w:rPr>
                      <w:rFonts w:ascii="Times New Roman" w:hAnsi="Times New Roman" w:cs="Times New Roman"/>
                      <w:bCs/>
                    </w:rPr>
                  </w:pPr>
                  <w:r>
                    <w:rPr>
                      <w:rFonts w:hint="eastAsia" w:ascii="Times New Roman" w:hAnsi="Times New Roman" w:cs="Times New Roman"/>
                      <w:bCs/>
                    </w:rPr>
                    <w:t>工业场地设一座处理规模为8000m</w:t>
                  </w:r>
                  <w:r>
                    <w:rPr>
                      <w:rFonts w:hint="eastAsia" w:ascii="Times New Roman" w:hAnsi="Times New Roman" w:cs="Times New Roman"/>
                      <w:bCs/>
                      <w:vertAlign w:val="superscript"/>
                    </w:rPr>
                    <w:t>3</w:t>
                  </w:r>
                  <w:r>
                    <w:rPr>
                      <w:rFonts w:hint="eastAsia" w:ascii="Times New Roman" w:hAnsi="Times New Roman" w:cs="Times New Roman"/>
                      <w:bCs/>
                    </w:rPr>
                    <w:t>/d的矿井水处理站，采用混凝沉淀过滤消毒处理工艺，对SS和COD的去除效率分别为90%和90%。处理后全部回用不外排</w:t>
                  </w:r>
                </w:p>
              </w:tc>
              <w:tc>
                <w:tcPr>
                  <w:tcW w:w="890" w:type="dxa"/>
                  <w:vAlign w:val="center"/>
                </w:tcPr>
                <w:p w14:paraId="4D40F226">
                  <w:pPr>
                    <w:pStyle w:val="49"/>
                    <w:jc w:val="center"/>
                    <w:rPr>
                      <w:rFonts w:ascii="Times New Roman" w:hAnsi="Times New Roman" w:cs="Times New Roman"/>
                      <w:bCs/>
                    </w:rPr>
                  </w:pPr>
                  <w:r>
                    <w:rPr>
                      <w:rFonts w:hint="eastAsia" w:ascii="Times New Roman" w:hAnsi="Times New Roman" w:cs="Times New Roman"/>
                      <w:bCs/>
                    </w:rPr>
                    <w:t>水量</w:t>
                  </w:r>
                </w:p>
              </w:tc>
              <w:tc>
                <w:tcPr>
                  <w:tcW w:w="942" w:type="dxa"/>
                  <w:vAlign w:val="center"/>
                </w:tcPr>
                <w:p w14:paraId="00545C25">
                  <w:pPr>
                    <w:pStyle w:val="49"/>
                    <w:jc w:val="center"/>
                    <w:rPr>
                      <w:rFonts w:ascii="Times New Roman" w:hAnsi="Times New Roman" w:cs="Times New Roman"/>
                      <w:bCs/>
                    </w:rPr>
                  </w:pPr>
                  <w:r>
                    <w:rPr>
                      <w:rFonts w:hint="eastAsia" w:ascii="Times New Roman" w:hAnsi="Times New Roman" w:cs="Times New Roman"/>
                      <w:bCs/>
                    </w:rPr>
                    <w:t>/</w:t>
                  </w:r>
                </w:p>
              </w:tc>
              <w:tc>
                <w:tcPr>
                  <w:tcW w:w="584" w:type="dxa"/>
                  <w:vAlign w:val="center"/>
                </w:tcPr>
                <w:p w14:paraId="4F967352">
                  <w:pPr>
                    <w:pStyle w:val="49"/>
                    <w:jc w:val="center"/>
                    <w:rPr>
                      <w:rFonts w:ascii="Times New Roman" w:hAnsi="Times New Roman" w:cs="Times New Roman"/>
                      <w:bCs/>
                    </w:rPr>
                  </w:pPr>
                  <w:r>
                    <w:rPr>
                      <w:rFonts w:hint="eastAsia" w:ascii="Times New Roman" w:hAnsi="Times New Roman" w:cs="Times New Roman"/>
                      <w:bCs/>
                    </w:rPr>
                    <w:t>0</w:t>
                  </w:r>
                </w:p>
              </w:tc>
              <w:tc>
                <w:tcPr>
                  <w:tcW w:w="2760" w:type="dxa"/>
                  <w:gridSpan w:val="2"/>
                  <w:vMerge w:val="restart"/>
                  <w:vAlign w:val="center"/>
                </w:tcPr>
                <w:p w14:paraId="0C65E9D1">
                  <w:pPr>
                    <w:pStyle w:val="49"/>
                    <w:jc w:val="center"/>
                    <w:rPr>
                      <w:rFonts w:ascii="Times New Roman" w:hAnsi="Times New Roman" w:cs="Times New Roman"/>
                      <w:bCs/>
                    </w:rPr>
                  </w:pPr>
                  <w:r>
                    <w:rPr>
                      <w:rFonts w:hint="eastAsia" w:ascii="Times New Roman" w:hAnsi="Times New Roman" w:cs="Times New Roman"/>
                      <w:bCs/>
                    </w:rPr>
                    <w:t>全部回用，不外排</w:t>
                  </w:r>
                </w:p>
              </w:tc>
            </w:tr>
            <w:tr w14:paraId="28D3BA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continue"/>
                  <w:vAlign w:val="center"/>
                </w:tcPr>
                <w:p w14:paraId="60C56352">
                  <w:pPr>
                    <w:pStyle w:val="49"/>
                    <w:jc w:val="center"/>
                    <w:rPr>
                      <w:rFonts w:ascii="Times New Roman" w:hAnsi="Times New Roman" w:cs="Times New Roman"/>
                      <w:bCs/>
                    </w:rPr>
                  </w:pPr>
                </w:p>
              </w:tc>
              <w:tc>
                <w:tcPr>
                  <w:tcW w:w="2134" w:type="dxa"/>
                  <w:vMerge w:val="continue"/>
                  <w:vAlign w:val="center"/>
                </w:tcPr>
                <w:p w14:paraId="0F802A5E">
                  <w:pPr>
                    <w:pStyle w:val="49"/>
                    <w:jc w:val="center"/>
                    <w:rPr>
                      <w:rFonts w:ascii="Times New Roman" w:hAnsi="Times New Roman" w:cs="Times New Roman"/>
                      <w:bCs/>
                    </w:rPr>
                  </w:pPr>
                </w:p>
              </w:tc>
              <w:tc>
                <w:tcPr>
                  <w:tcW w:w="890" w:type="dxa"/>
                  <w:vAlign w:val="center"/>
                </w:tcPr>
                <w:p w14:paraId="42E60900">
                  <w:pPr>
                    <w:pStyle w:val="49"/>
                    <w:jc w:val="center"/>
                    <w:rPr>
                      <w:rFonts w:ascii="Times New Roman" w:hAnsi="Times New Roman" w:cs="Times New Roman"/>
                      <w:bCs/>
                    </w:rPr>
                  </w:pPr>
                  <w:r>
                    <w:rPr>
                      <w:rFonts w:hint="eastAsia" w:ascii="Times New Roman" w:hAnsi="Times New Roman" w:cs="Times New Roman"/>
                      <w:bCs/>
                    </w:rPr>
                    <w:t>SS</w:t>
                  </w:r>
                </w:p>
              </w:tc>
              <w:tc>
                <w:tcPr>
                  <w:tcW w:w="942" w:type="dxa"/>
                  <w:vAlign w:val="center"/>
                </w:tcPr>
                <w:p w14:paraId="1B391A21">
                  <w:pPr>
                    <w:pStyle w:val="49"/>
                    <w:jc w:val="center"/>
                    <w:rPr>
                      <w:rFonts w:ascii="Times New Roman" w:hAnsi="Times New Roman" w:cs="Times New Roman"/>
                      <w:bCs/>
                    </w:rPr>
                  </w:pPr>
                  <w:r>
                    <w:rPr>
                      <w:rFonts w:hint="eastAsia" w:ascii="Times New Roman" w:hAnsi="Times New Roman" w:cs="Times New Roman"/>
                      <w:bCs/>
                    </w:rPr>
                    <w:t>30mg/L</w:t>
                  </w:r>
                </w:p>
              </w:tc>
              <w:tc>
                <w:tcPr>
                  <w:tcW w:w="584" w:type="dxa"/>
                  <w:vAlign w:val="center"/>
                </w:tcPr>
                <w:p w14:paraId="0DF42F54">
                  <w:pPr>
                    <w:pStyle w:val="49"/>
                    <w:jc w:val="center"/>
                    <w:rPr>
                      <w:rFonts w:ascii="Times New Roman" w:hAnsi="Times New Roman" w:cs="Times New Roman"/>
                      <w:bCs/>
                    </w:rPr>
                  </w:pPr>
                  <w:r>
                    <w:rPr>
                      <w:rFonts w:hint="eastAsia" w:ascii="Times New Roman" w:hAnsi="Times New Roman" w:cs="Times New Roman"/>
                      <w:bCs/>
                    </w:rPr>
                    <w:t>0</w:t>
                  </w:r>
                </w:p>
              </w:tc>
              <w:tc>
                <w:tcPr>
                  <w:tcW w:w="2760" w:type="dxa"/>
                  <w:gridSpan w:val="2"/>
                  <w:vMerge w:val="continue"/>
                  <w:vAlign w:val="center"/>
                </w:tcPr>
                <w:p w14:paraId="7F317EA0">
                  <w:pPr>
                    <w:pStyle w:val="49"/>
                    <w:jc w:val="center"/>
                    <w:rPr>
                      <w:rFonts w:ascii="Times New Roman" w:hAnsi="Times New Roman" w:cs="Times New Roman"/>
                      <w:bCs/>
                    </w:rPr>
                  </w:pPr>
                </w:p>
              </w:tc>
            </w:tr>
            <w:tr w14:paraId="5CBE6D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continue"/>
                  <w:vAlign w:val="center"/>
                </w:tcPr>
                <w:p w14:paraId="2283C43B">
                  <w:pPr>
                    <w:pStyle w:val="49"/>
                    <w:jc w:val="center"/>
                    <w:rPr>
                      <w:rFonts w:ascii="Times New Roman" w:hAnsi="Times New Roman" w:cs="Times New Roman"/>
                      <w:bCs/>
                    </w:rPr>
                  </w:pPr>
                </w:p>
              </w:tc>
              <w:tc>
                <w:tcPr>
                  <w:tcW w:w="2134" w:type="dxa"/>
                  <w:vMerge w:val="continue"/>
                  <w:vAlign w:val="center"/>
                </w:tcPr>
                <w:p w14:paraId="340BE25A">
                  <w:pPr>
                    <w:pStyle w:val="49"/>
                    <w:jc w:val="center"/>
                    <w:rPr>
                      <w:rFonts w:ascii="Times New Roman" w:hAnsi="Times New Roman" w:cs="Times New Roman"/>
                      <w:bCs/>
                    </w:rPr>
                  </w:pPr>
                </w:p>
              </w:tc>
              <w:tc>
                <w:tcPr>
                  <w:tcW w:w="890" w:type="dxa"/>
                  <w:vAlign w:val="center"/>
                </w:tcPr>
                <w:p w14:paraId="46F76525">
                  <w:pPr>
                    <w:pStyle w:val="49"/>
                    <w:jc w:val="center"/>
                    <w:rPr>
                      <w:rFonts w:ascii="Times New Roman" w:hAnsi="Times New Roman" w:cs="Times New Roman"/>
                      <w:bCs/>
                    </w:rPr>
                  </w:pPr>
                  <w:r>
                    <w:rPr>
                      <w:rFonts w:hint="eastAsia" w:ascii="Times New Roman" w:hAnsi="Times New Roman" w:cs="Times New Roman"/>
                      <w:bCs/>
                    </w:rPr>
                    <w:t>COD</w:t>
                  </w:r>
                </w:p>
              </w:tc>
              <w:tc>
                <w:tcPr>
                  <w:tcW w:w="942" w:type="dxa"/>
                  <w:vAlign w:val="center"/>
                </w:tcPr>
                <w:p w14:paraId="012EAB94">
                  <w:pPr>
                    <w:pStyle w:val="49"/>
                    <w:jc w:val="center"/>
                    <w:rPr>
                      <w:rFonts w:ascii="Times New Roman" w:hAnsi="Times New Roman" w:cs="Times New Roman"/>
                      <w:bCs/>
                    </w:rPr>
                  </w:pPr>
                  <w:r>
                    <w:rPr>
                      <w:rFonts w:hint="eastAsia" w:ascii="Times New Roman" w:hAnsi="Times New Roman" w:cs="Times New Roman"/>
                      <w:bCs/>
                    </w:rPr>
                    <w:t>15</w:t>
                  </w:r>
                  <w:r>
                    <w:t xml:space="preserve"> </w:t>
                  </w:r>
                  <w:r>
                    <w:rPr>
                      <w:rFonts w:ascii="Times New Roman" w:hAnsi="Times New Roman" w:cs="Times New Roman"/>
                      <w:bCs/>
                    </w:rPr>
                    <w:t>mg/L</w:t>
                  </w:r>
                </w:p>
              </w:tc>
              <w:tc>
                <w:tcPr>
                  <w:tcW w:w="584" w:type="dxa"/>
                  <w:vAlign w:val="center"/>
                </w:tcPr>
                <w:p w14:paraId="1BF01D1A">
                  <w:pPr>
                    <w:pStyle w:val="49"/>
                    <w:jc w:val="center"/>
                    <w:rPr>
                      <w:rFonts w:ascii="Times New Roman" w:hAnsi="Times New Roman" w:cs="Times New Roman"/>
                      <w:bCs/>
                    </w:rPr>
                  </w:pPr>
                  <w:r>
                    <w:rPr>
                      <w:rFonts w:hint="eastAsia" w:ascii="Times New Roman" w:hAnsi="Times New Roman" w:cs="Times New Roman"/>
                      <w:bCs/>
                    </w:rPr>
                    <w:t>0</w:t>
                  </w:r>
                </w:p>
              </w:tc>
              <w:tc>
                <w:tcPr>
                  <w:tcW w:w="2760" w:type="dxa"/>
                  <w:gridSpan w:val="2"/>
                  <w:vMerge w:val="continue"/>
                  <w:vAlign w:val="center"/>
                </w:tcPr>
                <w:p w14:paraId="4088D775">
                  <w:pPr>
                    <w:pStyle w:val="49"/>
                    <w:jc w:val="center"/>
                    <w:rPr>
                      <w:rFonts w:ascii="Times New Roman" w:hAnsi="Times New Roman" w:cs="Times New Roman"/>
                      <w:bCs/>
                    </w:rPr>
                  </w:pPr>
                </w:p>
              </w:tc>
            </w:tr>
            <w:tr w14:paraId="2F7ABE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restart"/>
                  <w:vAlign w:val="center"/>
                </w:tcPr>
                <w:p w14:paraId="594369ED">
                  <w:pPr>
                    <w:pStyle w:val="49"/>
                    <w:jc w:val="center"/>
                    <w:rPr>
                      <w:rFonts w:ascii="Times New Roman" w:hAnsi="Times New Roman" w:cs="Times New Roman"/>
                      <w:bCs/>
                    </w:rPr>
                  </w:pPr>
                  <w:r>
                    <w:rPr>
                      <w:rFonts w:hint="eastAsia" w:ascii="Times New Roman" w:hAnsi="Times New Roman" w:cs="Times New Roman"/>
                      <w:bCs/>
                    </w:rPr>
                    <w:t>生活污水</w:t>
                  </w:r>
                </w:p>
              </w:tc>
              <w:tc>
                <w:tcPr>
                  <w:tcW w:w="2134" w:type="dxa"/>
                  <w:vMerge w:val="restart"/>
                  <w:vAlign w:val="center"/>
                </w:tcPr>
                <w:p w14:paraId="0A438BA2">
                  <w:pPr>
                    <w:pStyle w:val="49"/>
                    <w:jc w:val="center"/>
                    <w:rPr>
                      <w:rFonts w:ascii="Times New Roman" w:hAnsi="Times New Roman" w:cs="Times New Roman"/>
                      <w:bCs/>
                    </w:rPr>
                  </w:pPr>
                  <w:r>
                    <w:rPr>
                      <w:rFonts w:hint="eastAsia" w:ascii="Times New Roman" w:hAnsi="Times New Roman" w:cs="Times New Roman"/>
                      <w:bCs/>
                    </w:rPr>
                    <w:t>工业场地内设置处理能力为1200m3/d的生活污水处理站，采用二级生化和消毒处理工艺，对COD、BOD5、SS、氨氮的去除率分别为80%、95%、90%和33%。处理后全部回用不外排</w:t>
                  </w:r>
                </w:p>
              </w:tc>
              <w:tc>
                <w:tcPr>
                  <w:tcW w:w="890" w:type="dxa"/>
                  <w:vAlign w:val="center"/>
                </w:tcPr>
                <w:p w14:paraId="5C5073DB">
                  <w:pPr>
                    <w:pStyle w:val="49"/>
                    <w:jc w:val="center"/>
                    <w:rPr>
                      <w:rFonts w:ascii="Times New Roman" w:hAnsi="Times New Roman" w:cs="Times New Roman"/>
                      <w:bCs/>
                    </w:rPr>
                  </w:pPr>
                  <w:r>
                    <w:rPr>
                      <w:rFonts w:hint="eastAsia" w:ascii="Times New Roman" w:hAnsi="Times New Roman" w:cs="Times New Roman"/>
                      <w:bCs/>
                    </w:rPr>
                    <w:t>水量</w:t>
                  </w:r>
                </w:p>
              </w:tc>
              <w:tc>
                <w:tcPr>
                  <w:tcW w:w="942" w:type="dxa"/>
                  <w:vAlign w:val="center"/>
                </w:tcPr>
                <w:p w14:paraId="1F930496">
                  <w:pPr>
                    <w:pStyle w:val="49"/>
                    <w:jc w:val="center"/>
                    <w:rPr>
                      <w:rFonts w:ascii="Times New Roman" w:hAnsi="Times New Roman" w:cs="Times New Roman"/>
                      <w:bCs/>
                    </w:rPr>
                  </w:pPr>
                  <w:r>
                    <w:rPr>
                      <w:rFonts w:hint="eastAsia" w:ascii="Times New Roman" w:hAnsi="Times New Roman" w:cs="Times New Roman"/>
                      <w:bCs/>
                    </w:rPr>
                    <w:t>/</w:t>
                  </w:r>
                </w:p>
              </w:tc>
              <w:tc>
                <w:tcPr>
                  <w:tcW w:w="584" w:type="dxa"/>
                  <w:vAlign w:val="center"/>
                </w:tcPr>
                <w:p w14:paraId="157986A2">
                  <w:pPr>
                    <w:pStyle w:val="49"/>
                    <w:jc w:val="center"/>
                    <w:rPr>
                      <w:rFonts w:ascii="Times New Roman" w:hAnsi="Times New Roman" w:cs="Times New Roman"/>
                      <w:bCs/>
                    </w:rPr>
                  </w:pPr>
                  <w:r>
                    <w:rPr>
                      <w:rFonts w:hint="eastAsia" w:ascii="Times New Roman" w:hAnsi="Times New Roman" w:cs="Times New Roman"/>
                      <w:bCs/>
                    </w:rPr>
                    <w:t>0</w:t>
                  </w:r>
                </w:p>
              </w:tc>
              <w:tc>
                <w:tcPr>
                  <w:tcW w:w="2760" w:type="dxa"/>
                  <w:gridSpan w:val="2"/>
                  <w:vMerge w:val="restart"/>
                  <w:vAlign w:val="center"/>
                </w:tcPr>
                <w:p w14:paraId="02025B71">
                  <w:pPr>
                    <w:pStyle w:val="49"/>
                    <w:jc w:val="center"/>
                    <w:rPr>
                      <w:rFonts w:ascii="Times New Roman" w:hAnsi="Times New Roman" w:cs="Times New Roman"/>
                      <w:bCs/>
                    </w:rPr>
                  </w:pPr>
                  <w:r>
                    <w:rPr>
                      <w:rFonts w:hint="eastAsia" w:ascii="Times New Roman" w:hAnsi="Times New Roman" w:cs="Times New Roman"/>
                      <w:bCs/>
                    </w:rPr>
                    <w:t>全部回用至选煤厂生产补充水，不外排</w:t>
                  </w:r>
                </w:p>
              </w:tc>
            </w:tr>
            <w:tr w14:paraId="281298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continue"/>
                  <w:vAlign w:val="center"/>
                </w:tcPr>
                <w:p w14:paraId="1C00A577">
                  <w:pPr>
                    <w:pStyle w:val="49"/>
                    <w:jc w:val="center"/>
                    <w:rPr>
                      <w:rFonts w:ascii="Times New Roman" w:hAnsi="Times New Roman" w:cs="Times New Roman"/>
                      <w:bCs/>
                    </w:rPr>
                  </w:pPr>
                </w:p>
              </w:tc>
              <w:tc>
                <w:tcPr>
                  <w:tcW w:w="2134" w:type="dxa"/>
                  <w:vMerge w:val="continue"/>
                  <w:vAlign w:val="center"/>
                </w:tcPr>
                <w:p w14:paraId="5FD88731">
                  <w:pPr>
                    <w:pStyle w:val="49"/>
                    <w:jc w:val="center"/>
                    <w:rPr>
                      <w:rFonts w:ascii="Times New Roman" w:hAnsi="Times New Roman" w:cs="Times New Roman"/>
                      <w:bCs/>
                    </w:rPr>
                  </w:pPr>
                </w:p>
              </w:tc>
              <w:tc>
                <w:tcPr>
                  <w:tcW w:w="890" w:type="dxa"/>
                  <w:vAlign w:val="center"/>
                </w:tcPr>
                <w:p w14:paraId="10C74F26">
                  <w:pPr>
                    <w:pStyle w:val="49"/>
                    <w:jc w:val="center"/>
                    <w:rPr>
                      <w:rFonts w:ascii="Times New Roman" w:hAnsi="Times New Roman" w:cs="Times New Roman"/>
                      <w:bCs/>
                    </w:rPr>
                  </w:pPr>
                  <w:r>
                    <w:rPr>
                      <w:rFonts w:hint="eastAsia" w:ascii="Times New Roman" w:hAnsi="Times New Roman" w:cs="Times New Roman"/>
                      <w:bCs/>
                    </w:rPr>
                    <w:t>SS</w:t>
                  </w:r>
                </w:p>
              </w:tc>
              <w:tc>
                <w:tcPr>
                  <w:tcW w:w="942" w:type="dxa"/>
                  <w:vAlign w:val="center"/>
                </w:tcPr>
                <w:p w14:paraId="48B4743F">
                  <w:pPr>
                    <w:pStyle w:val="49"/>
                    <w:jc w:val="center"/>
                    <w:rPr>
                      <w:rFonts w:ascii="Times New Roman" w:hAnsi="Times New Roman" w:cs="Times New Roman"/>
                      <w:bCs/>
                    </w:rPr>
                  </w:pPr>
                  <w:r>
                    <w:rPr>
                      <w:rFonts w:hint="eastAsia" w:ascii="Times New Roman" w:hAnsi="Times New Roman" w:cs="Times New Roman"/>
                      <w:bCs/>
                    </w:rPr>
                    <w:t>20mg/L</w:t>
                  </w:r>
                </w:p>
              </w:tc>
              <w:tc>
                <w:tcPr>
                  <w:tcW w:w="584" w:type="dxa"/>
                  <w:vAlign w:val="center"/>
                </w:tcPr>
                <w:p w14:paraId="4934314E">
                  <w:pPr>
                    <w:pStyle w:val="49"/>
                    <w:jc w:val="center"/>
                    <w:rPr>
                      <w:rFonts w:ascii="Times New Roman" w:hAnsi="Times New Roman" w:cs="Times New Roman"/>
                      <w:bCs/>
                    </w:rPr>
                  </w:pPr>
                  <w:r>
                    <w:rPr>
                      <w:rFonts w:hint="eastAsia" w:ascii="Times New Roman" w:hAnsi="Times New Roman" w:cs="Times New Roman"/>
                      <w:bCs/>
                    </w:rPr>
                    <w:t>0</w:t>
                  </w:r>
                </w:p>
              </w:tc>
              <w:tc>
                <w:tcPr>
                  <w:tcW w:w="2760" w:type="dxa"/>
                  <w:gridSpan w:val="2"/>
                  <w:vMerge w:val="continue"/>
                  <w:vAlign w:val="center"/>
                </w:tcPr>
                <w:p w14:paraId="2B3EECE3">
                  <w:pPr>
                    <w:pStyle w:val="49"/>
                    <w:jc w:val="center"/>
                    <w:rPr>
                      <w:rFonts w:ascii="Times New Roman" w:hAnsi="Times New Roman" w:cs="Times New Roman"/>
                      <w:bCs/>
                    </w:rPr>
                  </w:pPr>
                </w:p>
              </w:tc>
            </w:tr>
            <w:tr w14:paraId="43FBF5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continue"/>
                  <w:vAlign w:val="center"/>
                </w:tcPr>
                <w:p w14:paraId="2F7C3CB6">
                  <w:pPr>
                    <w:pStyle w:val="49"/>
                    <w:jc w:val="center"/>
                    <w:rPr>
                      <w:rFonts w:ascii="Times New Roman" w:hAnsi="Times New Roman" w:cs="Times New Roman"/>
                      <w:bCs/>
                    </w:rPr>
                  </w:pPr>
                </w:p>
              </w:tc>
              <w:tc>
                <w:tcPr>
                  <w:tcW w:w="2134" w:type="dxa"/>
                  <w:vMerge w:val="continue"/>
                  <w:vAlign w:val="center"/>
                </w:tcPr>
                <w:p w14:paraId="4C31EE81">
                  <w:pPr>
                    <w:pStyle w:val="49"/>
                    <w:jc w:val="center"/>
                    <w:rPr>
                      <w:rFonts w:ascii="Times New Roman" w:hAnsi="Times New Roman" w:cs="Times New Roman"/>
                      <w:bCs/>
                    </w:rPr>
                  </w:pPr>
                </w:p>
              </w:tc>
              <w:tc>
                <w:tcPr>
                  <w:tcW w:w="890" w:type="dxa"/>
                  <w:vAlign w:val="center"/>
                </w:tcPr>
                <w:p w14:paraId="3297A348">
                  <w:pPr>
                    <w:pStyle w:val="49"/>
                    <w:jc w:val="center"/>
                    <w:rPr>
                      <w:rFonts w:ascii="Times New Roman" w:hAnsi="Times New Roman" w:cs="Times New Roman"/>
                      <w:bCs/>
                    </w:rPr>
                  </w:pPr>
                  <w:r>
                    <w:rPr>
                      <w:rFonts w:hint="eastAsia" w:ascii="Times New Roman" w:hAnsi="Times New Roman" w:cs="Times New Roman"/>
                      <w:bCs/>
                    </w:rPr>
                    <w:t>COD</w:t>
                  </w:r>
                </w:p>
              </w:tc>
              <w:tc>
                <w:tcPr>
                  <w:tcW w:w="942" w:type="dxa"/>
                  <w:vAlign w:val="center"/>
                </w:tcPr>
                <w:p w14:paraId="7B8D3EF0">
                  <w:pPr>
                    <w:pStyle w:val="49"/>
                    <w:jc w:val="center"/>
                    <w:rPr>
                      <w:rFonts w:ascii="Times New Roman" w:hAnsi="Times New Roman" w:cs="Times New Roman"/>
                      <w:bCs/>
                    </w:rPr>
                  </w:pPr>
                  <w:r>
                    <w:rPr>
                      <w:rFonts w:hint="eastAsia" w:ascii="Times New Roman" w:hAnsi="Times New Roman" w:cs="Times New Roman"/>
                      <w:bCs/>
                    </w:rPr>
                    <w:t>40</w:t>
                  </w:r>
                  <w:r>
                    <w:rPr>
                      <w:rFonts w:ascii="Times New Roman" w:hAnsi="Times New Roman" w:cs="Times New Roman"/>
                      <w:bCs/>
                    </w:rPr>
                    <w:t>mg/L</w:t>
                  </w:r>
                </w:p>
              </w:tc>
              <w:tc>
                <w:tcPr>
                  <w:tcW w:w="584" w:type="dxa"/>
                  <w:vAlign w:val="center"/>
                </w:tcPr>
                <w:p w14:paraId="7E5FC184">
                  <w:pPr>
                    <w:pStyle w:val="49"/>
                    <w:jc w:val="center"/>
                    <w:rPr>
                      <w:rFonts w:ascii="Times New Roman" w:hAnsi="Times New Roman" w:cs="Times New Roman"/>
                      <w:bCs/>
                    </w:rPr>
                  </w:pPr>
                  <w:r>
                    <w:rPr>
                      <w:rFonts w:hint="eastAsia" w:ascii="Times New Roman" w:hAnsi="Times New Roman" w:cs="Times New Roman"/>
                      <w:bCs/>
                    </w:rPr>
                    <w:t>0</w:t>
                  </w:r>
                </w:p>
              </w:tc>
              <w:tc>
                <w:tcPr>
                  <w:tcW w:w="2760" w:type="dxa"/>
                  <w:gridSpan w:val="2"/>
                  <w:vMerge w:val="continue"/>
                  <w:vAlign w:val="center"/>
                </w:tcPr>
                <w:p w14:paraId="3D821F6A">
                  <w:pPr>
                    <w:pStyle w:val="49"/>
                    <w:jc w:val="center"/>
                    <w:rPr>
                      <w:rFonts w:ascii="Times New Roman" w:hAnsi="Times New Roman" w:cs="Times New Roman"/>
                      <w:bCs/>
                    </w:rPr>
                  </w:pPr>
                </w:p>
              </w:tc>
            </w:tr>
            <w:tr w14:paraId="645D7F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continue"/>
                  <w:vAlign w:val="center"/>
                </w:tcPr>
                <w:p w14:paraId="7C50AAB7">
                  <w:pPr>
                    <w:pStyle w:val="49"/>
                    <w:jc w:val="center"/>
                    <w:rPr>
                      <w:rFonts w:ascii="Times New Roman" w:hAnsi="Times New Roman" w:cs="Times New Roman"/>
                      <w:bCs/>
                    </w:rPr>
                  </w:pPr>
                </w:p>
              </w:tc>
              <w:tc>
                <w:tcPr>
                  <w:tcW w:w="2134" w:type="dxa"/>
                  <w:vMerge w:val="continue"/>
                  <w:vAlign w:val="center"/>
                </w:tcPr>
                <w:p w14:paraId="3DB228FD">
                  <w:pPr>
                    <w:pStyle w:val="49"/>
                    <w:jc w:val="center"/>
                    <w:rPr>
                      <w:rFonts w:ascii="Times New Roman" w:hAnsi="Times New Roman" w:cs="Times New Roman"/>
                      <w:bCs/>
                    </w:rPr>
                  </w:pPr>
                </w:p>
              </w:tc>
              <w:tc>
                <w:tcPr>
                  <w:tcW w:w="890" w:type="dxa"/>
                  <w:vAlign w:val="center"/>
                </w:tcPr>
                <w:p w14:paraId="76DB4B26">
                  <w:pPr>
                    <w:pStyle w:val="49"/>
                    <w:jc w:val="center"/>
                    <w:rPr>
                      <w:rFonts w:ascii="Times New Roman" w:hAnsi="Times New Roman" w:cs="Times New Roman"/>
                      <w:bCs/>
                    </w:rPr>
                  </w:pPr>
                  <w:r>
                    <w:rPr>
                      <w:rFonts w:hint="eastAsia" w:ascii="Times New Roman" w:hAnsi="Times New Roman" w:cs="Times New Roman"/>
                      <w:bCs/>
                    </w:rPr>
                    <w:t>BOD5</w:t>
                  </w:r>
                </w:p>
              </w:tc>
              <w:tc>
                <w:tcPr>
                  <w:tcW w:w="942" w:type="dxa"/>
                  <w:vAlign w:val="center"/>
                </w:tcPr>
                <w:p w14:paraId="6B7F482E">
                  <w:pPr>
                    <w:pStyle w:val="49"/>
                    <w:jc w:val="center"/>
                    <w:rPr>
                      <w:rFonts w:ascii="Times New Roman" w:hAnsi="Times New Roman" w:cs="Times New Roman"/>
                      <w:bCs/>
                    </w:rPr>
                  </w:pPr>
                  <w:r>
                    <w:rPr>
                      <w:rFonts w:hint="eastAsia" w:ascii="Times New Roman" w:hAnsi="Times New Roman" w:cs="Times New Roman"/>
                      <w:bCs/>
                    </w:rPr>
                    <w:t>8</w:t>
                  </w:r>
                  <w:r>
                    <w:t xml:space="preserve"> </w:t>
                  </w:r>
                  <w:r>
                    <w:rPr>
                      <w:rFonts w:ascii="Times New Roman" w:hAnsi="Times New Roman" w:cs="Times New Roman"/>
                      <w:bCs/>
                    </w:rPr>
                    <w:t>mg/L</w:t>
                  </w:r>
                </w:p>
              </w:tc>
              <w:tc>
                <w:tcPr>
                  <w:tcW w:w="584" w:type="dxa"/>
                  <w:vAlign w:val="center"/>
                </w:tcPr>
                <w:p w14:paraId="55DED775">
                  <w:pPr>
                    <w:pStyle w:val="49"/>
                    <w:jc w:val="center"/>
                    <w:rPr>
                      <w:rFonts w:ascii="Times New Roman" w:hAnsi="Times New Roman" w:cs="Times New Roman"/>
                      <w:bCs/>
                    </w:rPr>
                  </w:pPr>
                  <w:r>
                    <w:rPr>
                      <w:rFonts w:hint="eastAsia" w:ascii="Times New Roman" w:hAnsi="Times New Roman" w:cs="Times New Roman"/>
                      <w:bCs/>
                    </w:rPr>
                    <w:t>0</w:t>
                  </w:r>
                </w:p>
              </w:tc>
              <w:tc>
                <w:tcPr>
                  <w:tcW w:w="2760" w:type="dxa"/>
                  <w:gridSpan w:val="2"/>
                  <w:vMerge w:val="continue"/>
                  <w:vAlign w:val="center"/>
                </w:tcPr>
                <w:p w14:paraId="5086F478">
                  <w:pPr>
                    <w:pStyle w:val="49"/>
                    <w:jc w:val="center"/>
                    <w:rPr>
                      <w:rFonts w:ascii="Times New Roman" w:hAnsi="Times New Roman" w:cs="Times New Roman"/>
                      <w:bCs/>
                    </w:rPr>
                  </w:pPr>
                </w:p>
              </w:tc>
            </w:tr>
            <w:tr w14:paraId="5FBAE9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continue"/>
                  <w:vAlign w:val="center"/>
                </w:tcPr>
                <w:p w14:paraId="51FECBC1">
                  <w:pPr>
                    <w:pStyle w:val="49"/>
                    <w:jc w:val="center"/>
                    <w:rPr>
                      <w:rFonts w:ascii="Times New Roman" w:hAnsi="Times New Roman" w:cs="Times New Roman"/>
                      <w:bCs/>
                    </w:rPr>
                  </w:pPr>
                </w:p>
              </w:tc>
              <w:tc>
                <w:tcPr>
                  <w:tcW w:w="2134" w:type="dxa"/>
                  <w:vMerge w:val="continue"/>
                  <w:vAlign w:val="center"/>
                </w:tcPr>
                <w:p w14:paraId="36DB7C43">
                  <w:pPr>
                    <w:pStyle w:val="49"/>
                    <w:jc w:val="center"/>
                    <w:rPr>
                      <w:rFonts w:ascii="Times New Roman" w:hAnsi="Times New Roman" w:cs="Times New Roman"/>
                      <w:bCs/>
                    </w:rPr>
                  </w:pPr>
                </w:p>
              </w:tc>
              <w:tc>
                <w:tcPr>
                  <w:tcW w:w="890" w:type="dxa"/>
                  <w:vAlign w:val="center"/>
                </w:tcPr>
                <w:p w14:paraId="1D3AE551">
                  <w:pPr>
                    <w:pStyle w:val="49"/>
                    <w:jc w:val="center"/>
                    <w:rPr>
                      <w:rFonts w:ascii="Times New Roman" w:hAnsi="Times New Roman" w:cs="Times New Roman"/>
                      <w:bCs/>
                    </w:rPr>
                  </w:pPr>
                  <w:r>
                    <w:rPr>
                      <w:rFonts w:hint="eastAsia" w:ascii="Times New Roman" w:hAnsi="Times New Roman" w:cs="Times New Roman"/>
                      <w:bCs/>
                    </w:rPr>
                    <w:t>氨氮</w:t>
                  </w:r>
                </w:p>
              </w:tc>
              <w:tc>
                <w:tcPr>
                  <w:tcW w:w="942" w:type="dxa"/>
                  <w:vAlign w:val="center"/>
                </w:tcPr>
                <w:p w14:paraId="6EE5D633">
                  <w:pPr>
                    <w:pStyle w:val="49"/>
                    <w:jc w:val="center"/>
                    <w:rPr>
                      <w:rFonts w:ascii="Times New Roman" w:hAnsi="Times New Roman" w:cs="Times New Roman"/>
                      <w:bCs/>
                    </w:rPr>
                  </w:pPr>
                  <w:r>
                    <w:rPr>
                      <w:rFonts w:hint="eastAsia" w:ascii="Times New Roman" w:hAnsi="Times New Roman" w:cs="Times New Roman"/>
                      <w:bCs/>
                    </w:rPr>
                    <w:t>8</w:t>
                  </w:r>
                  <w:r>
                    <w:t xml:space="preserve"> </w:t>
                  </w:r>
                  <w:r>
                    <w:rPr>
                      <w:rFonts w:ascii="Times New Roman" w:hAnsi="Times New Roman" w:cs="Times New Roman"/>
                      <w:bCs/>
                    </w:rPr>
                    <w:t>mg/L</w:t>
                  </w:r>
                </w:p>
              </w:tc>
              <w:tc>
                <w:tcPr>
                  <w:tcW w:w="584" w:type="dxa"/>
                  <w:vAlign w:val="center"/>
                </w:tcPr>
                <w:p w14:paraId="777C1922">
                  <w:pPr>
                    <w:pStyle w:val="49"/>
                    <w:jc w:val="center"/>
                    <w:rPr>
                      <w:rFonts w:ascii="Times New Roman" w:hAnsi="Times New Roman" w:cs="Times New Roman"/>
                      <w:bCs/>
                    </w:rPr>
                  </w:pPr>
                  <w:r>
                    <w:rPr>
                      <w:rFonts w:hint="eastAsia" w:ascii="Times New Roman" w:hAnsi="Times New Roman" w:cs="Times New Roman"/>
                      <w:bCs/>
                    </w:rPr>
                    <w:t>0</w:t>
                  </w:r>
                </w:p>
              </w:tc>
              <w:tc>
                <w:tcPr>
                  <w:tcW w:w="2760" w:type="dxa"/>
                  <w:gridSpan w:val="2"/>
                  <w:vMerge w:val="continue"/>
                  <w:vAlign w:val="center"/>
                </w:tcPr>
                <w:p w14:paraId="33A86F19">
                  <w:pPr>
                    <w:pStyle w:val="49"/>
                    <w:jc w:val="center"/>
                    <w:rPr>
                      <w:rFonts w:ascii="Times New Roman" w:hAnsi="Times New Roman" w:cs="Times New Roman"/>
                      <w:bCs/>
                    </w:rPr>
                  </w:pPr>
                </w:p>
              </w:tc>
            </w:tr>
            <w:tr w14:paraId="673EEC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6F5C71EA">
                  <w:pPr>
                    <w:pStyle w:val="49"/>
                    <w:jc w:val="center"/>
                    <w:rPr>
                      <w:rFonts w:ascii="Times New Roman" w:hAnsi="Times New Roman" w:cs="Times New Roman"/>
                      <w:bCs/>
                    </w:rPr>
                  </w:pPr>
                  <w:r>
                    <w:rPr>
                      <w:rFonts w:hint="eastAsia" w:ascii="Times New Roman" w:hAnsi="Times New Roman" w:cs="Times New Roman"/>
                      <w:bCs/>
                    </w:rPr>
                    <w:t>煤泥水</w:t>
                  </w:r>
                </w:p>
              </w:tc>
              <w:tc>
                <w:tcPr>
                  <w:tcW w:w="2134" w:type="dxa"/>
                  <w:vAlign w:val="center"/>
                </w:tcPr>
                <w:p w14:paraId="488B2182">
                  <w:pPr>
                    <w:pStyle w:val="49"/>
                    <w:jc w:val="center"/>
                    <w:rPr>
                      <w:rFonts w:ascii="Times New Roman" w:hAnsi="Times New Roman" w:cs="Times New Roman"/>
                      <w:bCs/>
                    </w:rPr>
                  </w:pPr>
                  <w:r>
                    <w:rPr>
                      <w:rFonts w:hint="eastAsia" w:ascii="Times New Roman" w:hAnsi="Times New Roman" w:cs="Times New Roman"/>
                      <w:bCs/>
                    </w:rPr>
                    <w:t>采用浓缩、压滤处理后煤泥水达到一级闭路循环不外排</w:t>
                  </w:r>
                </w:p>
              </w:tc>
              <w:tc>
                <w:tcPr>
                  <w:tcW w:w="2416" w:type="dxa"/>
                  <w:gridSpan w:val="3"/>
                  <w:vAlign w:val="center"/>
                </w:tcPr>
                <w:p w14:paraId="0CC43656">
                  <w:pPr>
                    <w:pStyle w:val="49"/>
                    <w:jc w:val="center"/>
                    <w:rPr>
                      <w:rFonts w:ascii="Times New Roman" w:hAnsi="Times New Roman" w:cs="Times New Roman"/>
                      <w:bCs/>
                    </w:rPr>
                  </w:pPr>
                  <w:r>
                    <w:rPr>
                      <w:rFonts w:hint="eastAsia" w:ascii="Times New Roman" w:hAnsi="Times New Roman" w:cs="Times New Roman"/>
                      <w:bCs/>
                    </w:rPr>
                    <w:t>不外排</w:t>
                  </w:r>
                </w:p>
              </w:tc>
              <w:tc>
                <w:tcPr>
                  <w:tcW w:w="2760" w:type="dxa"/>
                  <w:gridSpan w:val="2"/>
                  <w:vAlign w:val="center"/>
                </w:tcPr>
                <w:p w14:paraId="6BC10738">
                  <w:pPr>
                    <w:pStyle w:val="49"/>
                    <w:jc w:val="center"/>
                    <w:rPr>
                      <w:rFonts w:ascii="Times New Roman" w:hAnsi="Times New Roman" w:cs="Times New Roman"/>
                      <w:bCs/>
                    </w:rPr>
                  </w:pPr>
                  <w:r>
                    <w:rPr>
                      <w:rFonts w:hint="eastAsia" w:ascii="Times New Roman" w:hAnsi="Times New Roman" w:cs="Times New Roman"/>
                      <w:bCs/>
                    </w:rPr>
                    <w:t>不外排</w:t>
                  </w:r>
                </w:p>
              </w:tc>
            </w:tr>
            <w:tr w14:paraId="5CB740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11AD9E1D">
                  <w:pPr>
                    <w:pStyle w:val="49"/>
                    <w:jc w:val="center"/>
                    <w:rPr>
                      <w:rFonts w:ascii="Times New Roman" w:hAnsi="Times New Roman" w:cs="Times New Roman"/>
                      <w:bCs/>
                    </w:rPr>
                  </w:pPr>
                  <w:r>
                    <w:rPr>
                      <w:rFonts w:hint="eastAsia" w:ascii="Times New Roman" w:hAnsi="Times New Roman" w:cs="Times New Roman"/>
                      <w:bCs/>
                    </w:rPr>
                    <w:t>掘进矸石</w:t>
                  </w:r>
                </w:p>
              </w:tc>
              <w:tc>
                <w:tcPr>
                  <w:tcW w:w="2134" w:type="dxa"/>
                  <w:vAlign w:val="center"/>
                </w:tcPr>
                <w:p w14:paraId="4C9788DD">
                  <w:pPr>
                    <w:pStyle w:val="49"/>
                    <w:jc w:val="center"/>
                    <w:rPr>
                      <w:rFonts w:ascii="Times New Roman" w:hAnsi="Times New Roman" w:cs="Times New Roman"/>
                      <w:bCs/>
                    </w:rPr>
                  </w:pPr>
                  <w:r>
                    <w:rPr>
                      <w:rFonts w:hint="eastAsia" w:ascii="Times New Roman" w:hAnsi="Times New Roman" w:cs="Times New Roman"/>
                      <w:bCs/>
                    </w:rPr>
                    <w:t>初期送至矸石周转场堆存，后期用于井下回填不出井</w:t>
                  </w:r>
                </w:p>
              </w:tc>
              <w:tc>
                <w:tcPr>
                  <w:tcW w:w="2416" w:type="dxa"/>
                  <w:gridSpan w:val="3"/>
                  <w:vAlign w:val="center"/>
                </w:tcPr>
                <w:p w14:paraId="490A70E2">
                  <w:pPr>
                    <w:pStyle w:val="49"/>
                    <w:jc w:val="center"/>
                    <w:rPr>
                      <w:rFonts w:ascii="Times New Roman" w:hAnsi="Times New Roman" w:cs="Times New Roman"/>
                      <w:bCs/>
                    </w:rPr>
                  </w:pPr>
                  <w:r>
                    <w:rPr>
                      <w:rFonts w:hint="eastAsia" w:ascii="Times New Roman" w:hAnsi="Times New Roman" w:cs="Times New Roman"/>
                      <w:bCs/>
                    </w:rPr>
                    <w:t>产生量8.7万t/a，综合利用不外排</w:t>
                  </w:r>
                </w:p>
              </w:tc>
              <w:tc>
                <w:tcPr>
                  <w:tcW w:w="2760" w:type="dxa"/>
                  <w:gridSpan w:val="2"/>
                  <w:vAlign w:val="center"/>
                </w:tcPr>
                <w:p w14:paraId="065DEF70">
                  <w:pPr>
                    <w:pStyle w:val="49"/>
                    <w:jc w:val="center"/>
                    <w:rPr>
                      <w:rFonts w:ascii="Times New Roman" w:hAnsi="Times New Roman" w:cs="Times New Roman"/>
                      <w:bCs/>
                    </w:rPr>
                  </w:pPr>
                  <w:r>
                    <w:rPr>
                      <w:rFonts w:hint="eastAsia" w:ascii="Times New Roman" w:hAnsi="Times New Roman" w:cs="Times New Roman"/>
                      <w:bCs/>
                    </w:rPr>
                    <w:t>综合利用不外排</w:t>
                  </w:r>
                </w:p>
              </w:tc>
            </w:tr>
            <w:tr w14:paraId="73D3E3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5D7DB261">
                  <w:pPr>
                    <w:pStyle w:val="49"/>
                    <w:jc w:val="center"/>
                    <w:rPr>
                      <w:rFonts w:ascii="Times New Roman" w:hAnsi="Times New Roman" w:cs="Times New Roman"/>
                      <w:bCs/>
                    </w:rPr>
                  </w:pPr>
                  <w:r>
                    <w:rPr>
                      <w:rFonts w:hint="eastAsia" w:ascii="Times New Roman" w:hAnsi="Times New Roman" w:cs="Times New Roman"/>
                      <w:bCs/>
                    </w:rPr>
                    <w:t>洗选矸石</w:t>
                  </w:r>
                </w:p>
              </w:tc>
              <w:tc>
                <w:tcPr>
                  <w:tcW w:w="2134" w:type="dxa"/>
                  <w:vAlign w:val="center"/>
                </w:tcPr>
                <w:p w14:paraId="3A310BBB">
                  <w:pPr>
                    <w:pStyle w:val="49"/>
                    <w:jc w:val="center"/>
                    <w:rPr>
                      <w:rFonts w:ascii="Times New Roman" w:hAnsi="Times New Roman" w:cs="Times New Roman"/>
                      <w:bCs/>
                    </w:rPr>
                  </w:pPr>
                  <w:r>
                    <w:rPr>
                      <w:rFonts w:hint="eastAsia" w:ascii="Times New Roman" w:hAnsi="Times New Roman" w:cs="Times New Roman"/>
                      <w:bCs/>
                    </w:rPr>
                    <w:t>初期送至矸石周转场堆存，后期用于沉陷区的充填复垦</w:t>
                  </w:r>
                </w:p>
              </w:tc>
              <w:tc>
                <w:tcPr>
                  <w:tcW w:w="2416" w:type="dxa"/>
                  <w:gridSpan w:val="3"/>
                  <w:vAlign w:val="center"/>
                </w:tcPr>
                <w:p w14:paraId="069BCC45">
                  <w:pPr>
                    <w:pStyle w:val="49"/>
                    <w:jc w:val="center"/>
                    <w:rPr>
                      <w:rFonts w:ascii="Times New Roman" w:hAnsi="Times New Roman" w:cs="Times New Roman"/>
                      <w:bCs/>
                    </w:rPr>
                  </w:pPr>
                  <w:r>
                    <w:rPr>
                      <w:rFonts w:hint="eastAsia" w:ascii="Times New Roman" w:hAnsi="Times New Roman" w:cs="Times New Roman"/>
                      <w:bCs/>
                    </w:rPr>
                    <w:t>产生量44万t/a，综合利用不外排</w:t>
                  </w:r>
                </w:p>
              </w:tc>
              <w:tc>
                <w:tcPr>
                  <w:tcW w:w="2760" w:type="dxa"/>
                  <w:gridSpan w:val="2"/>
                  <w:vAlign w:val="center"/>
                </w:tcPr>
                <w:p w14:paraId="47787957">
                  <w:pPr>
                    <w:pStyle w:val="49"/>
                    <w:jc w:val="center"/>
                    <w:rPr>
                      <w:rFonts w:ascii="Times New Roman" w:hAnsi="Times New Roman" w:cs="Times New Roman"/>
                      <w:bCs/>
                    </w:rPr>
                  </w:pPr>
                  <w:r>
                    <w:rPr>
                      <w:rFonts w:hint="eastAsia" w:ascii="Times New Roman" w:hAnsi="Times New Roman" w:cs="Times New Roman"/>
                      <w:bCs/>
                    </w:rPr>
                    <w:t>综合利用不外排</w:t>
                  </w:r>
                </w:p>
              </w:tc>
            </w:tr>
            <w:tr w14:paraId="1A4352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186F61EF">
                  <w:pPr>
                    <w:pStyle w:val="49"/>
                    <w:jc w:val="center"/>
                    <w:rPr>
                      <w:rFonts w:ascii="Times New Roman" w:hAnsi="Times New Roman" w:cs="Times New Roman"/>
                      <w:bCs/>
                    </w:rPr>
                  </w:pPr>
                  <w:r>
                    <w:rPr>
                      <w:rFonts w:hint="eastAsia" w:ascii="Times New Roman" w:hAnsi="Times New Roman" w:cs="Times New Roman"/>
                      <w:bCs/>
                    </w:rPr>
                    <w:t>锅炉灰渣</w:t>
                  </w:r>
                </w:p>
              </w:tc>
              <w:tc>
                <w:tcPr>
                  <w:tcW w:w="2134" w:type="dxa"/>
                  <w:vAlign w:val="center"/>
                </w:tcPr>
                <w:p w14:paraId="040CBB89">
                  <w:pPr>
                    <w:pStyle w:val="49"/>
                    <w:jc w:val="center"/>
                    <w:rPr>
                      <w:rFonts w:ascii="Times New Roman" w:hAnsi="Times New Roman" w:cs="Times New Roman"/>
                      <w:bCs/>
                    </w:rPr>
                  </w:pPr>
                  <w:r>
                    <w:rPr>
                      <w:rFonts w:hint="eastAsia" w:ascii="Times New Roman" w:hAnsi="Times New Roman" w:cs="Times New Roman"/>
                      <w:bCs/>
                    </w:rPr>
                    <w:t>铺路或建材原料</w:t>
                  </w:r>
                </w:p>
              </w:tc>
              <w:tc>
                <w:tcPr>
                  <w:tcW w:w="2416" w:type="dxa"/>
                  <w:gridSpan w:val="3"/>
                  <w:vAlign w:val="center"/>
                </w:tcPr>
                <w:p w14:paraId="77832299">
                  <w:pPr>
                    <w:pStyle w:val="49"/>
                    <w:jc w:val="center"/>
                    <w:rPr>
                      <w:rFonts w:ascii="Times New Roman" w:hAnsi="Times New Roman" w:cs="Times New Roman"/>
                      <w:bCs/>
                    </w:rPr>
                  </w:pPr>
                  <w:r>
                    <w:rPr>
                      <w:rFonts w:ascii="Times New Roman" w:hAnsi="Times New Roman" w:cs="Times New Roman"/>
                      <w:bCs/>
                    </w:rPr>
                    <w:t>锅炉房灰渣产生量为6862t/a</w:t>
                  </w:r>
                  <w:r>
                    <w:rPr>
                      <w:rFonts w:hint="eastAsia" w:ascii="Times New Roman" w:hAnsi="Times New Roman" w:cs="Times New Roman"/>
                      <w:bCs/>
                    </w:rPr>
                    <w:t>，干燥车间</w:t>
                  </w:r>
                  <w:r>
                    <w:rPr>
                      <w:rFonts w:ascii="Times New Roman" w:hAnsi="Times New Roman" w:cs="Times New Roman"/>
                      <w:bCs/>
                    </w:rPr>
                    <w:t>灰渣产生量为</w:t>
                  </w:r>
                  <w:r>
                    <w:rPr>
                      <w:rFonts w:hint="eastAsia" w:ascii="Times New Roman" w:hAnsi="Times New Roman" w:cs="Times New Roman"/>
                      <w:bCs/>
                    </w:rPr>
                    <w:t>930</w:t>
                  </w:r>
                  <w:r>
                    <w:rPr>
                      <w:rFonts w:ascii="Times New Roman" w:hAnsi="Times New Roman" w:cs="Times New Roman"/>
                      <w:bCs/>
                    </w:rPr>
                    <w:t>t/a</w:t>
                  </w:r>
                  <w:r>
                    <w:rPr>
                      <w:rFonts w:hint="eastAsia" w:ascii="Times New Roman" w:hAnsi="Times New Roman" w:cs="Times New Roman"/>
                      <w:bCs/>
                    </w:rPr>
                    <w:t>，合计产生量7792 t/a，综合利用不外排</w:t>
                  </w:r>
                </w:p>
              </w:tc>
              <w:tc>
                <w:tcPr>
                  <w:tcW w:w="2760" w:type="dxa"/>
                  <w:gridSpan w:val="2"/>
                  <w:vAlign w:val="center"/>
                </w:tcPr>
                <w:p w14:paraId="51F40A7E">
                  <w:pPr>
                    <w:pStyle w:val="49"/>
                    <w:jc w:val="center"/>
                    <w:rPr>
                      <w:rFonts w:ascii="Times New Roman" w:hAnsi="Times New Roman" w:cs="Times New Roman"/>
                      <w:bCs/>
                    </w:rPr>
                  </w:pPr>
                  <w:r>
                    <w:rPr>
                      <w:rFonts w:hint="eastAsia" w:ascii="Times New Roman" w:hAnsi="Times New Roman" w:cs="Times New Roman"/>
                      <w:bCs/>
                    </w:rPr>
                    <w:t>综合利用不外排</w:t>
                  </w:r>
                </w:p>
              </w:tc>
            </w:tr>
            <w:tr w14:paraId="27B86F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22B5A541">
                  <w:pPr>
                    <w:pStyle w:val="49"/>
                    <w:jc w:val="center"/>
                    <w:rPr>
                      <w:rFonts w:ascii="Times New Roman" w:hAnsi="Times New Roman" w:cs="Times New Roman"/>
                      <w:bCs/>
                    </w:rPr>
                  </w:pPr>
                  <w:r>
                    <w:rPr>
                      <w:rFonts w:hint="eastAsia" w:ascii="Times New Roman" w:hAnsi="Times New Roman" w:cs="Times New Roman"/>
                      <w:bCs/>
                    </w:rPr>
                    <w:t>工业场地生活垃圾</w:t>
                  </w:r>
                </w:p>
              </w:tc>
              <w:tc>
                <w:tcPr>
                  <w:tcW w:w="2134" w:type="dxa"/>
                  <w:vAlign w:val="center"/>
                </w:tcPr>
                <w:p w14:paraId="2D9161B7">
                  <w:pPr>
                    <w:pStyle w:val="49"/>
                    <w:jc w:val="center"/>
                    <w:rPr>
                      <w:rFonts w:ascii="Times New Roman" w:hAnsi="Times New Roman" w:cs="Times New Roman"/>
                      <w:bCs/>
                    </w:rPr>
                  </w:pPr>
                  <w:r>
                    <w:rPr>
                      <w:rFonts w:hint="eastAsia" w:ascii="Times New Roman" w:hAnsi="Times New Roman" w:cs="Times New Roman"/>
                      <w:bCs/>
                    </w:rPr>
                    <w:t>运至泊江海子镇垃圾填埋场集中处理</w:t>
                  </w:r>
                </w:p>
              </w:tc>
              <w:tc>
                <w:tcPr>
                  <w:tcW w:w="2416" w:type="dxa"/>
                  <w:gridSpan w:val="3"/>
                  <w:vAlign w:val="center"/>
                </w:tcPr>
                <w:p w14:paraId="3D5E7EAD">
                  <w:pPr>
                    <w:pStyle w:val="49"/>
                    <w:jc w:val="center"/>
                    <w:rPr>
                      <w:rFonts w:ascii="Times New Roman" w:hAnsi="Times New Roman" w:cs="Times New Roman"/>
                      <w:bCs/>
                    </w:rPr>
                  </w:pPr>
                  <w:r>
                    <w:rPr>
                      <w:rFonts w:hint="eastAsia" w:ascii="Times New Roman" w:hAnsi="Times New Roman" w:cs="Times New Roman"/>
                      <w:bCs/>
                    </w:rPr>
                    <w:t>产生量375t/a，妥善处置</w:t>
                  </w:r>
                </w:p>
              </w:tc>
              <w:tc>
                <w:tcPr>
                  <w:tcW w:w="2760" w:type="dxa"/>
                  <w:gridSpan w:val="2"/>
                  <w:vAlign w:val="center"/>
                </w:tcPr>
                <w:p w14:paraId="2B1D8D0A">
                  <w:pPr>
                    <w:pStyle w:val="49"/>
                    <w:jc w:val="center"/>
                    <w:rPr>
                      <w:rFonts w:ascii="Times New Roman" w:hAnsi="Times New Roman" w:cs="Times New Roman"/>
                      <w:bCs/>
                    </w:rPr>
                  </w:pPr>
                  <w:r>
                    <w:rPr>
                      <w:rFonts w:hint="eastAsia" w:ascii="Times New Roman" w:hAnsi="Times New Roman" w:cs="Times New Roman"/>
                      <w:bCs/>
                    </w:rPr>
                    <w:t>妥善处置不外排</w:t>
                  </w:r>
                </w:p>
              </w:tc>
            </w:tr>
            <w:tr w14:paraId="236A06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731C5E64">
                  <w:pPr>
                    <w:pStyle w:val="49"/>
                    <w:jc w:val="center"/>
                    <w:rPr>
                      <w:rFonts w:ascii="Times New Roman" w:hAnsi="Times New Roman" w:cs="Times New Roman"/>
                      <w:bCs/>
                    </w:rPr>
                  </w:pPr>
                  <w:r>
                    <w:rPr>
                      <w:rFonts w:hint="eastAsia" w:ascii="Times New Roman" w:hAnsi="Times New Roman" w:cs="Times New Roman"/>
                      <w:bCs/>
                    </w:rPr>
                    <w:t>矿井水处理站污泥</w:t>
                  </w:r>
                </w:p>
              </w:tc>
              <w:tc>
                <w:tcPr>
                  <w:tcW w:w="2134" w:type="dxa"/>
                  <w:vAlign w:val="center"/>
                </w:tcPr>
                <w:p w14:paraId="225E1C04">
                  <w:pPr>
                    <w:pStyle w:val="49"/>
                    <w:jc w:val="center"/>
                    <w:rPr>
                      <w:rFonts w:ascii="Times New Roman" w:hAnsi="Times New Roman" w:cs="Times New Roman"/>
                      <w:bCs/>
                    </w:rPr>
                  </w:pPr>
                  <w:r>
                    <w:rPr>
                      <w:rFonts w:hint="eastAsia" w:ascii="Times New Roman" w:hAnsi="Times New Roman" w:cs="Times New Roman"/>
                      <w:bCs/>
                    </w:rPr>
                    <w:t>参入选煤厂混煤产品</w:t>
                  </w:r>
                </w:p>
              </w:tc>
              <w:tc>
                <w:tcPr>
                  <w:tcW w:w="2416" w:type="dxa"/>
                  <w:gridSpan w:val="3"/>
                  <w:vAlign w:val="center"/>
                </w:tcPr>
                <w:p w14:paraId="0F657855">
                  <w:pPr>
                    <w:pStyle w:val="49"/>
                    <w:jc w:val="center"/>
                    <w:rPr>
                      <w:rFonts w:ascii="Times New Roman" w:hAnsi="Times New Roman" w:cs="Times New Roman"/>
                      <w:bCs/>
                    </w:rPr>
                  </w:pPr>
                  <w:r>
                    <w:rPr>
                      <w:rFonts w:hint="eastAsia" w:ascii="Times New Roman" w:hAnsi="Times New Roman" w:cs="Times New Roman"/>
                      <w:bCs/>
                    </w:rPr>
                    <w:t>产生量469.8t/a，综合利用不外排</w:t>
                  </w:r>
                </w:p>
              </w:tc>
              <w:tc>
                <w:tcPr>
                  <w:tcW w:w="2760" w:type="dxa"/>
                  <w:gridSpan w:val="2"/>
                  <w:vAlign w:val="center"/>
                </w:tcPr>
                <w:p w14:paraId="4426E69E">
                  <w:pPr>
                    <w:pStyle w:val="49"/>
                    <w:jc w:val="center"/>
                    <w:rPr>
                      <w:rFonts w:ascii="Times New Roman" w:hAnsi="Times New Roman" w:cs="Times New Roman"/>
                      <w:bCs/>
                    </w:rPr>
                  </w:pPr>
                  <w:r>
                    <w:rPr>
                      <w:rFonts w:hint="eastAsia" w:ascii="Times New Roman" w:hAnsi="Times New Roman" w:cs="Times New Roman"/>
                      <w:bCs/>
                    </w:rPr>
                    <w:t>综合利用不外排</w:t>
                  </w:r>
                </w:p>
              </w:tc>
            </w:tr>
            <w:tr w14:paraId="7CC398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Align w:val="center"/>
                </w:tcPr>
                <w:p w14:paraId="2499B6FA">
                  <w:pPr>
                    <w:pStyle w:val="49"/>
                    <w:jc w:val="center"/>
                    <w:rPr>
                      <w:rFonts w:ascii="Times New Roman" w:hAnsi="Times New Roman" w:cs="Times New Roman"/>
                      <w:bCs/>
                    </w:rPr>
                  </w:pPr>
                  <w:r>
                    <w:rPr>
                      <w:rFonts w:hint="eastAsia" w:ascii="Times New Roman" w:hAnsi="Times New Roman" w:cs="Times New Roman"/>
                      <w:bCs/>
                    </w:rPr>
                    <w:t>生活污水处理站污泥</w:t>
                  </w:r>
                </w:p>
              </w:tc>
              <w:tc>
                <w:tcPr>
                  <w:tcW w:w="2134" w:type="dxa"/>
                  <w:vAlign w:val="center"/>
                </w:tcPr>
                <w:p w14:paraId="380D569C">
                  <w:pPr>
                    <w:pStyle w:val="49"/>
                    <w:jc w:val="center"/>
                    <w:rPr>
                      <w:rFonts w:ascii="Times New Roman" w:hAnsi="Times New Roman" w:cs="Times New Roman"/>
                      <w:bCs/>
                    </w:rPr>
                  </w:pPr>
                  <w:r>
                    <w:rPr>
                      <w:rFonts w:hint="eastAsia" w:ascii="Times New Roman" w:hAnsi="Times New Roman" w:cs="Times New Roman"/>
                      <w:bCs/>
                    </w:rPr>
                    <w:t>干化后随生活垃圾处置</w:t>
                  </w:r>
                </w:p>
              </w:tc>
              <w:tc>
                <w:tcPr>
                  <w:tcW w:w="2416" w:type="dxa"/>
                  <w:gridSpan w:val="3"/>
                  <w:vAlign w:val="center"/>
                </w:tcPr>
                <w:p w14:paraId="72C06494">
                  <w:pPr>
                    <w:pStyle w:val="49"/>
                    <w:jc w:val="center"/>
                    <w:rPr>
                      <w:rFonts w:ascii="Times New Roman" w:hAnsi="Times New Roman" w:cs="Times New Roman"/>
                      <w:bCs/>
                    </w:rPr>
                  </w:pPr>
                  <w:r>
                    <w:rPr>
                      <w:rFonts w:hint="eastAsia" w:ascii="Times New Roman" w:hAnsi="Times New Roman" w:cs="Times New Roman"/>
                      <w:bCs/>
                    </w:rPr>
                    <w:t>产生量38.7万t/a，妥善处置</w:t>
                  </w:r>
                </w:p>
              </w:tc>
              <w:tc>
                <w:tcPr>
                  <w:tcW w:w="2760" w:type="dxa"/>
                  <w:gridSpan w:val="2"/>
                  <w:vAlign w:val="center"/>
                </w:tcPr>
                <w:p w14:paraId="6B7EDBD0">
                  <w:pPr>
                    <w:pStyle w:val="49"/>
                    <w:jc w:val="center"/>
                    <w:rPr>
                      <w:rFonts w:ascii="Times New Roman" w:hAnsi="Times New Roman" w:cs="Times New Roman"/>
                      <w:bCs/>
                    </w:rPr>
                  </w:pPr>
                  <w:r>
                    <w:rPr>
                      <w:rFonts w:hint="eastAsia" w:ascii="Times New Roman" w:hAnsi="Times New Roman" w:cs="Times New Roman"/>
                      <w:bCs/>
                    </w:rPr>
                    <w:t>妥善处置不外排</w:t>
                  </w:r>
                </w:p>
              </w:tc>
            </w:tr>
            <w:tr w14:paraId="16DDD2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restart"/>
                  <w:vAlign w:val="center"/>
                </w:tcPr>
                <w:p w14:paraId="10DF2B92">
                  <w:pPr>
                    <w:pStyle w:val="49"/>
                    <w:jc w:val="center"/>
                    <w:rPr>
                      <w:rFonts w:ascii="Times New Roman" w:hAnsi="Times New Roman" w:cs="Times New Roman"/>
                      <w:bCs/>
                    </w:rPr>
                  </w:pPr>
                  <w:r>
                    <w:rPr>
                      <w:rFonts w:hint="eastAsia" w:ascii="Times New Roman" w:hAnsi="Times New Roman" w:cs="Times New Roman"/>
                      <w:bCs/>
                    </w:rPr>
                    <w:t>噪声</w:t>
                  </w:r>
                </w:p>
              </w:tc>
              <w:tc>
                <w:tcPr>
                  <w:tcW w:w="2134" w:type="dxa"/>
                  <w:vAlign w:val="center"/>
                </w:tcPr>
                <w:p w14:paraId="5C973084">
                  <w:pPr>
                    <w:pStyle w:val="49"/>
                    <w:jc w:val="center"/>
                    <w:rPr>
                      <w:rFonts w:ascii="Times New Roman" w:hAnsi="Times New Roman" w:cs="Times New Roman"/>
                      <w:bCs/>
                    </w:rPr>
                  </w:pPr>
                  <w:r>
                    <w:rPr>
                      <w:rFonts w:hint="eastAsia" w:ascii="Times New Roman" w:hAnsi="Times New Roman" w:cs="Times New Roman"/>
                      <w:bCs/>
                    </w:rPr>
                    <w:t>采取厂房隔声、消声减振等措施</w:t>
                  </w:r>
                </w:p>
              </w:tc>
              <w:tc>
                <w:tcPr>
                  <w:tcW w:w="2416" w:type="dxa"/>
                  <w:gridSpan w:val="3"/>
                  <w:vAlign w:val="center"/>
                </w:tcPr>
                <w:p w14:paraId="2F2D25CD">
                  <w:pPr>
                    <w:pStyle w:val="49"/>
                    <w:jc w:val="center"/>
                    <w:rPr>
                      <w:rFonts w:ascii="Times New Roman" w:hAnsi="Times New Roman" w:cs="Times New Roman"/>
                      <w:bCs/>
                    </w:rPr>
                  </w:pPr>
                  <w:r>
                    <w:rPr>
                      <w:rFonts w:hint="eastAsia" w:ascii="Times New Roman" w:hAnsi="Times New Roman" w:cs="Times New Roman"/>
                      <w:bCs/>
                    </w:rPr>
                    <w:t>对环境影响可接受</w:t>
                  </w:r>
                </w:p>
              </w:tc>
              <w:tc>
                <w:tcPr>
                  <w:tcW w:w="1699" w:type="dxa"/>
                  <w:vAlign w:val="center"/>
                </w:tcPr>
                <w:p w14:paraId="720FE7E3">
                  <w:pPr>
                    <w:pStyle w:val="49"/>
                    <w:jc w:val="center"/>
                    <w:rPr>
                      <w:rFonts w:ascii="Times New Roman" w:hAnsi="Times New Roman" w:cs="Times New Roman"/>
                      <w:bCs/>
                    </w:rPr>
                  </w:pPr>
                  <w:r>
                    <w:rPr>
                      <w:rFonts w:hint="eastAsia" w:ascii="Times New Roman" w:hAnsi="Times New Roman" w:cs="Times New Roman"/>
                      <w:bCs/>
                    </w:rPr>
                    <w:t>《工业企业厂界环境噪声排放标准》（GB12348-2008）中2类</w:t>
                  </w:r>
                </w:p>
              </w:tc>
              <w:tc>
                <w:tcPr>
                  <w:tcW w:w="1061" w:type="dxa"/>
                  <w:vAlign w:val="center"/>
                </w:tcPr>
                <w:p w14:paraId="673FD511">
                  <w:pPr>
                    <w:pStyle w:val="49"/>
                    <w:jc w:val="center"/>
                    <w:rPr>
                      <w:rFonts w:ascii="Times New Roman" w:hAnsi="Times New Roman" w:cs="Times New Roman"/>
                      <w:bCs/>
                    </w:rPr>
                  </w:pPr>
                  <w:r>
                    <w:rPr>
                      <w:rFonts w:hint="eastAsia" w:ascii="Times New Roman" w:hAnsi="Times New Roman" w:cs="Times New Roman"/>
                      <w:bCs/>
                    </w:rPr>
                    <w:t>昼间60dB（A），夜间50</w:t>
                  </w:r>
                  <w:r>
                    <w:rPr>
                      <w:rFonts w:hint="eastAsia"/>
                    </w:rPr>
                    <w:t xml:space="preserve"> </w:t>
                  </w:r>
                  <w:r>
                    <w:rPr>
                      <w:rFonts w:hint="eastAsia" w:ascii="Times New Roman" w:hAnsi="Times New Roman" w:cs="Times New Roman"/>
                      <w:bCs/>
                    </w:rPr>
                    <w:t>dB（A）</w:t>
                  </w:r>
                </w:p>
              </w:tc>
            </w:tr>
            <w:tr w14:paraId="76AFF0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36" w:type="dxa"/>
                  <w:vMerge w:val="continue"/>
                  <w:vAlign w:val="center"/>
                </w:tcPr>
                <w:p w14:paraId="2EE7CFBC">
                  <w:pPr>
                    <w:pStyle w:val="49"/>
                    <w:jc w:val="center"/>
                    <w:rPr>
                      <w:rFonts w:ascii="Times New Roman" w:hAnsi="Times New Roman" w:cs="Times New Roman"/>
                      <w:bCs/>
                    </w:rPr>
                  </w:pPr>
                </w:p>
              </w:tc>
              <w:tc>
                <w:tcPr>
                  <w:tcW w:w="2134" w:type="dxa"/>
                  <w:vAlign w:val="center"/>
                </w:tcPr>
                <w:p w14:paraId="0E191CBE">
                  <w:pPr>
                    <w:pStyle w:val="49"/>
                    <w:jc w:val="center"/>
                    <w:rPr>
                      <w:rFonts w:ascii="Times New Roman" w:hAnsi="Times New Roman" w:cs="Times New Roman"/>
                      <w:bCs/>
                    </w:rPr>
                  </w:pPr>
                  <w:r>
                    <w:rPr>
                      <w:rFonts w:hint="eastAsia" w:ascii="Times New Roman" w:hAnsi="Times New Roman" w:cs="Times New Roman"/>
                      <w:bCs/>
                    </w:rPr>
                    <w:t>运输噪声采取经过村庄严禁鸣笛、距离较近居民点周边种植乔木灌木混合的绿化林</w:t>
                  </w:r>
                </w:p>
              </w:tc>
              <w:tc>
                <w:tcPr>
                  <w:tcW w:w="2416" w:type="dxa"/>
                  <w:gridSpan w:val="3"/>
                  <w:vAlign w:val="center"/>
                </w:tcPr>
                <w:p w14:paraId="74705666">
                  <w:pPr>
                    <w:pStyle w:val="49"/>
                    <w:jc w:val="center"/>
                    <w:rPr>
                      <w:rFonts w:ascii="Times New Roman" w:hAnsi="Times New Roman" w:cs="Times New Roman"/>
                      <w:bCs/>
                    </w:rPr>
                  </w:pPr>
                  <w:r>
                    <w:rPr>
                      <w:rFonts w:hint="eastAsia" w:ascii="Times New Roman" w:hAnsi="Times New Roman" w:cs="Times New Roman"/>
                      <w:bCs/>
                    </w:rPr>
                    <w:t>对环境影响可接受</w:t>
                  </w:r>
                </w:p>
              </w:tc>
              <w:tc>
                <w:tcPr>
                  <w:tcW w:w="1699" w:type="dxa"/>
                  <w:vAlign w:val="center"/>
                </w:tcPr>
                <w:p w14:paraId="14AF7BCC">
                  <w:pPr>
                    <w:pStyle w:val="49"/>
                    <w:jc w:val="center"/>
                    <w:rPr>
                      <w:rFonts w:ascii="Times New Roman" w:hAnsi="Times New Roman" w:cs="Times New Roman"/>
                      <w:bCs/>
                    </w:rPr>
                  </w:pPr>
                  <w:r>
                    <w:rPr>
                      <w:rFonts w:hint="eastAsia" w:ascii="Times New Roman" w:hAnsi="Times New Roman" w:cs="Times New Roman"/>
                      <w:bCs/>
                    </w:rPr>
                    <w:t>《工业企业厂界环境噪声排放标准》（GB12348-2008）中4类</w:t>
                  </w:r>
                </w:p>
              </w:tc>
              <w:tc>
                <w:tcPr>
                  <w:tcW w:w="1061" w:type="dxa"/>
                  <w:vAlign w:val="center"/>
                </w:tcPr>
                <w:p w14:paraId="2B2CF496">
                  <w:pPr>
                    <w:pStyle w:val="49"/>
                    <w:jc w:val="center"/>
                    <w:rPr>
                      <w:rFonts w:ascii="Times New Roman" w:hAnsi="Times New Roman" w:cs="Times New Roman"/>
                      <w:bCs/>
                    </w:rPr>
                  </w:pPr>
                  <w:r>
                    <w:rPr>
                      <w:rFonts w:hint="eastAsia" w:ascii="Times New Roman" w:hAnsi="Times New Roman" w:cs="Times New Roman"/>
                      <w:bCs/>
                    </w:rPr>
                    <w:t>昼间70dB（A），夜间55 dB（A）</w:t>
                  </w:r>
                </w:p>
              </w:tc>
            </w:tr>
          </w:tbl>
          <w:p w14:paraId="2521AC11">
            <w:pPr>
              <w:pStyle w:val="49"/>
              <w:spacing w:line="360" w:lineRule="auto"/>
              <w:ind w:firstLine="480" w:firstLineChars="200"/>
              <w:rPr>
                <w:rFonts w:ascii="Times New Roman" w:hAnsi="Times New Roman" w:cs="Times New Roman"/>
                <w:bCs/>
                <w:sz w:val="24"/>
                <w:szCs w:val="24"/>
              </w:rPr>
            </w:pPr>
            <w:r>
              <w:rPr>
                <w:rFonts w:hint="eastAsia" w:ascii="Times New Roman" w:hAnsi="Times New Roman" w:cs="Times New Roman"/>
                <w:bCs/>
                <w:sz w:val="24"/>
                <w:szCs w:val="24"/>
              </w:rPr>
              <w:t>现有项目污染物排放总量批复指标为SO</w:t>
            </w:r>
            <w:r>
              <w:rPr>
                <w:rFonts w:hint="eastAsia" w:ascii="Times New Roman" w:hAnsi="Times New Roman" w:cs="Times New Roman"/>
                <w:bCs/>
                <w:sz w:val="24"/>
                <w:szCs w:val="24"/>
                <w:vertAlign w:val="subscript"/>
              </w:rPr>
              <w:t>2</w:t>
            </w:r>
            <w:r>
              <w:rPr>
                <w:rFonts w:hint="eastAsia" w:ascii="Times New Roman" w:hAnsi="Times New Roman" w:cs="Times New Roman"/>
                <w:bCs/>
                <w:sz w:val="24"/>
                <w:szCs w:val="24"/>
              </w:rPr>
              <w:t xml:space="preserve"> 145.1t/a，NOx 99.0t/a。</w:t>
            </w:r>
          </w:p>
          <w:p w14:paraId="17D2CE76">
            <w:pPr>
              <w:pStyle w:val="49"/>
              <w:spacing w:line="360" w:lineRule="auto"/>
              <w:ind w:firstLine="480" w:firstLineChars="200"/>
              <w:rPr>
                <w:rFonts w:ascii="Times New Roman" w:hAnsi="Times New Roman" w:cs="Times New Roman"/>
                <w:bCs/>
                <w:sz w:val="24"/>
                <w:szCs w:val="24"/>
              </w:rPr>
            </w:pPr>
            <w:r>
              <w:rPr>
                <w:rFonts w:hint="eastAsia" w:ascii="Times New Roman" w:hAnsi="Times New Roman" w:cs="Times New Roman"/>
                <w:bCs/>
                <w:sz w:val="24"/>
                <w:szCs w:val="24"/>
              </w:rPr>
              <w:t>3、现有项目主要环境污染问题及整改要求</w:t>
            </w:r>
          </w:p>
          <w:p w14:paraId="7A6CEA9E">
            <w:pPr>
              <w:pStyle w:val="49"/>
              <w:spacing w:line="360" w:lineRule="auto"/>
              <w:ind w:firstLine="480" w:firstLineChars="200"/>
              <w:rPr>
                <w:rFonts w:hint="eastAsia" w:ascii="黑体" w:hAnsi="黑体" w:eastAsia="黑体"/>
                <w:snapToGrid w:val="0"/>
                <w:szCs w:val="24"/>
              </w:rPr>
            </w:pPr>
            <w:r>
              <w:rPr>
                <w:rFonts w:hint="eastAsia" w:ascii="Times New Roman" w:hAnsi="Times New Roman" w:cs="Times New Roman"/>
                <w:bCs/>
                <w:sz w:val="24"/>
                <w:szCs w:val="24"/>
              </w:rPr>
              <w:t>现有项目于2014年12月3日取得原内蒙古自治区环境保护厅《关于杭锦旗聚能能源有限公司油房壕矿井及选煤厂环境影响报告书的批复》（内环审〔2014〕190号），煤矿目前正处于建设阶段，燃煤蒸汽锅炉目前未建设，应加强施工期环境管理，尽快按要求办理排污许可、突发环境事件应急预案等，规范排污行为。</w:t>
            </w:r>
          </w:p>
        </w:tc>
      </w:tr>
    </w:tbl>
    <w:p w14:paraId="05902E1C">
      <w:pPr>
        <w:pStyle w:val="27"/>
        <w:jc w:val="center"/>
        <w:rPr>
          <w:rFonts w:hint="eastAsia" w:ascii="黑体" w:hAnsi="黑体" w:eastAsia="黑体"/>
          <w:snapToGrid w:val="0"/>
          <w:sz w:val="36"/>
          <w:szCs w:val="36"/>
        </w:rPr>
        <w:sectPr>
          <w:pgSz w:w="11906" w:h="16838"/>
          <w:pgMar w:top="1701" w:right="1531" w:bottom="1701" w:left="1531" w:header="851" w:footer="851" w:gutter="0"/>
          <w:cols w:space="720" w:num="1"/>
          <w:docGrid w:linePitch="312" w:charSpace="0"/>
        </w:sectPr>
      </w:pPr>
    </w:p>
    <w:p w14:paraId="07459E93">
      <w:pPr>
        <w:pStyle w:val="27"/>
        <w:jc w:val="center"/>
        <w:outlineLvl w:val="0"/>
        <w:rPr>
          <w:rFonts w:hint="eastAsia" w:ascii="黑体" w:hAnsi="黑体" w:eastAsia="黑体"/>
          <w:snapToGrid w:val="0"/>
          <w:sz w:val="30"/>
          <w:szCs w:val="30"/>
        </w:rPr>
      </w:pPr>
      <w:bookmarkStart w:id="20" w:name="_Toc172642151"/>
      <w:bookmarkStart w:id="21" w:name="_Toc173761972"/>
      <w:r>
        <w:rPr>
          <w:rFonts w:hint="eastAsia" w:ascii="黑体" w:hAnsi="黑体" w:eastAsia="黑体"/>
          <w:snapToGrid w:val="0"/>
          <w:sz w:val="30"/>
          <w:szCs w:val="30"/>
        </w:rPr>
        <w:t>三、区域环境质量现状、环境保护目标及评价标准</w:t>
      </w:r>
      <w:bookmarkEnd w:id="20"/>
      <w:bookmarkEnd w:id="21"/>
    </w:p>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06"/>
        <w:gridCol w:w="8255"/>
      </w:tblGrid>
      <w:tr w14:paraId="1246837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3" w:hRule="atLeast"/>
          <w:jc w:val="center"/>
        </w:trPr>
        <w:tc>
          <w:tcPr>
            <w:tcW w:w="445" w:type="pct"/>
            <w:vAlign w:val="center"/>
          </w:tcPr>
          <w:p w14:paraId="14E11BF0">
            <w:pPr>
              <w:adjustRightInd w:val="0"/>
              <w:snapToGrid w:val="0"/>
              <w:jc w:val="center"/>
              <w:rPr>
                <w:rFonts w:hint="eastAsia" w:ascii="宋体" w:hAnsi="宋体" w:cs="宋体"/>
                <w:kern w:val="0"/>
                <w:sz w:val="24"/>
              </w:rPr>
            </w:pPr>
            <w:r>
              <w:rPr>
                <w:rFonts w:hint="eastAsia" w:ascii="宋体" w:hAnsi="宋体" w:cs="宋体"/>
                <w:kern w:val="0"/>
                <w:sz w:val="24"/>
              </w:rPr>
              <w:t>区域</w:t>
            </w:r>
          </w:p>
          <w:p w14:paraId="1AF971F3">
            <w:pPr>
              <w:adjustRightInd w:val="0"/>
              <w:snapToGrid w:val="0"/>
              <w:jc w:val="center"/>
              <w:rPr>
                <w:rFonts w:hint="eastAsia" w:ascii="宋体" w:hAnsi="宋体" w:cs="宋体"/>
                <w:kern w:val="0"/>
                <w:sz w:val="24"/>
              </w:rPr>
            </w:pPr>
            <w:r>
              <w:rPr>
                <w:rFonts w:hint="eastAsia" w:ascii="宋体" w:hAnsi="宋体" w:cs="宋体"/>
                <w:kern w:val="0"/>
                <w:sz w:val="24"/>
              </w:rPr>
              <w:t>环境</w:t>
            </w:r>
          </w:p>
          <w:p w14:paraId="6E952DBF">
            <w:pPr>
              <w:adjustRightInd w:val="0"/>
              <w:snapToGrid w:val="0"/>
              <w:jc w:val="center"/>
              <w:rPr>
                <w:rFonts w:hint="eastAsia" w:ascii="宋体" w:hAnsi="宋体" w:cs="宋体"/>
                <w:kern w:val="0"/>
                <w:sz w:val="24"/>
              </w:rPr>
            </w:pPr>
            <w:r>
              <w:rPr>
                <w:rFonts w:hint="eastAsia" w:ascii="宋体" w:hAnsi="宋体" w:cs="宋体"/>
                <w:kern w:val="0"/>
                <w:sz w:val="24"/>
              </w:rPr>
              <w:t>质量</w:t>
            </w:r>
          </w:p>
          <w:p w14:paraId="6C08FA9C">
            <w:pPr>
              <w:adjustRightInd w:val="0"/>
              <w:snapToGrid w:val="0"/>
              <w:jc w:val="center"/>
              <w:rPr>
                <w:rFonts w:hint="eastAsia" w:ascii="宋体" w:hAnsi="宋体" w:cs="宋体"/>
                <w:kern w:val="0"/>
                <w:sz w:val="24"/>
              </w:rPr>
            </w:pPr>
            <w:r>
              <w:rPr>
                <w:rFonts w:hint="eastAsia" w:ascii="宋体" w:hAnsi="宋体" w:cs="宋体"/>
                <w:kern w:val="0"/>
                <w:sz w:val="24"/>
              </w:rPr>
              <w:t>现状</w:t>
            </w:r>
          </w:p>
        </w:tc>
        <w:tc>
          <w:tcPr>
            <w:tcW w:w="4555" w:type="pct"/>
            <w:vAlign w:val="center"/>
          </w:tcPr>
          <w:p w14:paraId="2F832730">
            <w:pPr>
              <w:adjustRightInd w:val="0"/>
              <w:snapToGrid w:val="0"/>
              <w:spacing w:before="120" w:beforeLines="50" w:line="360" w:lineRule="auto"/>
              <w:ind w:firstLine="482" w:firstLineChars="200"/>
              <w:rPr>
                <w:b/>
                <w:bCs/>
                <w:kern w:val="0"/>
                <w:sz w:val="24"/>
              </w:rPr>
            </w:pPr>
            <w:r>
              <w:rPr>
                <w:b/>
                <w:bCs/>
                <w:kern w:val="0"/>
                <w:sz w:val="24"/>
              </w:rPr>
              <w:t>1.环境空气质量现状</w:t>
            </w:r>
          </w:p>
          <w:p w14:paraId="5583214C">
            <w:pPr>
              <w:adjustRightInd w:val="0"/>
              <w:snapToGrid w:val="0"/>
              <w:spacing w:line="360" w:lineRule="auto"/>
              <w:ind w:firstLine="480" w:firstLineChars="200"/>
              <w:rPr>
                <w:kern w:val="0"/>
                <w:sz w:val="24"/>
              </w:rPr>
            </w:pPr>
            <w:r>
              <w:rPr>
                <w:rFonts w:hint="eastAsia"/>
                <w:kern w:val="0"/>
                <w:sz w:val="24"/>
              </w:rPr>
              <w:t>（1）</w:t>
            </w:r>
            <w:r>
              <w:rPr>
                <w:kern w:val="0"/>
                <w:sz w:val="24"/>
              </w:rPr>
              <w:t>达标区域判断</w:t>
            </w:r>
          </w:p>
          <w:p w14:paraId="0B329490">
            <w:pPr>
              <w:adjustRightInd w:val="0"/>
              <w:snapToGrid w:val="0"/>
              <w:spacing w:line="360" w:lineRule="auto"/>
              <w:ind w:firstLine="480" w:firstLineChars="200"/>
              <w:rPr>
                <w:kern w:val="0"/>
                <w:sz w:val="24"/>
              </w:rPr>
            </w:pPr>
            <w:r>
              <w:rPr>
                <w:kern w:val="0"/>
                <w:sz w:val="24"/>
              </w:rPr>
              <w:t>项目位于</w:t>
            </w:r>
            <w:r>
              <w:rPr>
                <w:rFonts w:hint="eastAsia"/>
                <w:kern w:val="0"/>
                <w:sz w:val="24"/>
              </w:rPr>
              <w:t>内蒙古自治区鄂尔多斯市东胜区泊尔江海子镇杭锦旗聚能能源有限公司油房壕煤矿工业场地范围内，</w:t>
            </w:r>
            <w:bookmarkStart w:id="22" w:name="_Hlk178154424"/>
            <w:r>
              <w:rPr>
                <w:kern w:val="0"/>
                <w:sz w:val="24"/>
              </w:rPr>
              <w:t>根据内蒙古自治区生态环境厅发布的202</w:t>
            </w:r>
            <w:r>
              <w:rPr>
                <w:rFonts w:hint="eastAsia"/>
                <w:kern w:val="0"/>
                <w:sz w:val="24"/>
              </w:rPr>
              <w:t>4年《内蒙古自治区生态环境状况公报》，“</w:t>
            </w:r>
            <w:r>
              <w:rPr>
                <w:kern w:val="0"/>
                <w:sz w:val="24"/>
              </w:rPr>
              <w:t>全区环境空气六项污染物年均浓度均达标</w:t>
            </w:r>
            <w:r>
              <w:rPr>
                <w:rFonts w:hint="eastAsia"/>
                <w:kern w:val="0"/>
                <w:sz w:val="24"/>
              </w:rPr>
              <w:t>”，因此项目所在区域为达标区。</w:t>
            </w:r>
          </w:p>
          <w:p w14:paraId="57CB6C91">
            <w:pPr>
              <w:adjustRightInd w:val="0"/>
              <w:snapToGrid w:val="0"/>
              <w:spacing w:line="360" w:lineRule="auto"/>
              <w:ind w:firstLine="480" w:firstLineChars="200"/>
              <w:rPr>
                <w:kern w:val="0"/>
                <w:sz w:val="24"/>
              </w:rPr>
            </w:pPr>
            <w:r>
              <w:rPr>
                <w:rFonts w:hint="eastAsia"/>
                <w:kern w:val="0"/>
                <w:sz w:val="24"/>
              </w:rPr>
              <w:t>根据“环境空气模型技术支持服务系统”监测结果显示：鄂尔多斯市2024年SO</w:t>
            </w:r>
            <w:r>
              <w:rPr>
                <w:rFonts w:hint="eastAsia"/>
                <w:kern w:val="0"/>
                <w:sz w:val="24"/>
                <w:vertAlign w:val="subscript"/>
              </w:rPr>
              <w:t>2</w:t>
            </w:r>
            <w:r>
              <w:rPr>
                <w:rFonts w:hint="eastAsia"/>
                <w:kern w:val="0"/>
                <w:sz w:val="24"/>
              </w:rPr>
              <w:t>、NO</w:t>
            </w:r>
            <w:r>
              <w:rPr>
                <w:rFonts w:hint="eastAsia"/>
                <w:kern w:val="0"/>
                <w:sz w:val="24"/>
                <w:vertAlign w:val="subscript"/>
              </w:rPr>
              <w:t>2</w:t>
            </w:r>
            <w:r>
              <w:rPr>
                <w:rFonts w:hint="eastAsia"/>
                <w:kern w:val="0"/>
                <w:sz w:val="24"/>
              </w:rPr>
              <w:t>、PM</w:t>
            </w:r>
            <w:r>
              <w:rPr>
                <w:rFonts w:hint="eastAsia"/>
                <w:kern w:val="0"/>
                <w:sz w:val="24"/>
                <w:vertAlign w:val="subscript"/>
              </w:rPr>
              <w:t>10</w:t>
            </w:r>
            <w:r>
              <w:rPr>
                <w:rFonts w:hint="eastAsia"/>
                <w:kern w:val="0"/>
                <w:sz w:val="24"/>
              </w:rPr>
              <w:t>、PM</w:t>
            </w:r>
            <w:r>
              <w:rPr>
                <w:rFonts w:hint="eastAsia"/>
                <w:kern w:val="0"/>
                <w:sz w:val="24"/>
                <w:vertAlign w:val="subscript"/>
              </w:rPr>
              <w:t>2.5</w:t>
            </w:r>
            <w:r>
              <w:rPr>
                <w:rFonts w:hint="eastAsia"/>
                <w:kern w:val="0"/>
                <w:sz w:val="24"/>
              </w:rPr>
              <w:t>年均浓度分别为9</w:t>
            </w:r>
            <w:r>
              <w:rPr>
                <w:kern w:val="0"/>
                <w:sz w:val="24"/>
              </w:rPr>
              <w:t>μ</w:t>
            </w:r>
            <w:r>
              <w:rPr>
                <w:rFonts w:hint="eastAsia"/>
                <w:kern w:val="0"/>
                <w:sz w:val="24"/>
              </w:rPr>
              <w:t>g/m</w:t>
            </w:r>
            <w:r>
              <w:rPr>
                <w:rFonts w:hint="eastAsia"/>
                <w:kern w:val="0"/>
                <w:sz w:val="24"/>
                <w:vertAlign w:val="superscript"/>
              </w:rPr>
              <w:t>3</w:t>
            </w:r>
            <w:r>
              <w:rPr>
                <w:rFonts w:hint="eastAsia"/>
                <w:kern w:val="0"/>
                <w:sz w:val="24"/>
              </w:rPr>
              <w:t>、24</w:t>
            </w:r>
            <w:r>
              <w:rPr>
                <w:kern w:val="0"/>
                <w:sz w:val="24"/>
              </w:rPr>
              <w:t>μg /m</w:t>
            </w:r>
            <w:r>
              <w:rPr>
                <w:kern w:val="0"/>
                <w:sz w:val="24"/>
                <w:vertAlign w:val="superscript"/>
              </w:rPr>
              <w:t>3</w:t>
            </w:r>
            <w:r>
              <w:rPr>
                <w:rFonts w:hint="eastAsia"/>
                <w:kern w:val="0"/>
                <w:sz w:val="24"/>
              </w:rPr>
              <w:t>、55</w:t>
            </w:r>
            <w:r>
              <w:rPr>
                <w:kern w:val="0"/>
                <w:sz w:val="24"/>
              </w:rPr>
              <w:t>μg /m</w:t>
            </w:r>
            <w:r>
              <w:rPr>
                <w:kern w:val="0"/>
                <w:sz w:val="24"/>
                <w:vertAlign w:val="superscript"/>
              </w:rPr>
              <w:t>3</w:t>
            </w:r>
            <w:r>
              <w:rPr>
                <w:rFonts w:hint="eastAsia"/>
                <w:kern w:val="0"/>
                <w:sz w:val="24"/>
              </w:rPr>
              <w:t>、22</w:t>
            </w:r>
            <w:r>
              <w:rPr>
                <w:kern w:val="0"/>
                <w:sz w:val="24"/>
              </w:rPr>
              <w:t>μg /m</w:t>
            </w:r>
            <w:r>
              <w:rPr>
                <w:kern w:val="0"/>
                <w:sz w:val="24"/>
                <w:vertAlign w:val="superscript"/>
              </w:rPr>
              <w:t>3</w:t>
            </w:r>
            <w:r>
              <w:rPr>
                <w:rFonts w:hint="eastAsia"/>
                <w:kern w:val="0"/>
                <w:sz w:val="24"/>
              </w:rPr>
              <w:t>；CO 24小时平均第95百分位数为0.8mg/m</w:t>
            </w:r>
            <w:r>
              <w:rPr>
                <w:rFonts w:hint="eastAsia"/>
                <w:kern w:val="0"/>
                <w:sz w:val="24"/>
                <w:vertAlign w:val="superscript"/>
              </w:rPr>
              <w:t>3</w:t>
            </w:r>
            <w:r>
              <w:rPr>
                <w:rFonts w:hint="eastAsia"/>
                <w:kern w:val="0"/>
                <w:sz w:val="24"/>
              </w:rPr>
              <w:t>，O</w:t>
            </w:r>
            <w:r>
              <w:rPr>
                <w:rFonts w:hint="eastAsia"/>
                <w:kern w:val="0"/>
                <w:sz w:val="24"/>
                <w:vertAlign w:val="subscript"/>
              </w:rPr>
              <w:t>3</w:t>
            </w:r>
            <w:r>
              <w:rPr>
                <w:rFonts w:hint="eastAsia"/>
                <w:kern w:val="0"/>
                <w:sz w:val="24"/>
              </w:rPr>
              <w:t>日最大8小时平均第90百分位数为154</w:t>
            </w:r>
            <w:r>
              <w:rPr>
                <w:kern w:val="0"/>
                <w:sz w:val="24"/>
              </w:rPr>
              <w:t>μg /m</w:t>
            </w:r>
            <w:r>
              <w:rPr>
                <w:kern w:val="0"/>
                <w:sz w:val="24"/>
                <w:vertAlign w:val="superscript"/>
              </w:rPr>
              <w:t>3</w:t>
            </w:r>
            <w:r>
              <w:rPr>
                <w:rFonts w:hint="eastAsia"/>
                <w:kern w:val="0"/>
                <w:sz w:val="24"/>
              </w:rPr>
              <w:t>；各污染物平均浓度均优于《环境空气质量标准》（GB3095-2012）中二级标准限值。</w:t>
            </w:r>
          </w:p>
          <w:p w14:paraId="1DE1C43D">
            <w:pPr>
              <w:jc w:val="center"/>
              <w:rPr>
                <w:b/>
                <w:bCs/>
                <w:szCs w:val="21"/>
              </w:rPr>
            </w:pPr>
            <w:r>
              <w:rPr>
                <w:b/>
                <w:bCs/>
                <w:szCs w:val="21"/>
              </w:rPr>
              <w:t>表3-1  区域环境空气质量现状评价表</w:t>
            </w:r>
          </w:p>
          <w:tbl>
            <w:tblPr>
              <w:tblStyle w:val="3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70"/>
              <w:gridCol w:w="1820"/>
              <w:gridCol w:w="1140"/>
              <w:gridCol w:w="1080"/>
              <w:gridCol w:w="760"/>
              <w:gridCol w:w="788"/>
              <w:gridCol w:w="711"/>
              <w:gridCol w:w="770"/>
            </w:tblGrid>
            <w:tr w14:paraId="553050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Align w:val="center"/>
                </w:tcPr>
                <w:p w14:paraId="79320A36">
                  <w:pPr>
                    <w:pStyle w:val="68"/>
                    <w:rPr>
                      <w:b w:val="0"/>
                      <w:bCs/>
                    </w:rPr>
                  </w:pPr>
                  <w:r>
                    <w:rPr>
                      <w:rFonts w:hint="eastAsia"/>
                      <w:b w:val="0"/>
                      <w:bCs/>
                    </w:rPr>
                    <w:t>污染物</w:t>
                  </w:r>
                </w:p>
              </w:tc>
              <w:tc>
                <w:tcPr>
                  <w:tcW w:w="1132" w:type="pct"/>
                  <w:vAlign w:val="center"/>
                </w:tcPr>
                <w:p w14:paraId="0FBEA059">
                  <w:pPr>
                    <w:pStyle w:val="68"/>
                    <w:rPr>
                      <w:b w:val="0"/>
                      <w:bCs/>
                    </w:rPr>
                  </w:pPr>
                  <w:r>
                    <w:rPr>
                      <w:rFonts w:hint="eastAsia"/>
                      <w:b w:val="0"/>
                      <w:bCs/>
                    </w:rPr>
                    <w:t>年评价指标</w:t>
                  </w:r>
                </w:p>
              </w:tc>
              <w:tc>
                <w:tcPr>
                  <w:tcW w:w="709" w:type="pct"/>
                  <w:vAlign w:val="center"/>
                </w:tcPr>
                <w:p w14:paraId="1F1A2B02">
                  <w:pPr>
                    <w:pStyle w:val="68"/>
                    <w:rPr>
                      <w:b w:val="0"/>
                      <w:bCs/>
                    </w:rPr>
                  </w:pPr>
                  <w:r>
                    <w:rPr>
                      <w:rFonts w:hint="eastAsia"/>
                      <w:b w:val="0"/>
                      <w:bCs/>
                    </w:rPr>
                    <w:t>现状浓度</w:t>
                  </w:r>
                </w:p>
              </w:tc>
              <w:tc>
                <w:tcPr>
                  <w:tcW w:w="672" w:type="pct"/>
                  <w:vAlign w:val="center"/>
                </w:tcPr>
                <w:p w14:paraId="49F0B9CD">
                  <w:pPr>
                    <w:pStyle w:val="68"/>
                    <w:rPr>
                      <w:b w:val="0"/>
                      <w:bCs/>
                    </w:rPr>
                  </w:pPr>
                  <w:r>
                    <w:rPr>
                      <w:rFonts w:hint="eastAsia"/>
                      <w:b w:val="0"/>
                      <w:bCs/>
                    </w:rPr>
                    <w:t>标准值</w:t>
                  </w:r>
                </w:p>
              </w:tc>
              <w:tc>
                <w:tcPr>
                  <w:tcW w:w="473" w:type="pct"/>
                  <w:vAlign w:val="center"/>
                </w:tcPr>
                <w:p w14:paraId="3314D1A7">
                  <w:pPr>
                    <w:pStyle w:val="68"/>
                    <w:rPr>
                      <w:b w:val="0"/>
                      <w:bCs/>
                    </w:rPr>
                  </w:pPr>
                  <w:r>
                    <w:rPr>
                      <w:rFonts w:hint="eastAsia"/>
                      <w:b w:val="0"/>
                      <w:bCs/>
                    </w:rPr>
                    <w:t>占标率%</w:t>
                  </w:r>
                </w:p>
              </w:tc>
              <w:tc>
                <w:tcPr>
                  <w:tcW w:w="490" w:type="pct"/>
                  <w:vAlign w:val="center"/>
                </w:tcPr>
                <w:p w14:paraId="40BBC7E3">
                  <w:pPr>
                    <w:pStyle w:val="68"/>
                    <w:rPr>
                      <w:b w:val="0"/>
                      <w:bCs/>
                    </w:rPr>
                  </w:pPr>
                  <w:r>
                    <w:rPr>
                      <w:rFonts w:hint="eastAsia"/>
                      <w:b w:val="0"/>
                      <w:bCs/>
                    </w:rPr>
                    <w:t>达标情况</w:t>
                  </w:r>
                </w:p>
              </w:tc>
              <w:tc>
                <w:tcPr>
                  <w:tcW w:w="442" w:type="pct"/>
                  <w:vAlign w:val="center"/>
                </w:tcPr>
                <w:p w14:paraId="7EF02F98">
                  <w:pPr>
                    <w:pStyle w:val="68"/>
                    <w:rPr>
                      <w:b w:val="0"/>
                      <w:bCs/>
                    </w:rPr>
                  </w:pPr>
                  <w:r>
                    <w:rPr>
                      <w:rFonts w:hint="eastAsia"/>
                      <w:b w:val="0"/>
                      <w:bCs/>
                    </w:rPr>
                    <w:t>超标倍数</w:t>
                  </w:r>
                </w:p>
              </w:tc>
              <w:tc>
                <w:tcPr>
                  <w:tcW w:w="479" w:type="pct"/>
                  <w:vAlign w:val="center"/>
                </w:tcPr>
                <w:p w14:paraId="5F5EDC25">
                  <w:pPr>
                    <w:pStyle w:val="68"/>
                    <w:rPr>
                      <w:b w:val="0"/>
                      <w:bCs/>
                    </w:rPr>
                  </w:pPr>
                  <w:r>
                    <w:rPr>
                      <w:rFonts w:hint="eastAsia"/>
                      <w:b w:val="0"/>
                      <w:bCs/>
                    </w:rPr>
                    <w:t>超标率%</w:t>
                  </w:r>
                </w:p>
              </w:tc>
            </w:tr>
            <w:tr w14:paraId="3553FD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Align w:val="center"/>
                </w:tcPr>
                <w:p w14:paraId="397D0AE6">
                  <w:pPr>
                    <w:pStyle w:val="68"/>
                    <w:rPr>
                      <w:b w:val="0"/>
                    </w:rPr>
                  </w:pPr>
                  <w:r>
                    <w:rPr>
                      <w:rFonts w:hint="eastAsia"/>
                      <w:b w:val="0"/>
                    </w:rPr>
                    <w:t>PM</w:t>
                  </w:r>
                  <w:r>
                    <w:rPr>
                      <w:rFonts w:hint="eastAsia"/>
                      <w:b w:val="0"/>
                      <w:vertAlign w:val="subscript"/>
                    </w:rPr>
                    <w:t>10</w:t>
                  </w:r>
                </w:p>
              </w:tc>
              <w:tc>
                <w:tcPr>
                  <w:tcW w:w="1132" w:type="pct"/>
                  <w:vAlign w:val="center"/>
                </w:tcPr>
                <w:p w14:paraId="0D17E828">
                  <w:pPr>
                    <w:pStyle w:val="68"/>
                    <w:rPr>
                      <w:b w:val="0"/>
                    </w:rPr>
                  </w:pPr>
                  <w:r>
                    <w:rPr>
                      <w:rFonts w:hint="eastAsia"/>
                      <w:b w:val="0"/>
                    </w:rPr>
                    <w:t>年平均质量浓度</w:t>
                  </w:r>
                </w:p>
              </w:tc>
              <w:tc>
                <w:tcPr>
                  <w:tcW w:w="709" w:type="pct"/>
                  <w:vAlign w:val="center"/>
                </w:tcPr>
                <w:p w14:paraId="69320EC3">
                  <w:pPr>
                    <w:pStyle w:val="68"/>
                    <w:rPr>
                      <w:b w:val="0"/>
                    </w:rPr>
                  </w:pPr>
                  <w:r>
                    <w:rPr>
                      <w:rFonts w:hint="eastAsia"/>
                      <w:b w:val="0"/>
                    </w:rPr>
                    <w:t>55</w:t>
                  </w:r>
                  <w:r>
                    <w:rPr>
                      <w:b w:val="0"/>
                    </w:rPr>
                    <w:t>µ</w:t>
                  </w:r>
                  <w:r>
                    <w:rPr>
                      <w:rFonts w:hint="eastAsia"/>
                      <w:b w:val="0"/>
                    </w:rPr>
                    <w:t>g</w:t>
                  </w:r>
                  <w:r>
                    <w:rPr>
                      <w:b w:val="0"/>
                    </w:rPr>
                    <w:t>/</w:t>
                  </w:r>
                  <w:r>
                    <w:rPr>
                      <w:rFonts w:hint="eastAsia"/>
                      <w:b w:val="0"/>
                    </w:rPr>
                    <w:t>m</w:t>
                  </w:r>
                  <w:r>
                    <w:rPr>
                      <w:b w:val="0"/>
                      <w:vertAlign w:val="superscript"/>
                    </w:rPr>
                    <w:t>3</w:t>
                  </w:r>
                </w:p>
              </w:tc>
              <w:tc>
                <w:tcPr>
                  <w:tcW w:w="672" w:type="pct"/>
                  <w:vAlign w:val="center"/>
                </w:tcPr>
                <w:p w14:paraId="406D2C93">
                  <w:pPr>
                    <w:pStyle w:val="68"/>
                    <w:rPr>
                      <w:b w:val="0"/>
                    </w:rPr>
                  </w:pPr>
                  <w:r>
                    <w:rPr>
                      <w:rFonts w:hint="eastAsia"/>
                      <w:b w:val="0"/>
                    </w:rPr>
                    <w:t>7</w:t>
                  </w:r>
                  <w:r>
                    <w:rPr>
                      <w:b w:val="0"/>
                    </w:rPr>
                    <w:t>0µg/m</w:t>
                  </w:r>
                  <w:r>
                    <w:rPr>
                      <w:b w:val="0"/>
                      <w:vertAlign w:val="superscript"/>
                    </w:rPr>
                    <w:t>3</w:t>
                  </w:r>
                </w:p>
              </w:tc>
              <w:tc>
                <w:tcPr>
                  <w:tcW w:w="473" w:type="pct"/>
                  <w:vAlign w:val="center"/>
                </w:tcPr>
                <w:p w14:paraId="3753E629">
                  <w:pPr>
                    <w:pStyle w:val="68"/>
                    <w:rPr>
                      <w:b w:val="0"/>
                    </w:rPr>
                  </w:pPr>
                  <w:r>
                    <w:rPr>
                      <w:rFonts w:hint="eastAsia"/>
                      <w:b w:val="0"/>
                    </w:rPr>
                    <w:t>78.6</w:t>
                  </w:r>
                </w:p>
              </w:tc>
              <w:tc>
                <w:tcPr>
                  <w:tcW w:w="490" w:type="pct"/>
                  <w:vAlign w:val="center"/>
                </w:tcPr>
                <w:p w14:paraId="28B175CF">
                  <w:pPr>
                    <w:pStyle w:val="68"/>
                    <w:rPr>
                      <w:b w:val="0"/>
                    </w:rPr>
                  </w:pPr>
                  <w:r>
                    <w:rPr>
                      <w:rFonts w:hint="eastAsia"/>
                      <w:b w:val="0"/>
                    </w:rPr>
                    <w:t>达标</w:t>
                  </w:r>
                </w:p>
              </w:tc>
              <w:tc>
                <w:tcPr>
                  <w:tcW w:w="442" w:type="pct"/>
                  <w:vAlign w:val="center"/>
                </w:tcPr>
                <w:p w14:paraId="3B01418B">
                  <w:pPr>
                    <w:pStyle w:val="68"/>
                    <w:rPr>
                      <w:b w:val="0"/>
                      <w:bCs/>
                    </w:rPr>
                  </w:pPr>
                  <w:r>
                    <w:rPr>
                      <w:rFonts w:hint="eastAsia"/>
                      <w:b w:val="0"/>
                      <w:bCs/>
                    </w:rPr>
                    <w:t>/</w:t>
                  </w:r>
                </w:p>
              </w:tc>
              <w:tc>
                <w:tcPr>
                  <w:tcW w:w="479" w:type="pct"/>
                  <w:vAlign w:val="center"/>
                </w:tcPr>
                <w:p w14:paraId="3A3C45F1">
                  <w:pPr>
                    <w:pStyle w:val="68"/>
                    <w:rPr>
                      <w:b w:val="0"/>
                      <w:bCs/>
                    </w:rPr>
                  </w:pPr>
                  <w:r>
                    <w:rPr>
                      <w:rFonts w:hint="eastAsia"/>
                      <w:b w:val="0"/>
                      <w:bCs/>
                    </w:rPr>
                    <w:t>/</w:t>
                  </w:r>
                </w:p>
              </w:tc>
            </w:tr>
            <w:tr w14:paraId="297FCA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Align w:val="center"/>
                </w:tcPr>
                <w:p w14:paraId="72266944">
                  <w:pPr>
                    <w:pStyle w:val="68"/>
                    <w:rPr>
                      <w:b w:val="0"/>
                    </w:rPr>
                  </w:pPr>
                  <w:r>
                    <w:rPr>
                      <w:rFonts w:hint="eastAsia"/>
                      <w:b w:val="0"/>
                    </w:rPr>
                    <w:t>PM</w:t>
                  </w:r>
                  <w:r>
                    <w:rPr>
                      <w:b w:val="0"/>
                      <w:vertAlign w:val="subscript"/>
                    </w:rPr>
                    <w:t>2.5</w:t>
                  </w:r>
                </w:p>
              </w:tc>
              <w:tc>
                <w:tcPr>
                  <w:tcW w:w="1132" w:type="pct"/>
                </w:tcPr>
                <w:p w14:paraId="46A155AE">
                  <w:pPr>
                    <w:pStyle w:val="68"/>
                    <w:rPr>
                      <w:b w:val="0"/>
                    </w:rPr>
                  </w:pPr>
                  <w:r>
                    <w:rPr>
                      <w:rFonts w:hint="eastAsia"/>
                      <w:b w:val="0"/>
                    </w:rPr>
                    <w:t>年平均质量浓度</w:t>
                  </w:r>
                </w:p>
              </w:tc>
              <w:tc>
                <w:tcPr>
                  <w:tcW w:w="709" w:type="pct"/>
                  <w:vAlign w:val="center"/>
                </w:tcPr>
                <w:p w14:paraId="3660D758">
                  <w:pPr>
                    <w:pStyle w:val="68"/>
                    <w:rPr>
                      <w:b w:val="0"/>
                    </w:rPr>
                  </w:pPr>
                  <w:r>
                    <w:rPr>
                      <w:rFonts w:hint="eastAsia"/>
                      <w:b w:val="0"/>
                    </w:rPr>
                    <w:t>22</w:t>
                  </w:r>
                  <w:r>
                    <w:rPr>
                      <w:b w:val="0"/>
                    </w:rPr>
                    <w:t>µg/m</w:t>
                  </w:r>
                  <w:r>
                    <w:rPr>
                      <w:b w:val="0"/>
                      <w:vertAlign w:val="superscript"/>
                    </w:rPr>
                    <w:t>3</w:t>
                  </w:r>
                </w:p>
              </w:tc>
              <w:tc>
                <w:tcPr>
                  <w:tcW w:w="672" w:type="pct"/>
                  <w:vAlign w:val="center"/>
                </w:tcPr>
                <w:p w14:paraId="3C320A5C">
                  <w:pPr>
                    <w:pStyle w:val="68"/>
                    <w:rPr>
                      <w:b w:val="0"/>
                    </w:rPr>
                  </w:pPr>
                  <w:r>
                    <w:rPr>
                      <w:rFonts w:hint="eastAsia"/>
                      <w:b w:val="0"/>
                    </w:rPr>
                    <w:t>3</w:t>
                  </w:r>
                  <w:r>
                    <w:rPr>
                      <w:b w:val="0"/>
                    </w:rPr>
                    <w:t>5µg/m</w:t>
                  </w:r>
                  <w:r>
                    <w:rPr>
                      <w:b w:val="0"/>
                      <w:vertAlign w:val="superscript"/>
                    </w:rPr>
                    <w:t>3</w:t>
                  </w:r>
                </w:p>
              </w:tc>
              <w:tc>
                <w:tcPr>
                  <w:tcW w:w="473" w:type="pct"/>
                  <w:vAlign w:val="center"/>
                </w:tcPr>
                <w:p w14:paraId="66C43885">
                  <w:pPr>
                    <w:pStyle w:val="68"/>
                    <w:rPr>
                      <w:b w:val="0"/>
                    </w:rPr>
                  </w:pPr>
                  <w:r>
                    <w:rPr>
                      <w:rFonts w:hint="eastAsia"/>
                      <w:b w:val="0"/>
                    </w:rPr>
                    <w:t>62.9</w:t>
                  </w:r>
                </w:p>
              </w:tc>
              <w:tc>
                <w:tcPr>
                  <w:tcW w:w="490" w:type="pct"/>
                  <w:vAlign w:val="center"/>
                </w:tcPr>
                <w:p w14:paraId="10B94300">
                  <w:pPr>
                    <w:pStyle w:val="68"/>
                    <w:rPr>
                      <w:b w:val="0"/>
                    </w:rPr>
                  </w:pPr>
                  <w:r>
                    <w:rPr>
                      <w:rFonts w:hint="eastAsia"/>
                      <w:b w:val="0"/>
                    </w:rPr>
                    <w:t>达标</w:t>
                  </w:r>
                </w:p>
              </w:tc>
              <w:tc>
                <w:tcPr>
                  <w:tcW w:w="442" w:type="pct"/>
                  <w:vAlign w:val="center"/>
                </w:tcPr>
                <w:p w14:paraId="2E4C1411">
                  <w:pPr>
                    <w:pStyle w:val="68"/>
                    <w:rPr>
                      <w:b w:val="0"/>
                      <w:bCs/>
                    </w:rPr>
                  </w:pPr>
                  <w:r>
                    <w:rPr>
                      <w:rFonts w:hint="eastAsia"/>
                      <w:b w:val="0"/>
                      <w:bCs/>
                    </w:rPr>
                    <w:t>/</w:t>
                  </w:r>
                </w:p>
              </w:tc>
              <w:tc>
                <w:tcPr>
                  <w:tcW w:w="479" w:type="pct"/>
                  <w:vAlign w:val="center"/>
                </w:tcPr>
                <w:p w14:paraId="37AAAB70">
                  <w:pPr>
                    <w:pStyle w:val="68"/>
                    <w:rPr>
                      <w:b w:val="0"/>
                      <w:bCs/>
                    </w:rPr>
                  </w:pPr>
                  <w:r>
                    <w:rPr>
                      <w:rFonts w:hint="eastAsia"/>
                      <w:b w:val="0"/>
                      <w:bCs/>
                    </w:rPr>
                    <w:t>/</w:t>
                  </w:r>
                </w:p>
              </w:tc>
            </w:tr>
            <w:tr w14:paraId="567AD7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Align w:val="center"/>
                </w:tcPr>
                <w:p w14:paraId="268ED9F0">
                  <w:pPr>
                    <w:pStyle w:val="68"/>
                    <w:rPr>
                      <w:b w:val="0"/>
                    </w:rPr>
                  </w:pPr>
                  <w:r>
                    <w:rPr>
                      <w:rFonts w:hint="eastAsia"/>
                      <w:b w:val="0"/>
                    </w:rPr>
                    <w:t>SO</w:t>
                  </w:r>
                  <w:r>
                    <w:rPr>
                      <w:rFonts w:hint="eastAsia"/>
                      <w:b w:val="0"/>
                      <w:vertAlign w:val="subscript"/>
                    </w:rPr>
                    <w:t>2</w:t>
                  </w:r>
                </w:p>
              </w:tc>
              <w:tc>
                <w:tcPr>
                  <w:tcW w:w="1132" w:type="pct"/>
                </w:tcPr>
                <w:p w14:paraId="514BA188">
                  <w:pPr>
                    <w:pStyle w:val="68"/>
                    <w:rPr>
                      <w:b w:val="0"/>
                    </w:rPr>
                  </w:pPr>
                  <w:r>
                    <w:rPr>
                      <w:rFonts w:hint="eastAsia"/>
                      <w:b w:val="0"/>
                    </w:rPr>
                    <w:t>年平均质量浓度</w:t>
                  </w:r>
                </w:p>
              </w:tc>
              <w:tc>
                <w:tcPr>
                  <w:tcW w:w="709" w:type="pct"/>
                  <w:vAlign w:val="center"/>
                </w:tcPr>
                <w:p w14:paraId="5D80B3F9">
                  <w:pPr>
                    <w:pStyle w:val="68"/>
                    <w:rPr>
                      <w:b w:val="0"/>
                    </w:rPr>
                  </w:pPr>
                  <w:r>
                    <w:rPr>
                      <w:rFonts w:hint="eastAsia"/>
                      <w:b w:val="0"/>
                    </w:rPr>
                    <w:t>9</w:t>
                  </w:r>
                  <w:r>
                    <w:rPr>
                      <w:b w:val="0"/>
                    </w:rPr>
                    <w:t>µg/m</w:t>
                  </w:r>
                  <w:r>
                    <w:rPr>
                      <w:b w:val="0"/>
                      <w:vertAlign w:val="superscript"/>
                    </w:rPr>
                    <w:t>3</w:t>
                  </w:r>
                </w:p>
              </w:tc>
              <w:tc>
                <w:tcPr>
                  <w:tcW w:w="672" w:type="pct"/>
                  <w:vAlign w:val="center"/>
                </w:tcPr>
                <w:p w14:paraId="2D8541EE">
                  <w:pPr>
                    <w:pStyle w:val="68"/>
                    <w:rPr>
                      <w:b w:val="0"/>
                    </w:rPr>
                  </w:pPr>
                  <w:r>
                    <w:rPr>
                      <w:rFonts w:hint="eastAsia"/>
                      <w:b w:val="0"/>
                    </w:rPr>
                    <w:t>6</w:t>
                  </w:r>
                  <w:r>
                    <w:rPr>
                      <w:b w:val="0"/>
                    </w:rPr>
                    <w:t>0µg/m</w:t>
                  </w:r>
                  <w:r>
                    <w:rPr>
                      <w:b w:val="0"/>
                      <w:vertAlign w:val="superscript"/>
                    </w:rPr>
                    <w:t>3</w:t>
                  </w:r>
                </w:p>
              </w:tc>
              <w:tc>
                <w:tcPr>
                  <w:tcW w:w="473" w:type="pct"/>
                  <w:vAlign w:val="center"/>
                </w:tcPr>
                <w:p w14:paraId="6C3F2592">
                  <w:pPr>
                    <w:pStyle w:val="68"/>
                    <w:rPr>
                      <w:b w:val="0"/>
                    </w:rPr>
                  </w:pPr>
                  <w:r>
                    <w:rPr>
                      <w:rFonts w:hint="eastAsia"/>
                      <w:b w:val="0"/>
                    </w:rPr>
                    <w:t>15.0</w:t>
                  </w:r>
                </w:p>
              </w:tc>
              <w:tc>
                <w:tcPr>
                  <w:tcW w:w="490" w:type="pct"/>
                  <w:vAlign w:val="center"/>
                </w:tcPr>
                <w:p w14:paraId="4D913146">
                  <w:pPr>
                    <w:pStyle w:val="68"/>
                    <w:rPr>
                      <w:b w:val="0"/>
                    </w:rPr>
                  </w:pPr>
                  <w:r>
                    <w:rPr>
                      <w:rFonts w:hint="eastAsia"/>
                      <w:b w:val="0"/>
                    </w:rPr>
                    <w:t>达标</w:t>
                  </w:r>
                </w:p>
              </w:tc>
              <w:tc>
                <w:tcPr>
                  <w:tcW w:w="442" w:type="pct"/>
                  <w:vAlign w:val="center"/>
                </w:tcPr>
                <w:p w14:paraId="561C1F2C">
                  <w:pPr>
                    <w:pStyle w:val="68"/>
                    <w:rPr>
                      <w:b w:val="0"/>
                      <w:bCs/>
                    </w:rPr>
                  </w:pPr>
                  <w:r>
                    <w:rPr>
                      <w:rFonts w:hint="eastAsia"/>
                      <w:b w:val="0"/>
                      <w:bCs/>
                    </w:rPr>
                    <w:t>/</w:t>
                  </w:r>
                </w:p>
              </w:tc>
              <w:tc>
                <w:tcPr>
                  <w:tcW w:w="479" w:type="pct"/>
                  <w:vAlign w:val="center"/>
                </w:tcPr>
                <w:p w14:paraId="0FE4C589">
                  <w:pPr>
                    <w:pStyle w:val="68"/>
                    <w:rPr>
                      <w:b w:val="0"/>
                      <w:bCs/>
                    </w:rPr>
                  </w:pPr>
                  <w:r>
                    <w:rPr>
                      <w:rFonts w:hint="eastAsia"/>
                      <w:b w:val="0"/>
                      <w:bCs/>
                    </w:rPr>
                    <w:t>/</w:t>
                  </w:r>
                </w:p>
              </w:tc>
            </w:tr>
            <w:tr w14:paraId="511846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Align w:val="center"/>
                </w:tcPr>
                <w:p w14:paraId="41A98B29">
                  <w:pPr>
                    <w:pStyle w:val="68"/>
                    <w:rPr>
                      <w:b w:val="0"/>
                    </w:rPr>
                  </w:pPr>
                  <w:r>
                    <w:rPr>
                      <w:rFonts w:hint="eastAsia"/>
                      <w:b w:val="0"/>
                    </w:rPr>
                    <w:t>NO</w:t>
                  </w:r>
                  <w:r>
                    <w:rPr>
                      <w:rFonts w:hint="eastAsia"/>
                      <w:b w:val="0"/>
                      <w:vertAlign w:val="subscript"/>
                    </w:rPr>
                    <w:t>2</w:t>
                  </w:r>
                </w:p>
              </w:tc>
              <w:tc>
                <w:tcPr>
                  <w:tcW w:w="1132" w:type="pct"/>
                </w:tcPr>
                <w:p w14:paraId="204C78F1">
                  <w:pPr>
                    <w:pStyle w:val="68"/>
                    <w:rPr>
                      <w:b w:val="0"/>
                    </w:rPr>
                  </w:pPr>
                  <w:r>
                    <w:rPr>
                      <w:rFonts w:hint="eastAsia"/>
                      <w:b w:val="0"/>
                    </w:rPr>
                    <w:t>年平均质量浓度</w:t>
                  </w:r>
                </w:p>
              </w:tc>
              <w:tc>
                <w:tcPr>
                  <w:tcW w:w="709" w:type="pct"/>
                  <w:vAlign w:val="center"/>
                </w:tcPr>
                <w:p w14:paraId="30C86F3F">
                  <w:pPr>
                    <w:pStyle w:val="68"/>
                    <w:rPr>
                      <w:b w:val="0"/>
                    </w:rPr>
                  </w:pPr>
                  <w:r>
                    <w:rPr>
                      <w:rFonts w:hint="eastAsia"/>
                      <w:b w:val="0"/>
                    </w:rPr>
                    <w:t>24</w:t>
                  </w:r>
                  <w:r>
                    <w:rPr>
                      <w:b w:val="0"/>
                    </w:rPr>
                    <w:t>µg/m</w:t>
                  </w:r>
                  <w:r>
                    <w:rPr>
                      <w:b w:val="0"/>
                      <w:vertAlign w:val="superscript"/>
                    </w:rPr>
                    <w:t>3</w:t>
                  </w:r>
                </w:p>
              </w:tc>
              <w:tc>
                <w:tcPr>
                  <w:tcW w:w="672" w:type="pct"/>
                  <w:vAlign w:val="center"/>
                </w:tcPr>
                <w:p w14:paraId="1460987C">
                  <w:pPr>
                    <w:pStyle w:val="68"/>
                    <w:rPr>
                      <w:b w:val="0"/>
                    </w:rPr>
                  </w:pPr>
                  <w:r>
                    <w:rPr>
                      <w:rFonts w:hint="eastAsia"/>
                      <w:b w:val="0"/>
                    </w:rPr>
                    <w:t>4</w:t>
                  </w:r>
                  <w:r>
                    <w:rPr>
                      <w:b w:val="0"/>
                    </w:rPr>
                    <w:t>0µg/m</w:t>
                  </w:r>
                  <w:r>
                    <w:rPr>
                      <w:b w:val="0"/>
                      <w:vertAlign w:val="superscript"/>
                    </w:rPr>
                    <w:t>3</w:t>
                  </w:r>
                </w:p>
              </w:tc>
              <w:tc>
                <w:tcPr>
                  <w:tcW w:w="473" w:type="pct"/>
                  <w:vAlign w:val="center"/>
                </w:tcPr>
                <w:p w14:paraId="58C6834B">
                  <w:pPr>
                    <w:pStyle w:val="68"/>
                    <w:rPr>
                      <w:b w:val="0"/>
                    </w:rPr>
                  </w:pPr>
                  <w:r>
                    <w:rPr>
                      <w:rFonts w:hint="eastAsia"/>
                      <w:b w:val="0"/>
                    </w:rPr>
                    <w:t>60.0</w:t>
                  </w:r>
                </w:p>
              </w:tc>
              <w:tc>
                <w:tcPr>
                  <w:tcW w:w="490" w:type="pct"/>
                  <w:vAlign w:val="center"/>
                </w:tcPr>
                <w:p w14:paraId="52A7C191">
                  <w:pPr>
                    <w:pStyle w:val="68"/>
                    <w:rPr>
                      <w:b w:val="0"/>
                    </w:rPr>
                  </w:pPr>
                  <w:r>
                    <w:rPr>
                      <w:rFonts w:hint="eastAsia"/>
                      <w:b w:val="0"/>
                    </w:rPr>
                    <w:t>达标</w:t>
                  </w:r>
                </w:p>
              </w:tc>
              <w:tc>
                <w:tcPr>
                  <w:tcW w:w="442" w:type="pct"/>
                  <w:vAlign w:val="center"/>
                </w:tcPr>
                <w:p w14:paraId="08B9B20B">
                  <w:pPr>
                    <w:pStyle w:val="68"/>
                    <w:rPr>
                      <w:b w:val="0"/>
                      <w:bCs/>
                    </w:rPr>
                  </w:pPr>
                  <w:r>
                    <w:rPr>
                      <w:rFonts w:hint="eastAsia"/>
                      <w:b w:val="0"/>
                      <w:bCs/>
                    </w:rPr>
                    <w:t>/</w:t>
                  </w:r>
                </w:p>
              </w:tc>
              <w:tc>
                <w:tcPr>
                  <w:tcW w:w="479" w:type="pct"/>
                  <w:vAlign w:val="center"/>
                </w:tcPr>
                <w:p w14:paraId="56F005B8">
                  <w:pPr>
                    <w:pStyle w:val="68"/>
                    <w:rPr>
                      <w:b w:val="0"/>
                      <w:bCs/>
                    </w:rPr>
                  </w:pPr>
                  <w:r>
                    <w:rPr>
                      <w:rFonts w:hint="eastAsia"/>
                      <w:b w:val="0"/>
                      <w:bCs/>
                    </w:rPr>
                    <w:t>/</w:t>
                  </w:r>
                </w:p>
              </w:tc>
            </w:tr>
            <w:tr w14:paraId="4E441A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Align w:val="center"/>
                </w:tcPr>
                <w:p w14:paraId="2B5F0499">
                  <w:pPr>
                    <w:pStyle w:val="68"/>
                    <w:rPr>
                      <w:b w:val="0"/>
                    </w:rPr>
                  </w:pPr>
                  <w:r>
                    <w:rPr>
                      <w:rFonts w:hint="eastAsia"/>
                      <w:b w:val="0"/>
                    </w:rPr>
                    <w:t>O</w:t>
                  </w:r>
                  <w:r>
                    <w:rPr>
                      <w:rFonts w:hint="eastAsia"/>
                      <w:b w:val="0"/>
                      <w:vertAlign w:val="subscript"/>
                    </w:rPr>
                    <w:t>3</w:t>
                  </w:r>
                </w:p>
              </w:tc>
              <w:tc>
                <w:tcPr>
                  <w:tcW w:w="1132" w:type="pct"/>
                  <w:vAlign w:val="center"/>
                </w:tcPr>
                <w:p w14:paraId="77403B0B">
                  <w:pPr>
                    <w:pStyle w:val="68"/>
                    <w:rPr>
                      <w:b w:val="0"/>
                    </w:rPr>
                  </w:pPr>
                  <w:r>
                    <w:rPr>
                      <w:rFonts w:hint="eastAsia"/>
                      <w:b w:val="0"/>
                    </w:rPr>
                    <w:t>8</w:t>
                  </w:r>
                  <w:r>
                    <w:rPr>
                      <w:b w:val="0"/>
                    </w:rPr>
                    <w:t>h</w:t>
                  </w:r>
                  <w:r>
                    <w:rPr>
                      <w:rFonts w:hint="eastAsia"/>
                      <w:b w:val="0"/>
                    </w:rPr>
                    <w:t>平均质量浓度</w:t>
                  </w:r>
                </w:p>
              </w:tc>
              <w:tc>
                <w:tcPr>
                  <w:tcW w:w="709" w:type="pct"/>
                  <w:vAlign w:val="center"/>
                </w:tcPr>
                <w:p w14:paraId="7626108D">
                  <w:pPr>
                    <w:pStyle w:val="68"/>
                    <w:rPr>
                      <w:b w:val="0"/>
                    </w:rPr>
                  </w:pPr>
                  <w:r>
                    <w:rPr>
                      <w:rFonts w:hint="eastAsia"/>
                      <w:b w:val="0"/>
                    </w:rPr>
                    <w:t>154</w:t>
                  </w:r>
                  <w:r>
                    <w:rPr>
                      <w:b w:val="0"/>
                    </w:rPr>
                    <w:t>µg/m</w:t>
                  </w:r>
                  <w:r>
                    <w:rPr>
                      <w:b w:val="0"/>
                      <w:vertAlign w:val="superscript"/>
                    </w:rPr>
                    <w:t>3</w:t>
                  </w:r>
                </w:p>
              </w:tc>
              <w:tc>
                <w:tcPr>
                  <w:tcW w:w="672" w:type="pct"/>
                  <w:vAlign w:val="center"/>
                </w:tcPr>
                <w:p w14:paraId="2D55DF4B">
                  <w:pPr>
                    <w:pStyle w:val="68"/>
                    <w:rPr>
                      <w:b w:val="0"/>
                    </w:rPr>
                  </w:pPr>
                  <w:r>
                    <w:rPr>
                      <w:rFonts w:hint="eastAsia"/>
                      <w:b w:val="0"/>
                    </w:rPr>
                    <w:t>1</w:t>
                  </w:r>
                  <w:r>
                    <w:rPr>
                      <w:b w:val="0"/>
                    </w:rPr>
                    <w:t>60µg/m</w:t>
                  </w:r>
                  <w:r>
                    <w:rPr>
                      <w:b w:val="0"/>
                      <w:vertAlign w:val="superscript"/>
                    </w:rPr>
                    <w:t>3</w:t>
                  </w:r>
                </w:p>
              </w:tc>
              <w:tc>
                <w:tcPr>
                  <w:tcW w:w="473" w:type="pct"/>
                  <w:vAlign w:val="center"/>
                </w:tcPr>
                <w:p w14:paraId="526413A4">
                  <w:pPr>
                    <w:pStyle w:val="68"/>
                    <w:rPr>
                      <w:b w:val="0"/>
                    </w:rPr>
                  </w:pPr>
                  <w:r>
                    <w:rPr>
                      <w:rFonts w:hint="eastAsia"/>
                      <w:b w:val="0"/>
                    </w:rPr>
                    <w:t>96.3</w:t>
                  </w:r>
                </w:p>
              </w:tc>
              <w:tc>
                <w:tcPr>
                  <w:tcW w:w="490" w:type="pct"/>
                  <w:vAlign w:val="center"/>
                </w:tcPr>
                <w:p w14:paraId="64525AC9">
                  <w:pPr>
                    <w:pStyle w:val="68"/>
                    <w:rPr>
                      <w:b w:val="0"/>
                    </w:rPr>
                  </w:pPr>
                  <w:r>
                    <w:rPr>
                      <w:rFonts w:hint="eastAsia"/>
                      <w:b w:val="0"/>
                    </w:rPr>
                    <w:t>达标</w:t>
                  </w:r>
                </w:p>
              </w:tc>
              <w:tc>
                <w:tcPr>
                  <w:tcW w:w="442" w:type="pct"/>
                  <w:vAlign w:val="center"/>
                </w:tcPr>
                <w:p w14:paraId="4671B38D">
                  <w:pPr>
                    <w:pStyle w:val="68"/>
                    <w:rPr>
                      <w:b w:val="0"/>
                      <w:bCs/>
                    </w:rPr>
                  </w:pPr>
                  <w:r>
                    <w:rPr>
                      <w:rFonts w:hint="eastAsia"/>
                      <w:b w:val="0"/>
                      <w:bCs/>
                    </w:rPr>
                    <w:t>/</w:t>
                  </w:r>
                </w:p>
              </w:tc>
              <w:tc>
                <w:tcPr>
                  <w:tcW w:w="479" w:type="pct"/>
                  <w:vAlign w:val="center"/>
                </w:tcPr>
                <w:p w14:paraId="1301FC98">
                  <w:pPr>
                    <w:pStyle w:val="68"/>
                    <w:rPr>
                      <w:b w:val="0"/>
                      <w:bCs/>
                    </w:rPr>
                  </w:pPr>
                  <w:r>
                    <w:rPr>
                      <w:rFonts w:hint="eastAsia"/>
                      <w:b w:val="0"/>
                      <w:bCs/>
                    </w:rPr>
                    <w:t>/</w:t>
                  </w:r>
                </w:p>
              </w:tc>
            </w:tr>
            <w:tr w14:paraId="0C46F1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03" w:type="pct"/>
                  <w:vAlign w:val="center"/>
                </w:tcPr>
                <w:p w14:paraId="25C9C96B">
                  <w:pPr>
                    <w:pStyle w:val="68"/>
                    <w:rPr>
                      <w:b w:val="0"/>
                    </w:rPr>
                  </w:pPr>
                  <w:r>
                    <w:rPr>
                      <w:rFonts w:hint="eastAsia"/>
                      <w:b w:val="0"/>
                    </w:rPr>
                    <w:t>C</w:t>
                  </w:r>
                  <w:r>
                    <w:rPr>
                      <w:b w:val="0"/>
                    </w:rPr>
                    <w:t>O</w:t>
                  </w:r>
                </w:p>
              </w:tc>
              <w:tc>
                <w:tcPr>
                  <w:tcW w:w="1132" w:type="pct"/>
                  <w:vAlign w:val="center"/>
                </w:tcPr>
                <w:p w14:paraId="4940E71C">
                  <w:pPr>
                    <w:pStyle w:val="68"/>
                    <w:rPr>
                      <w:b w:val="0"/>
                    </w:rPr>
                  </w:pPr>
                  <w:r>
                    <w:rPr>
                      <w:rFonts w:hint="eastAsia"/>
                      <w:b w:val="0"/>
                    </w:rPr>
                    <w:t>百分位数日平均</w:t>
                  </w:r>
                </w:p>
              </w:tc>
              <w:tc>
                <w:tcPr>
                  <w:tcW w:w="709" w:type="pct"/>
                  <w:vAlign w:val="center"/>
                </w:tcPr>
                <w:p w14:paraId="59EF03D3">
                  <w:pPr>
                    <w:pStyle w:val="68"/>
                    <w:rPr>
                      <w:b w:val="0"/>
                    </w:rPr>
                  </w:pPr>
                  <w:r>
                    <w:rPr>
                      <w:rFonts w:hint="eastAsia"/>
                      <w:b w:val="0"/>
                    </w:rPr>
                    <w:t>0.8mg</w:t>
                  </w:r>
                  <w:r>
                    <w:rPr>
                      <w:b w:val="0"/>
                    </w:rPr>
                    <w:t>/</w:t>
                  </w:r>
                  <w:r>
                    <w:rPr>
                      <w:rFonts w:hint="eastAsia"/>
                      <w:b w:val="0"/>
                    </w:rPr>
                    <w:t>m</w:t>
                  </w:r>
                  <w:r>
                    <w:rPr>
                      <w:rFonts w:hint="eastAsia"/>
                      <w:b w:val="0"/>
                      <w:vertAlign w:val="superscript"/>
                    </w:rPr>
                    <w:t>3</w:t>
                  </w:r>
                </w:p>
              </w:tc>
              <w:tc>
                <w:tcPr>
                  <w:tcW w:w="672" w:type="pct"/>
                  <w:vAlign w:val="center"/>
                </w:tcPr>
                <w:p w14:paraId="417289A6">
                  <w:pPr>
                    <w:pStyle w:val="68"/>
                    <w:rPr>
                      <w:b w:val="0"/>
                    </w:rPr>
                  </w:pPr>
                  <w:r>
                    <w:rPr>
                      <w:rFonts w:hint="eastAsia"/>
                      <w:b w:val="0"/>
                    </w:rPr>
                    <w:t>4</w:t>
                  </w:r>
                  <w:r>
                    <w:rPr>
                      <w:b w:val="0"/>
                      <w:sz w:val="24"/>
                    </w:rPr>
                    <w:t xml:space="preserve"> </w:t>
                  </w:r>
                  <w:r>
                    <w:rPr>
                      <w:b w:val="0"/>
                    </w:rPr>
                    <w:t>mg/m</w:t>
                  </w:r>
                  <w:r>
                    <w:rPr>
                      <w:b w:val="0"/>
                      <w:vertAlign w:val="superscript"/>
                    </w:rPr>
                    <w:t>3</w:t>
                  </w:r>
                </w:p>
              </w:tc>
              <w:tc>
                <w:tcPr>
                  <w:tcW w:w="473" w:type="pct"/>
                  <w:vAlign w:val="center"/>
                </w:tcPr>
                <w:p w14:paraId="62177088">
                  <w:pPr>
                    <w:pStyle w:val="68"/>
                    <w:rPr>
                      <w:b w:val="0"/>
                    </w:rPr>
                  </w:pPr>
                  <w:r>
                    <w:rPr>
                      <w:rFonts w:hint="eastAsia"/>
                      <w:b w:val="0"/>
                    </w:rPr>
                    <w:t>20.0</w:t>
                  </w:r>
                </w:p>
              </w:tc>
              <w:tc>
                <w:tcPr>
                  <w:tcW w:w="490" w:type="pct"/>
                  <w:vAlign w:val="center"/>
                </w:tcPr>
                <w:p w14:paraId="3844F955">
                  <w:pPr>
                    <w:pStyle w:val="68"/>
                    <w:rPr>
                      <w:b w:val="0"/>
                    </w:rPr>
                  </w:pPr>
                  <w:r>
                    <w:rPr>
                      <w:rFonts w:hint="eastAsia"/>
                      <w:b w:val="0"/>
                    </w:rPr>
                    <w:t>达标</w:t>
                  </w:r>
                </w:p>
              </w:tc>
              <w:tc>
                <w:tcPr>
                  <w:tcW w:w="442" w:type="pct"/>
                  <w:vAlign w:val="center"/>
                </w:tcPr>
                <w:p w14:paraId="491E093F">
                  <w:pPr>
                    <w:pStyle w:val="68"/>
                    <w:rPr>
                      <w:b w:val="0"/>
                      <w:bCs/>
                    </w:rPr>
                  </w:pPr>
                  <w:r>
                    <w:rPr>
                      <w:rFonts w:hint="eastAsia"/>
                      <w:b w:val="0"/>
                      <w:bCs/>
                    </w:rPr>
                    <w:t>/</w:t>
                  </w:r>
                </w:p>
              </w:tc>
              <w:tc>
                <w:tcPr>
                  <w:tcW w:w="479" w:type="pct"/>
                  <w:vAlign w:val="center"/>
                </w:tcPr>
                <w:p w14:paraId="205587C9">
                  <w:pPr>
                    <w:pStyle w:val="68"/>
                    <w:rPr>
                      <w:b w:val="0"/>
                      <w:bCs/>
                    </w:rPr>
                  </w:pPr>
                  <w:r>
                    <w:rPr>
                      <w:rFonts w:hint="eastAsia"/>
                      <w:b w:val="0"/>
                      <w:bCs/>
                    </w:rPr>
                    <w:t>/</w:t>
                  </w:r>
                </w:p>
              </w:tc>
            </w:tr>
            <w:bookmarkEnd w:id="22"/>
          </w:tbl>
          <w:p w14:paraId="18BCDF81">
            <w:pPr>
              <w:adjustRightInd w:val="0"/>
              <w:snapToGrid w:val="0"/>
              <w:spacing w:before="120" w:beforeLines="50" w:line="360" w:lineRule="auto"/>
              <w:ind w:firstLine="480" w:firstLineChars="200"/>
              <w:rPr>
                <w:kern w:val="0"/>
                <w:sz w:val="24"/>
              </w:rPr>
            </w:pPr>
            <w:r>
              <w:rPr>
                <w:rFonts w:hint="eastAsia"/>
                <w:kern w:val="0"/>
                <w:sz w:val="24"/>
              </w:rPr>
              <w:t>（2）特征污染物监测</w:t>
            </w:r>
          </w:p>
          <w:p w14:paraId="20D724BE">
            <w:pPr>
              <w:adjustRightInd w:val="0"/>
              <w:snapToGrid w:val="0"/>
              <w:spacing w:before="120" w:beforeLines="50" w:line="360" w:lineRule="auto"/>
              <w:ind w:firstLine="480" w:firstLineChars="200"/>
              <w:rPr>
                <w:kern w:val="0"/>
                <w:sz w:val="24"/>
              </w:rPr>
            </w:pPr>
            <w:r>
              <w:rPr>
                <w:rFonts w:hint="eastAsia"/>
                <w:kern w:val="0"/>
                <w:sz w:val="24"/>
              </w:rPr>
              <w:t>本项目特征污染物为颗粒物、氨、汞及其化合物，环境质量委托内蒙古绿研环保科技有限公司进行监测，监测时间为2025年3月20日~3月22日、2025年5月18日~5月20日，分别连续监测3天，监测点位于本项目北侧约1.5km处，监测点坐标</w:t>
            </w:r>
            <w:r>
              <w:rPr>
                <w:kern w:val="0"/>
                <w:sz w:val="24"/>
              </w:rPr>
              <w:t>E</w:t>
            </w:r>
            <w:r>
              <w:rPr>
                <w:rFonts w:hint="eastAsia"/>
                <w:kern w:val="0"/>
                <w:sz w:val="24"/>
              </w:rPr>
              <w:t>109.364963087</w:t>
            </w:r>
            <w:r>
              <w:rPr>
                <w:kern w:val="0"/>
                <w:sz w:val="24"/>
              </w:rPr>
              <w:t>°</w:t>
            </w:r>
            <w:r>
              <w:rPr>
                <w:rFonts w:hint="eastAsia"/>
                <w:kern w:val="0"/>
                <w:sz w:val="24"/>
              </w:rPr>
              <w:t>，</w:t>
            </w:r>
            <w:r>
              <w:rPr>
                <w:kern w:val="0"/>
                <w:sz w:val="24"/>
              </w:rPr>
              <w:t>N</w:t>
            </w:r>
            <w:r>
              <w:rPr>
                <w:rFonts w:hint="eastAsia"/>
                <w:kern w:val="0"/>
                <w:sz w:val="24"/>
              </w:rPr>
              <w:t>39.915702673</w:t>
            </w:r>
            <w:r>
              <w:rPr>
                <w:kern w:val="0"/>
                <w:sz w:val="24"/>
              </w:rPr>
              <w:t>°</w:t>
            </w:r>
            <w:r>
              <w:rPr>
                <w:rFonts w:hint="eastAsia"/>
                <w:kern w:val="0"/>
                <w:sz w:val="24"/>
              </w:rPr>
              <w:t>，详见下图。具体监测结果如下。</w:t>
            </w:r>
          </w:p>
          <w:p w14:paraId="78A94E6F">
            <w:pPr>
              <w:adjustRightInd w:val="0"/>
              <w:snapToGrid w:val="0"/>
              <w:jc w:val="center"/>
              <w:rPr>
                <w:b/>
                <w:bCs/>
                <w:kern w:val="0"/>
                <w:szCs w:val="21"/>
              </w:rPr>
            </w:pPr>
            <w:r>
              <w:rPr>
                <w:rFonts w:hint="eastAsia"/>
                <w:b/>
                <w:bCs/>
                <w:kern w:val="0"/>
                <w:szCs w:val="21"/>
              </w:rPr>
              <w:t>表3-2  环境空气质量现状监测结果表</w:t>
            </w:r>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4"/>
              <w:gridCol w:w="1066"/>
              <w:gridCol w:w="836"/>
              <w:gridCol w:w="1420"/>
              <w:gridCol w:w="1167"/>
              <w:gridCol w:w="1066"/>
              <w:gridCol w:w="841"/>
              <w:gridCol w:w="839"/>
            </w:tblGrid>
            <w:tr w14:paraId="38C2FB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Align w:val="center"/>
                </w:tcPr>
                <w:p w14:paraId="1232E81F">
                  <w:pPr>
                    <w:ind w:left="-105" w:leftChars="-50" w:right="-105" w:rightChars="-50"/>
                    <w:jc w:val="center"/>
                    <w:rPr>
                      <w:b/>
                      <w:szCs w:val="21"/>
                    </w:rPr>
                  </w:pPr>
                  <w:r>
                    <w:rPr>
                      <w:b/>
                      <w:szCs w:val="21"/>
                    </w:rPr>
                    <w:t>监测</w:t>
                  </w:r>
                </w:p>
                <w:p w14:paraId="45FFA10A">
                  <w:pPr>
                    <w:ind w:left="-105" w:leftChars="-50" w:right="-105" w:rightChars="-50"/>
                    <w:jc w:val="center"/>
                    <w:rPr>
                      <w:b/>
                      <w:szCs w:val="21"/>
                    </w:rPr>
                  </w:pPr>
                  <w:r>
                    <w:rPr>
                      <w:b/>
                      <w:szCs w:val="21"/>
                    </w:rPr>
                    <w:t>因子</w:t>
                  </w:r>
                </w:p>
              </w:tc>
              <w:tc>
                <w:tcPr>
                  <w:tcW w:w="663" w:type="pct"/>
                  <w:vAlign w:val="center"/>
                </w:tcPr>
                <w:p w14:paraId="7AD1C3D0">
                  <w:pPr>
                    <w:ind w:left="-105" w:leftChars="-50" w:right="-105" w:rightChars="-50"/>
                    <w:jc w:val="center"/>
                    <w:rPr>
                      <w:b/>
                      <w:szCs w:val="21"/>
                    </w:rPr>
                  </w:pPr>
                  <w:r>
                    <w:rPr>
                      <w:b/>
                      <w:szCs w:val="21"/>
                    </w:rPr>
                    <w:t>监测点</w:t>
                  </w:r>
                </w:p>
              </w:tc>
              <w:tc>
                <w:tcPr>
                  <w:tcW w:w="1403" w:type="pct"/>
                  <w:gridSpan w:val="2"/>
                  <w:vAlign w:val="center"/>
                </w:tcPr>
                <w:p w14:paraId="5C51F1D4">
                  <w:pPr>
                    <w:ind w:left="-105" w:leftChars="-50" w:right="-105" w:rightChars="-50"/>
                    <w:jc w:val="center"/>
                    <w:rPr>
                      <w:b/>
                      <w:szCs w:val="21"/>
                    </w:rPr>
                  </w:pPr>
                  <w:r>
                    <w:rPr>
                      <w:b/>
                      <w:szCs w:val="21"/>
                    </w:rPr>
                    <w:t>监测值范围</w:t>
                  </w:r>
                  <w:r>
                    <w:rPr>
                      <w:rFonts w:hint="eastAsia"/>
                      <w:b/>
                      <w:szCs w:val="21"/>
                    </w:rPr>
                    <w:t>（</w:t>
                  </w:r>
                  <w:r>
                    <w:rPr>
                      <w:b/>
                      <w:szCs w:val="21"/>
                    </w:rPr>
                    <w:t>μg/m</w:t>
                  </w:r>
                  <w:r>
                    <w:rPr>
                      <w:b/>
                      <w:szCs w:val="21"/>
                      <w:vertAlign w:val="superscript"/>
                    </w:rPr>
                    <w:t>3</w:t>
                  </w:r>
                  <w:r>
                    <w:rPr>
                      <w:rFonts w:hint="eastAsia"/>
                      <w:b/>
                      <w:szCs w:val="21"/>
                    </w:rPr>
                    <w:t>）</w:t>
                  </w:r>
                </w:p>
              </w:tc>
              <w:tc>
                <w:tcPr>
                  <w:tcW w:w="726" w:type="pct"/>
                  <w:vAlign w:val="center"/>
                </w:tcPr>
                <w:p w14:paraId="4EB7482D">
                  <w:pPr>
                    <w:ind w:left="-105" w:leftChars="-50" w:right="-105" w:rightChars="-50"/>
                    <w:jc w:val="center"/>
                    <w:rPr>
                      <w:b/>
                      <w:szCs w:val="21"/>
                    </w:rPr>
                  </w:pPr>
                  <w:r>
                    <w:rPr>
                      <w:b/>
                      <w:szCs w:val="21"/>
                    </w:rPr>
                    <w:t>标准值</w:t>
                  </w:r>
                  <w:r>
                    <w:rPr>
                      <w:rFonts w:hint="eastAsia"/>
                      <w:b/>
                      <w:szCs w:val="21"/>
                    </w:rPr>
                    <w:t>（</w:t>
                  </w:r>
                  <w:r>
                    <w:rPr>
                      <w:b/>
                      <w:szCs w:val="21"/>
                    </w:rPr>
                    <w:t>μg/m</w:t>
                  </w:r>
                  <w:r>
                    <w:rPr>
                      <w:b/>
                      <w:szCs w:val="21"/>
                      <w:vertAlign w:val="superscript"/>
                    </w:rPr>
                    <w:t>3</w:t>
                  </w:r>
                  <w:r>
                    <w:rPr>
                      <w:rFonts w:hint="eastAsia"/>
                      <w:b/>
                      <w:szCs w:val="21"/>
                    </w:rPr>
                    <w:t>）</w:t>
                  </w:r>
                </w:p>
              </w:tc>
              <w:tc>
                <w:tcPr>
                  <w:tcW w:w="663" w:type="pct"/>
                  <w:vAlign w:val="center"/>
                </w:tcPr>
                <w:p w14:paraId="6858D158">
                  <w:pPr>
                    <w:ind w:left="-105" w:leftChars="-50" w:right="-105" w:rightChars="-50"/>
                    <w:jc w:val="center"/>
                    <w:rPr>
                      <w:b/>
                      <w:szCs w:val="21"/>
                      <w:lang w:val="zh-CN"/>
                    </w:rPr>
                  </w:pPr>
                  <w:r>
                    <w:rPr>
                      <w:b/>
                      <w:szCs w:val="21"/>
                      <w:lang w:val="zh-CN"/>
                    </w:rPr>
                    <w:t>最大值占</w:t>
                  </w:r>
                </w:p>
                <w:p w14:paraId="3264057F">
                  <w:pPr>
                    <w:ind w:left="-105" w:leftChars="-50" w:right="-105" w:rightChars="-50"/>
                    <w:jc w:val="center"/>
                    <w:rPr>
                      <w:b/>
                      <w:szCs w:val="21"/>
                    </w:rPr>
                  </w:pPr>
                  <w:r>
                    <w:rPr>
                      <w:b/>
                      <w:szCs w:val="21"/>
                      <w:lang w:val="zh-CN"/>
                    </w:rPr>
                    <w:t>标率</w:t>
                  </w:r>
                  <w:r>
                    <w:rPr>
                      <w:b/>
                      <w:szCs w:val="21"/>
                    </w:rPr>
                    <w:t>（%）</w:t>
                  </w:r>
                </w:p>
              </w:tc>
              <w:tc>
                <w:tcPr>
                  <w:tcW w:w="523" w:type="pct"/>
                  <w:vAlign w:val="center"/>
                </w:tcPr>
                <w:p w14:paraId="42339B86">
                  <w:pPr>
                    <w:ind w:left="-105" w:leftChars="-50" w:right="-105" w:rightChars="-50"/>
                    <w:jc w:val="center"/>
                    <w:rPr>
                      <w:b/>
                      <w:szCs w:val="21"/>
                    </w:rPr>
                  </w:pPr>
                  <w:r>
                    <w:rPr>
                      <w:b/>
                      <w:szCs w:val="21"/>
                    </w:rPr>
                    <w:t>超标率</w:t>
                  </w:r>
                </w:p>
                <w:p w14:paraId="50E23AF8">
                  <w:pPr>
                    <w:ind w:left="-105" w:leftChars="-50" w:right="-105" w:rightChars="-50"/>
                    <w:jc w:val="center"/>
                    <w:rPr>
                      <w:b/>
                      <w:szCs w:val="21"/>
                    </w:rPr>
                  </w:pPr>
                  <w:r>
                    <w:rPr>
                      <w:b/>
                      <w:szCs w:val="21"/>
                    </w:rPr>
                    <w:t>（%）</w:t>
                  </w:r>
                </w:p>
              </w:tc>
              <w:tc>
                <w:tcPr>
                  <w:tcW w:w="522" w:type="pct"/>
                  <w:vAlign w:val="center"/>
                </w:tcPr>
                <w:p w14:paraId="11FD2D63">
                  <w:pPr>
                    <w:ind w:left="-105" w:leftChars="-50" w:right="-105" w:rightChars="-50"/>
                    <w:jc w:val="center"/>
                    <w:rPr>
                      <w:b/>
                      <w:szCs w:val="21"/>
                    </w:rPr>
                  </w:pPr>
                  <w:r>
                    <w:rPr>
                      <w:rFonts w:hint="eastAsia"/>
                      <w:b/>
                      <w:szCs w:val="21"/>
                    </w:rPr>
                    <w:t>达标情况</w:t>
                  </w:r>
                </w:p>
              </w:tc>
            </w:tr>
            <w:tr w14:paraId="4C9159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Align w:val="center"/>
                </w:tcPr>
                <w:p w14:paraId="2B24B04E">
                  <w:pPr>
                    <w:ind w:left="-105" w:leftChars="-50" w:right="-105" w:rightChars="-50"/>
                    <w:jc w:val="center"/>
                    <w:rPr>
                      <w:szCs w:val="21"/>
                    </w:rPr>
                  </w:pPr>
                  <w:r>
                    <w:rPr>
                      <w:rFonts w:hint="eastAsia"/>
                      <w:szCs w:val="21"/>
                    </w:rPr>
                    <w:t>TSP</w:t>
                  </w:r>
                </w:p>
              </w:tc>
              <w:tc>
                <w:tcPr>
                  <w:tcW w:w="663" w:type="pct"/>
                  <w:vMerge w:val="restart"/>
                  <w:vAlign w:val="center"/>
                </w:tcPr>
                <w:p w14:paraId="398C70BC">
                  <w:pPr>
                    <w:jc w:val="center"/>
                    <w:rPr>
                      <w:szCs w:val="21"/>
                    </w:rPr>
                  </w:pPr>
                  <w:r>
                    <w:rPr>
                      <w:rFonts w:hint="eastAsia"/>
                      <w:bCs/>
                      <w:szCs w:val="21"/>
                    </w:rPr>
                    <w:t>G1</w:t>
                  </w:r>
                </w:p>
              </w:tc>
              <w:tc>
                <w:tcPr>
                  <w:tcW w:w="520" w:type="pct"/>
                  <w:vAlign w:val="center"/>
                </w:tcPr>
                <w:p w14:paraId="5BCDB250">
                  <w:pPr>
                    <w:ind w:left="-105" w:leftChars="-50" w:right="-105" w:rightChars="-50"/>
                    <w:jc w:val="center"/>
                    <w:rPr>
                      <w:szCs w:val="21"/>
                    </w:rPr>
                  </w:pPr>
                  <w:r>
                    <w:rPr>
                      <w:rFonts w:hint="eastAsia"/>
                      <w:szCs w:val="21"/>
                    </w:rPr>
                    <w:t>24h评价</w:t>
                  </w:r>
                </w:p>
              </w:tc>
              <w:tc>
                <w:tcPr>
                  <w:tcW w:w="883" w:type="pct"/>
                  <w:vAlign w:val="center"/>
                </w:tcPr>
                <w:p w14:paraId="7D3E94FB">
                  <w:pPr>
                    <w:ind w:left="-105" w:leftChars="-50" w:right="-105" w:rightChars="-50"/>
                    <w:jc w:val="center"/>
                    <w:rPr>
                      <w:szCs w:val="21"/>
                    </w:rPr>
                  </w:pPr>
                  <w:r>
                    <w:rPr>
                      <w:rFonts w:hint="eastAsia"/>
                      <w:szCs w:val="21"/>
                    </w:rPr>
                    <w:t>203~215</w:t>
                  </w:r>
                </w:p>
              </w:tc>
              <w:tc>
                <w:tcPr>
                  <w:tcW w:w="726" w:type="pct"/>
                  <w:vAlign w:val="center"/>
                </w:tcPr>
                <w:p w14:paraId="64E64CEE">
                  <w:pPr>
                    <w:autoSpaceDE w:val="0"/>
                    <w:autoSpaceDN w:val="0"/>
                    <w:ind w:left="-105" w:leftChars="-50" w:right="-105" w:rightChars="-50"/>
                    <w:jc w:val="center"/>
                    <w:rPr>
                      <w:szCs w:val="21"/>
                    </w:rPr>
                  </w:pPr>
                  <w:r>
                    <w:rPr>
                      <w:rFonts w:hint="eastAsia"/>
                      <w:szCs w:val="21"/>
                    </w:rPr>
                    <w:t>300</w:t>
                  </w:r>
                </w:p>
              </w:tc>
              <w:tc>
                <w:tcPr>
                  <w:tcW w:w="663" w:type="pct"/>
                  <w:vAlign w:val="center"/>
                </w:tcPr>
                <w:p w14:paraId="72222817">
                  <w:pPr>
                    <w:jc w:val="center"/>
                    <w:rPr>
                      <w:szCs w:val="21"/>
                    </w:rPr>
                  </w:pPr>
                  <w:r>
                    <w:rPr>
                      <w:rFonts w:hint="eastAsia"/>
                      <w:szCs w:val="21"/>
                    </w:rPr>
                    <w:t>71.7</w:t>
                  </w:r>
                </w:p>
              </w:tc>
              <w:tc>
                <w:tcPr>
                  <w:tcW w:w="523" w:type="pct"/>
                  <w:vAlign w:val="center"/>
                </w:tcPr>
                <w:p w14:paraId="2368EE32">
                  <w:pPr>
                    <w:jc w:val="center"/>
                    <w:rPr>
                      <w:szCs w:val="21"/>
                    </w:rPr>
                  </w:pPr>
                  <w:r>
                    <w:rPr>
                      <w:rFonts w:hint="eastAsia"/>
                      <w:szCs w:val="21"/>
                      <w:lang w:val="zh-CN"/>
                    </w:rPr>
                    <w:t>0</w:t>
                  </w:r>
                </w:p>
              </w:tc>
              <w:tc>
                <w:tcPr>
                  <w:tcW w:w="522" w:type="pct"/>
                  <w:vAlign w:val="center"/>
                </w:tcPr>
                <w:p w14:paraId="0B86C71D">
                  <w:pPr>
                    <w:jc w:val="center"/>
                    <w:rPr>
                      <w:szCs w:val="21"/>
                      <w:lang w:val="zh-CN"/>
                    </w:rPr>
                  </w:pPr>
                  <w:r>
                    <w:rPr>
                      <w:rFonts w:hint="eastAsia"/>
                      <w:szCs w:val="21"/>
                      <w:lang w:val="zh-CN"/>
                    </w:rPr>
                    <w:t>达标</w:t>
                  </w:r>
                </w:p>
              </w:tc>
            </w:tr>
            <w:tr w14:paraId="65DDFA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Align w:val="center"/>
                </w:tcPr>
                <w:p w14:paraId="167AAF7E">
                  <w:pPr>
                    <w:ind w:left="-105" w:leftChars="-50" w:right="-105" w:rightChars="-50"/>
                    <w:jc w:val="center"/>
                    <w:rPr>
                      <w:szCs w:val="21"/>
                    </w:rPr>
                  </w:pPr>
                  <w:r>
                    <w:rPr>
                      <w:rFonts w:hint="eastAsia"/>
                      <w:szCs w:val="21"/>
                    </w:rPr>
                    <w:t>氨</w:t>
                  </w:r>
                </w:p>
              </w:tc>
              <w:tc>
                <w:tcPr>
                  <w:tcW w:w="663" w:type="pct"/>
                  <w:vMerge w:val="continue"/>
                  <w:vAlign w:val="center"/>
                </w:tcPr>
                <w:p w14:paraId="7BAB25D9">
                  <w:pPr>
                    <w:jc w:val="center"/>
                    <w:rPr>
                      <w:bCs/>
                      <w:szCs w:val="21"/>
                    </w:rPr>
                  </w:pPr>
                </w:p>
              </w:tc>
              <w:tc>
                <w:tcPr>
                  <w:tcW w:w="520" w:type="pct"/>
                  <w:vAlign w:val="center"/>
                </w:tcPr>
                <w:p w14:paraId="6FD7F50F">
                  <w:pPr>
                    <w:ind w:left="-105" w:leftChars="-50" w:right="-105" w:rightChars="-50"/>
                    <w:jc w:val="center"/>
                    <w:rPr>
                      <w:szCs w:val="21"/>
                    </w:rPr>
                  </w:pPr>
                  <w:r>
                    <w:rPr>
                      <w:rFonts w:hint="eastAsia"/>
                      <w:szCs w:val="21"/>
                    </w:rPr>
                    <w:t>1h平均</w:t>
                  </w:r>
                </w:p>
              </w:tc>
              <w:tc>
                <w:tcPr>
                  <w:tcW w:w="883" w:type="pct"/>
                  <w:vAlign w:val="center"/>
                </w:tcPr>
                <w:p w14:paraId="4AE12AC6">
                  <w:pPr>
                    <w:ind w:left="-105" w:leftChars="-50" w:right="-105" w:rightChars="-50"/>
                    <w:jc w:val="center"/>
                    <w:rPr>
                      <w:szCs w:val="21"/>
                    </w:rPr>
                  </w:pPr>
                  <w:r>
                    <w:rPr>
                      <w:rFonts w:hint="eastAsia"/>
                      <w:szCs w:val="21"/>
                    </w:rPr>
                    <w:t>90~130</w:t>
                  </w:r>
                </w:p>
              </w:tc>
              <w:tc>
                <w:tcPr>
                  <w:tcW w:w="726" w:type="pct"/>
                  <w:vAlign w:val="center"/>
                </w:tcPr>
                <w:p w14:paraId="3B32BE2E">
                  <w:pPr>
                    <w:autoSpaceDE w:val="0"/>
                    <w:autoSpaceDN w:val="0"/>
                    <w:ind w:left="-105" w:leftChars="-50" w:right="-105" w:rightChars="-50"/>
                    <w:jc w:val="center"/>
                    <w:rPr>
                      <w:szCs w:val="21"/>
                    </w:rPr>
                  </w:pPr>
                  <w:r>
                    <w:rPr>
                      <w:rFonts w:hint="eastAsia"/>
                      <w:szCs w:val="21"/>
                    </w:rPr>
                    <w:t>200</w:t>
                  </w:r>
                </w:p>
              </w:tc>
              <w:tc>
                <w:tcPr>
                  <w:tcW w:w="663" w:type="pct"/>
                  <w:vAlign w:val="center"/>
                </w:tcPr>
                <w:p w14:paraId="24B6B2CB">
                  <w:pPr>
                    <w:jc w:val="center"/>
                    <w:rPr>
                      <w:szCs w:val="21"/>
                    </w:rPr>
                  </w:pPr>
                  <w:r>
                    <w:rPr>
                      <w:rFonts w:hint="eastAsia"/>
                      <w:szCs w:val="21"/>
                    </w:rPr>
                    <w:t>65.0</w:t>
                  </w:r>
                </w:p>
              </w:tc>
              <w:tc>
                <w:tcPr>
                  <w:tcW w:w="523" w:type="pct"/>
                  <w:vAlign w:val="center"/>
                </w:tcPr>
                <w:p w14:paraId="0FF5E58C">
                  <w:pPr>
                    <w:jc w:val="center"/>
                    <w:rPr>
                      <w:szCs w:val="21"/>
                      <w:lang w:val="zh-CN"/>
                    </w:rPr>
                  </w:pPr>
                  <w:r>
                    <w:rPr>
                      <w:rFonts w:hint="eastAsia"/>
                      <w:szCs w:val="21"/>
                      <w:lang w:val="zh-CN"/>
                    </w:rPr>
                    <w:t>0</w:t>
                  </w:r>
                </w:p>
              </w:tc>
              <w:tc>
                <w:tcPr>
                  <w:tcW w:w="522" w:type="pct"/>
                  <w:vAlign w:val="center"/>
                </w:tcPr>
                <w:p w14:paraId="6773F07E">
                  <w:pPr>
                    <w:jc w:val="center"/>
                    <w:rPr>
                      <w:szCs w:val="21"/>
                      <w:lang w:val="zh-CN"/>
                    </w:rPr>
                  </w:pPr>
                  <w:r>
                    <w:rPr>
                      <w:rFonts w:hint="eastAsia"/>
                      <w:szCs w:val="21"/>
                      <w:lang w:val="zh-CN"/>
                    </w:rPr>
                    <w:t>达标</w:t>
                  </w:r>
                </w:p>
              </w:tc>
            </w:tr>
            <w:tr w14:paraId="448C68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500" w:type="pct"/>
                  <w:vAlign w:val="center"/>
                </w:tcPr>
                <w:p w14:paraId="4E318966">
                  <w:pPr>
                    <w:ind w:left="-105" w:leftChars="-50" w:right="-105" w:rightChars="-50"/>
                    <w:jc w:val="center"/>
                    <w:rPr>
                      <w:szCs w:val="21"/>
                    </w:rPr>
                  </w:pPr>
                  <w:r>
                    <w:rPr>
                      <w:rFonts w:hint="eastAsia"/>
                      <w:szCs w:val="21"/>
                    </w:rPr>
                    <w:t>汞及其化合物</w:t>
                  </w:r>
                </w:p>
              </w:tc>
              <w:tc>
                <w:tcPr>
                  <w:tcW w:w="663" w:type="pct"/>
                  <w:vMerge w:val="continue"/>
                  <w:vAlign w:val="center"/>
                </w:tcPr>
                <w:p w14:paraId="5D70E652">
                  <w:pPr>
                    <w:jc w:val="center"/>
                    <w:rPr>
                      <w:bCs/>
                      <w:szCs w:val="21"/>
                    </w:rPr>
                  </w:pPr>
                </w:p>
              </w:tc>
              <w:tc>
                <w:tcPr>
                  <w:tcW w:w="520" w:type="pct"/>
                  <w:vAlign w:val="center"/>
                </w:tcPr>
                <w:p w14:paraId="4F40B094">
                  <w:pPr>
                    <w:ind w:left="-105" w:leftChars="-50" w:right="-105" w:rightChars="-50"/>
                    <w:jc w:val="center"/>
                    <w:rPr>
                      <w:szCs w:val="21"/>
                    </w:rPr>
                  </w:pPr>
                  <w:r>
                    <w:rPr>
                      <w:rFonts w:hint="eastAsia"/>
                      <w:szCs w:val="21"/>
                    </w:rPr>
                    <w:t>24h评价</w:t>
                  </w:r>
                </w:p>
              </w:tc>
              <w:tc>
                <w:tcPr>
                  <w:tcW w:w="883" w:type="pct"/>
                  <w:vAlign w:val="center"/>
                </w:tcPr>
                <w:p w14:paraId="7FC300F8">
                  <w:pPr>
                    <w:ind w:left="-105" w:leftChars="-50" w:right="-105" w:rightChars="-50"/>
                    <w:jc w:val="center"/>
                    <w:rPr>
                      <w:szCs w:val="21"/>
                    </w:rPr>
                  </w:pPr>
                  <w:r>
                    <w:rPr>
                      <w:rFonts w:hint="eastAsia"/>
                      <w:szCs w:val="21"/>
                    </w:rPr>
                    <w:t>0.003ND</w:t>
                  </w:r>
                </w:p>
              </w:tc>
              <w:tc>
                <w:tcPr>
                  <w:tcW w:w="726" w:type="pct"/>
                  <w:vAlign w:val="center"/>
                </w:tcPr>
                <w:p w14:paraId="770916D0">
                  <w:pPr>
                    <w:autoSpaceDE w:val="0"/>
                    <w:autoSpaceDN w:val="0"/>
                    <w:ind w:left="-105" w:leftChars="-50" w:right="-105" w:rightChars="-50"/>
                    <w:jc w:val="center"/>
                    <w:rPr>
                      <w:szCs w:val="21"/>
                    </w:rPr>
                  </w:pPr>
                  <w:r>
                    <w:rPr>
                      <w:rFonts w:hint="eastAsia"/>
                      <w:szCs w:val="21"/>
                    </w:rPr>
                    <w:t>/</w:t>
                  </w:r>
                </w:p>
              </w:tc>
              <w:tc>
                <w:tcPr>
                  <w:tcW w:w="663" w:type="pct"/>
                  <w:vAlign w:val="center"/>
                </w:tcPr>
                <w:p w14:paraId="32BD18FB">
                  <w:pPr>
                    <w:jc w:val="center"/>
                    <w:rPr>
                      <w:szCs w:val="21"/>
                    </w:rPr>
                  </w:pPr>
                  <w:r>
                    <w:rPr>
                      <w:rFonts w:hint="eastAsia"/>
                      <w:szCs w:val="21"/>
                    </w:rPr>
                    <w:t>/</w:t>
                  </w:r>
                </w:p>
              </w:tc>
              <w:tc>
                <w:tcPr>
                  <w:tcW w:w="523" w:type="pct"/>
                  <w:vAlign w:val="center"/>
                </w:tcPr>
                <w:p w14:paraId="1B7432EC">
                  <w:pPr>
                    <w:jc w:val="center"/>
                    <w:rPr>
                      <w:szCs w:val="21"/>
                      <w:lang w:val="zh-CN"/>
                    </w:rPr>
                  </w:pPr>
                  <w:r>
                    <w:rPr>
                      <w:rFonts w:hint="eastAsia"/>
                      <w:szCs w:val="21"/>
                      <w:lang w:val="zh-CN"/>
                    </w:rPr>
                    <w:t>/</w:t>
                  </w:r>
                </w:p>
              </w:tc>
              <w:tc>
                <w:tcPr>
                  <w:tcW w:w="522" w:type="pct"/>
                  <w:vAlign w:val="center"/>
                </w:tcPr>
                <w:p w14:paraId="53D24420">
                  <w:pPr>
                    <w:jc w:val="center"/>
                    <w:rPr>
                      <w:szCs w:val="21"/>
                      <w:lang w:val="zh-CN"/>
                    </w:rPr>
                  </w:pPr>
                  <w:r>
                    <w:rPr>
                      <w:rFonts w:hint="eastAsia"/>
                      <w:szCs w:val="21"/>
                      <w:lang w:val="zh-CN"/>
                    </w:rPr>
                    <w:t>/</w:t>
                  </w:r>
                </w:p>
              </w:tc>
            </w:tr>
          </w:tbl>
          <w:p w14:paraId="7F33FAB7">
            <w:pPr>
              <w:adjustRightInd w:val="0"/>
              <w:snapToGrid w:val="0"/>
              <w:spacing w:before="120" w:beforeLines="50" w:line="360" w:lineRule="auto"/>
              <w:ind w:firstLine="480" w:firstLineChars="200"/>
              <w:rPr>
                <w:kern w:val="0"/>
                <w:sz w:val="24"/>
              </w:rPr>
            </w:pPr>
            <w:r>
              <w:rPr>
                <w:rFonts w:hint="eastAsia"/>
                <w:kern w:val="0"/>
                <w:sz w:val="24"/>
              </w:rPr>
              <w:t>根据监测数据结果可知，评价区内监测点位的TSP满足《环境空气质量标准》</w:t>
            </w:r>
            <w:r>
              <w:rPr>
                <w:kern w:val="0"/>
                <w:sz w:val="24"/>
              </w:rPr>
              <w:t>（GB3095-2012）</w:t>
            </w:r>
            <w:r>
              <w:rPr>
                <w:rFonts w:hint="eastAsia"/>
                <w:kern w:val="0"/>
                <w:sz w:val="24"/>
              </w:rPr>
              <w:t>二级标准限值，氨满足《环境影响评价技术导则 大气环境》（HJ2.2-2018）中标准限值，汞及其化合物因没有日均浓度标准，本次留作背景值。</w:t>
            </w:r>
          </w:p>
          <w:p w14:paraId="082636F8">
            <w:pPr>
              <w:adjustRightInd w:val="0"/>
              <w:snapToGrid w:val="0"/>
              <w:jc w:val="center"/>
              <w:rPr>
                <w:kern w:val="0"/>
                <w:szCs w:val="21"/>
              </w:rPr>
            </w:pPr>
            <w:r>
              <w:rPr>
                <w:b/>
                <w:bCs/>
                <w:sz w:val="24"/>
                <w:szCs w:val="28"/>
              </w:rPr>
              <w:drawing>
                <wp:inline distT="0" distB="0" distL="0" distR="0">
                  <wp:extent cx="3912235" cy="5534025"/>
                  <wp:effectExtent l="0" t="0" r="0" b="0"/>
                  <wp:docPr id="20871743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174388" name="图片 1"/>
                          <pic:cNvPicPr>
                            <a:picLocks noChangeAspect="1"/>
                          </pic:cNvPicPr>
                        </pic:nvPicPr>
                        <pic:blipFill>
                          <a:blip r:embed="rId24">
                            <a:extLst>
                              <a:ext uri="{28A0092B-C50C-407E-A947-70E740481C1C}">
                                <a14:useLocalDpi xmlns:a14="http://schemas.microsoft.com/office/drawing/2010/main" val="0"/>
                              </a:ext>
                            </a:extLst>
                          </a:blip>
                          <a:stretch>
                            <a:fillRect/>
                          </a:stretch>
                        </pic:blipFill>
                        <pic:spPr>
                          <a:xfrm>
                            <a:off x="0" y="0"/>
                            <a:ext cx="3919660" cy="5543734"/>
                          </a:xfrm>
                          <a:prstGeom prst="rect">
                            <a:avLst/>
                          </a:prstGeom>
                        </pic:spPr>
                      </pic:pic>
                    </a:graphicData>
                  </a:graphic>
                </wp:inline>
              </w:drawing>
            </w:r>
          </w:p>
          <w:p w14:paraId="3D177E91">
            <w:pPr>
              <w:adjustRightInd w:val="0"/>
              <w:snapToGrid w:val="0"/>
              <w:jc w:val="center"/>
              <w:rPr>
                <w:b/>
                <w:bCs/>
                <w:kern w:val="0"/>
                <w:szCs w:val="21"/>
              </w:rPr>
            </w:pPr>
            <w:r>
              <w:rPr>
                <w:rFonts w:hint="eastAsia"/>
                <w:b/>
                <w:bCs/>
                <w:kern w:val="0"/>
                <w:szCs w:val="21"/>
              </w:rPr>
              <w:t>图3-1</w:t>
            </w:r>
            <w:r>
              <w:rPr>
                <w:b/>
                <w:bCs/>
                <w:kern w:val="0"/>
                <w:szCs w:val="21"/>
              </w:rPr>
              <w:t xml:space="preserve">  </w:t>
            </w:r>
            <w:r>
              <w:rPr>
                <w:rFonts w:hint="eastAsia"/>
                <w:b/>
                <w:bCs/>
                <w:kern w:val="0"/>
                <w:szCs w:val="21"/>
              </w:rPr>
              <w:t>大气监测点位图</w:t>
            </w:r>
          </w:p>
          <w:p w14:paraId="495F5C8A">
            <w:pPr>
              <w:adjustRightInd w:val="0"/>
              <w:snapToGrid w:val="0"/>
              <w:spacing w:before="120" w:beforeLines="50" w:line="360" w:lineRule="auto"/>
              <w:ind w:firstLine="482" w:firstLineChars="200"/>
              <w:rPr>
                <w:b/>
                <w:bCs/>
                <w:kern w:val="0"/>
                <w:sz w:val="24"/>
              </w:rPr>
            </w:pPr>
            <w:r>
              <w:rPr>
                <w:b/>
                <w:bCs/>
                <w:kern w:val="0"/>
                <w:sz w:val="24"/>
              </w:rPr>
              <w:t>2、</w:t>
            </w:r>
            <w:r>
              <w:rPr>
                <w:rFonts w:hint="eastAsia"/>
                <w:b/>
                <w:bCs/>
                <w:kern w:val="0"/>
                <w:sz w:val="24"/>
              </w:rPr>
              <w:t>地表水</w:t>
            </w:r>
            <w:r>
              <w:rPr>
                <w:b/>
                <w:bCs/>
                <w:kern w:val="0"/>
                <w:sz w:val="24"/>
              </w:rPr>
              <w:t>环境质量现状</w:t>
            </w:r>
          </w:p>
          <w:p w14:paraId="6A6DE822">
            <w:pPr>
              <w:adjustRightInd w:val="0"/>
              <w:snapToGrid w:val="0"/>
              <w:spacing w:line="360" w:lineRule="auto"/>
              <w:ind w:firstLine="480" w:firstLineChars="200"/>
              <w:rPr>
                <w:kern w:val="0"/>
                <w:sz w:val="24"/>
              </w:rPr>
            </w:pPr>
            <w:r>
              <w:rPr>
                <w:rFonts w:hint="eastAsia"/>
                <w:kern w:val="0"/>
                <w:sz w:val="24"/>
              </w:rPr>
              <w:t>本项目位于杭锦旗聚能能源有限公司油房壕煤矿工业场地范围内，项目产生的废水为软水制备排污水、锅炉排污水，用于脱硫系统补充水，不外排。根据</w:t>
            </w:r>
            <w:r>
              <w:rPr>
                <w:kern w:val="0"/>
                <w:sz w:val="24"/>
              </w:rPr>
              <w:t>《建设项目环境影响报告表编制技术指南（污染影响类）（试行）》</w:t>
            </w:r>
            <w:r>
              <w:rPr>
                <w:rFonts w:hint="eastAsia"/>
                <w:kern w:val="0"/>
                <w:sz w:val="24"/>
              </w:rPr>
              <w:t>，本项目不存在</w:t>
            </w:r>
            <w:r>
              <w:rPr>
                <w:kern w:val="0"/>
                <w:sz w:val="24"/>
              </w:rPr>
              <w:t>地</w:t>
            </w:r>
            <w:r>
              <w:rPr>
                <w:rFonts w:hint="eastAsia"/>
                <w:kern w:val="0"/>
                <w:sz w:val="24"/>
              </w:rPr>
              <w:t>表水环境的污染途径，因此本项目</w:t>
            </w:r>
            <w:r>
              <w:rPr>
                <w:kern w:val="0"/>
                <w:sz w:val="24"/>
              </w:rPr>
              <w:t>不开展地</w:t>
            </w:r>
            <w:r>
              <w:rPr>
                <w:rFonts w:hint="eastAsia"/>
                <w:kern w:val="0"/>
                <w:sz w:val="24"/>
              </w:rPr>
              <w:t>表</w:t>
            </w:r>
            <w:r>
              <w:rPr>
                <w:kern w:val="0"/>
                <w:sz w:val="24"/>
              </w:rPr>
              <w:t>水</w:t>
            </w:r>
            <w:r>
              <w:rPr>
                <w:rFonts w:hint="eastAsia"/>
                <w:kern w:val="0"/>
                <w:sz w:val="24"/>
              </w:rPr>
              <w:t>环境质量现状监测</w:t>
            </w:r>
            <w:r>
              <w:rPr>
                <w:kern w:val="0"/>
                <w:sz w:val="24"/>
              </w:rPr>
              <w:t>。</w:t>
            </w:r>
          </w:p>
          <w:p w14:paraId="156F3D91">
            <w:pPr>
              <w:adjustRightInd w:val="0"/>
              <w:snapToGrid w:val="0"/>
              <w:spacing w:line="360" w:lineRule="auto"/>
              <w:ind w:firstLine="482" w:firstLineChars="200"/>
              <w:rPr>
                <w:b/>
                <w:bCs/>
                <w:kern w:val="0"/>
                <w:sz w:val="24"/>
              </w:rPr>
            </w:pPr>
            <w:r>
              <w:rPr>
                <w:b/>
                <w:bCs/>
                <w:kern w:val="0"/>
                <w:sz w:val="24"/>
              </w:rPr>
              <w:t>3、声环境质量现状</w:t>
            </w:r>
          </w:p>
          <w:p w14:paraId="679995A7">
            <w:pPr>
              <w:adjustRightInd w:val="0"/>
              <w:snapToGrid w:val="0"/>
              <w:spacing w:line="360" w:lineRule="auto"/>
              <w:ind w:firstLine="480" w:firstLineChars="200"/>
              <w:rPr>
                <w:kern w:val="0"/>
                <w:sz w:val="24"/>
              </w:rPr>
            </w:pPr>
            <w:r>
              <w:rPr>
                <w:kern w:val="0"/>
                <w:sz w:val="24"/>
              </w:rPr>
              <w:t>根据《建设项目环境影响报告表编制技术指南（污染影响类）（试行）》，厂界外周边50米范围内存在声环境保护目标的建设项目，应监测保护目标声环境质量现状并评价达标情况。</w:t>
            </w:r>
          </w:p>
          <w:p w14:paraId="0A0F076E">
            <w:pPr>
              <w:adjustRightInd w:val="0"/>
              <w:snapToGrid w:val="0"/>
              <w:spacing w:line="360" w:lineRule="auto"/>
              <w:ind w:firstLine="480" w:firstLineChars="200"/>
              <w:rPr>
                <w:kern w:val="0"/>
                <w:sz w:val="24"/>
              </w:rPr>
            </w:pPr>
            <w:r>
              <w:rPr>
                <w:kern w:val="0"/>
                <w:sz w:val="24"/>
              </w:rPr>
              <w:t>根据现场踏勘情况，项目厂界外50m范围内</w:t>
            </w:r>
            <w:r>
              <w:rPr>
                <w:rFonts w:hint="eastAsia"/>
                <w:kern w:val="0"/>
                <w:sz w:val="24"/>
              </w:rPr>
              <w:t>无声环境</w:t>
            </w:r>
            <w:r>
              <w:rPr>
                <w:kern w:val="0"/>
                <w:sz w:val="24"/>
              </w:rPr>
              <w:t>敏感点，因此本次评价</w:t>
            </w:r>
            <w:r>
              <w:rPr>
                <w:rFonts w:hint="eastAsia"/>
                <w:kern w:val="0"/>
                <w:sz w:val="24"/>
              </w:rPr>
              <w:t>不进行</w:t>
            </w:r>
            <w:r>
              <w:rPr>
                <w:kern w:val="0"/>
                <w:sz w:val="24"/>
              </w:rPr>
              <w:t>声环境质量现状</w:t>
            </w:r>
            <w:r>
              <w:rPr>
                <w:rFonts w:hint="eastAsia"/>
                <w:kern w:val="0"/>
                <w:sz w:val="24"/>
              </w:rPr>
              <w:t>进行</w:t>
            </w:r>
            <w:r>
              <w:rPr>
                <w:kern w:val="0"/>
                <w:sz w:val="24"/>
              </w:rPr>
              <w:t>监测。</w:t>
            </w:r>
          </w:p>
          <w:p w14:paraId="7D9CBFAE">
            <w:pPr>
              <w:adjustRightInd w:val="0"/>
              <w:snapToGrid w:val="0"/>
              <w:spacing w:line="360" w:lineRule="auto"/>
              <w:ind w:firstLine="482" w:firstLineChars="200"/>
              <w:rPr>
                <w:b/>
                <w:bCs/>
                <w:kern w:val="0"/>
                <w:sz w:val="24"/>
              </w:rPr>
            </w:pPr>
            <w:r>
              <w:rPr>
                <w:b/>
                <w:bCs/>
                <w:kern w:val="0"/>
                <w:sz w:val="24"/>
              </w:rPr>
              <w:t>4、生态环境</w:t>
            </w:r>
          </w:p>
          <w:p w14:paraId="01726350">
            <w:pPr>
              <w:adjustRightInd w:val="0"/>
              <w:snapToGrid w:val="0"/>
              <w:spacing w:line="360" w:lineRule="auto"/>
              <w:ind w:firstLine="480" w:firstLineChars="200"/>
              <w:rPr>
                <w:kern w:val="0"/>
                <w:sz w:val="24"/>
              </w:rPr>
            </w:pPr>
            <w:r>
              <w:rPr>
                <w:rFonts w:hint="eastAsia"/>
                <w:kern w:val="0"/>
                <w:sz w:val="24"/>
              </w:rPr>
              <w:t>根据《建设项目环境影响报告表编制技术指南（污染影响类）（试行）》，“产业园区外建设项目新增用地且用地范围内含有生态环境保护目标时，应进行生态现状调查”，</w:t>
            </w:r>
            <w:r>
              <w:rPr>
                <w:kern w:val="0"/>
                <w:sz w:val="24"/>
              </w:rPr>
              <w:t>项目占地位于</w:t>
            </w:r>
            <w:r>
              <w:rPr>
                <w:rFonts w:hint="eastAsia"/>
                <w:kern w:val="0"/>
                <w:sz w:val="24"/>
              </w:rPr>
              <w:t>本项目在油房壕煤矿工业场地范围内，无新增用地，不涉及生态环境保护目标，</w:t>
            </w:r>
            <w:r>
              <w:rPr>
                <w:kern w:val="0"/>
                <w:sz w:val="24"/>
              </w:rPr>
              <w:t>因此，本次评价不进行生态现状调查。</w:t>
            </w:r>
          </w:p>
          <w:p w14:paraId="1C589329">
            <w:pPr>
              <w:adjustRightInd w:val="0"/>
              <w:snapToGrid w:val="0"/>
              <w:spacing w:line="360" w:lineRule="auto"/>
              <w:ind w:firstLine="482" w:firstLineChars="200"/>
              <w:rPr>
                <w:b/>
                <w:bCs/>
                <w:kern w:val="0"/>
                <w:sz w:val="24"/>
              </w:rPr>
            </w:pPr>
            <w:r>
              <w:rPr>
                <w:b/>
                <w:bCs/>
                <w:kern w:val="0"/>
                <w:sz w:val="24"/>
              </w:rPr>
              <w:t>5、土壤环境</w:t>
            </w:r>
            <w:r>
              <w:rPr>
                <w:rFonts w:hint="eastAsia"/>
                <w:b/>
                <w:bCs/>
                <w:kern w:val="0"/>
                <w:sz w:val="24"/>
              </w:rPr>
              <w:t>和地下水环境</w:t>
            </w:r>
          </w:p>
          <w:p w14:paraId="0D124DFC">
            <w:pPr>
              <w:adjustRightInd w:val="0"/>
              <w:snapToGrid w:val="0"/>
              <w:spacing w:line="360" w:lineRule="auto"/>
              <w:ind w:firstLine="480" w:firstLineChars="200"/>
              <w:rPr>
                <w:kern w:val="0"/>
                <w:sz w:val="24"/>
              </w:rPr>
            </w:pPr>
            <w:r>
              <w:rPr>
                <w:kern w:val="0"/>
                <w:sz w:val="24"/>
              </w:rPr>
              <w:t>依据《建设项目环境影响报告表编制技术指南（污染影响类）（试行）》，</w:t>
            </w:r>
            <w:r>
              <w:rPr>
                <w:rFonts w:hint="eastAsia"/>
                <w:kern w:val="0"/>
                <w:sz w:val="24"/>
              </w:rPr>
              <w:t>原则上不开展环境质量现状调查。建设项目存在土壤、地下水环境污染途径的，应结合污染源、保护目标分布情况开展现状调查以留作背景值。</w:t>
            </w:r>
            <w:r>
              <w:rPr>
                <w:rFonts w:hint="eastAsia"/>
                <w:bCs/>
                <w:kern w:val="0"/>
                <w:sz w:val="24"/>
              </w:rPr>
              <w:t>本项目周边500米范围内无集中式饮用水水源和热水、矿泉水、温泉等特殊地下水资源保护区，且建设项目不</w:t>
            </w:r>
            <w:r>
              <w:rPr>
                <w:kern w:val="0"/>
                <w:sz w:val="24"/>
              </w:rPr>
              <w:t>存在土壤、地下水环境污染途径</w:t>
            </w:r>
            <w:r>
              <w:rPr>
                <w:rFonts w:hint="eastAsia"/>
                <w:bCs/>
                <w:kern w:val="0"/>
                <w:sz w:val="24"/>
              </w:rPr>
              <w:t>，按照《建设项目环境影响报告表编制技术指南》（污染影响类），无需开展地下水与土壤环境质量现状调查。</w:t>
            </w:r>
          </w:p>
        </w:tc>
      </w:tr>
      <w:tr w14:paraId="5F68536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445" w:type="pct"/>
            <w:vAlign w:val="center"/>
          </w:tcPr>
          <w:p w14:paraId="362E564B">
            <w:pPr>
              <w:adjustRightInd w:val="0"/>
              <w:snapToGrid w:val="0"/>
              <w:jc w:val="center"/>
              <w:rPr>
                <w:rFonts w:hint="eastAsia" w:ascii="宋体" w:hAnsi="宋体" w:cs="宋体"/>
                <w:kern w:val="0"/>
                <w:sz w:val="24"/>
              </w:rPr>
            </w:pPr>
            <w:bookmarkStart w:id="23" w:name="_Hlk151460362"/>
            <w:r>
              <w:rPr>
                <w:rFonts w:hint="eastAsia" w:ascii="宋体" w:hAnsi="宋体" w:cs="宋体"/>
                <w:kern w:val="0"/>
                <w:sz w:val="24"/>
              </w:rPr>
              <w:t>环境</w:t>
            </w:r>
          </w:p>
          <w:p w14:paraId="2AB14637">
            <w:pPr>
              <w:adjustRightInd w:val="0"/>
              <w:snapToGrid w:val="0"/>
              <w:jc w:val="center"/>
              <w:rPr>
                <w:rFonts w:hint="eastAsia" w:ascii="宋体" w:hAnsi="宋体" w:cs="宋体"/>
                <w:kern w:val="0"/>
                <w:sz w:val="24"/>
              </w:rPr>
            </w:pPr>
            <w:r>
              <w:rPr>
                <w:rFonts w:hint="eastAsia" w:ascii="宋体" w:hAnsi="宋体" w:cs="宋体"/>
                <w:kern w:val="0"/>
                <w:sz w:val="24"/>
              </w:rPr>
              <w:t>保护</w:t>
            </w:r>
          </w:p>
          <w:p w14:paraId="6DDF685F">
            <w:pPr>
              <w:adjustRightInd w:val="0"/>
              <w:snapToGrid w:val="0"/>
              <w:jc w:val="center"/>
              <w:rPr>
                <w:rFonts w:hint="eastAsia" w:ascii="宋体" w:hAnsi="宋体" w:cs="宋体"/>
                <w:kern w:val="0"/>
                <w:sz w:val="24"/>
              </w:rPr>
            </w:pPr>
            <w:r>
              <w:rPr>
                <w:rFonts w:hint="eastAsia" w:ascii="宋体" w:hAnsi="宋体" w:cs="宋体"/>
                <w:kern w:val="0"/>
                <w:sz w:val="24"/>
              </w:rPr>
              <w:t>目标</w:t>
            </w:r>
          </w:p>
        </w:tc>
        <w:tc>
          <w:tcPr>
            <w:tcW w:w="4555" w:type="pct"/>
            <w:vAlign w:val="center"/>
          </w:tcPr>
          <w:p w14:paraId="2EB3EDCA">
            <w:pPr>
              <w:adjustRightInd w:val="0"/>
              <w:snapToGrid w:val="0"/>
              <w:spacing w:line="360" w:lineRule="auto"/>
              <w:ind w:firstLine="480" w:firstLineChars="200"/>
              <w:rPr>
                <w:kern w:val="0"/>
                <w:sz w:val="24"/>
              </w:rPr>
            </w:pPr>
            <w:bookmarkStart w:id="24" w:name="_Hlk151460382"/>
            <w:r>
              <w:rPr>
                <w:kern w:val="0"/>
                <w:sz w:val="24"/>
              </w:rPr>
              <w:t>项目位</w:t>
            </w:r>
            <w:r>
              <w:rPr>
                <w:rFonts w:hint="eastAsia"/>
                <w:kern w:val="0"/>
                <w:sz w:val="24"/>
              </w:rPr>
              <w:t>于泊尔江海子镇杭锦旗聚能能源有限公司油房壕煤矿工业场地范围</w:t>
            </w:r>
            <w:r>
              <w:rPr>
                <w:rFonts w:hint="eastAsia"/>
                <w:sz w:val="24"/>
              </w:rPr>
              <w:t>内</w:t>
            </w:r>
            <w:r>
              <w:rPr>
                <w:kern w:val="0"/>
                <w:sz w:val="24"/>
              </w:rPr>
              <w:t>，项目评价范围内无文物古迹、自然保护区等敏感目标。根据《建设项目环境影响报告表编制技术指南（污染影响类）（试行）》，确定本项目环境保护目标如下：</w:t>
            </w:r>
          </w:p>
          <w:p w14:paraId="47B619CD">
            <w:pPr>
              <w:adjustRightInd w:val="0"/>
              <w:snapToGrid w:val="0"/>
              <w:spacing w:line="360" w:lineRule="auto"/>
              <w:ind w:firstLine="480" w:firstLineChars="200"/>
              <w:rPr>
                <w:kern w:val="0"/>
                <w:sz w:val="24"/>
              </w:rPr>
            </w:pPr>
            <w:r>
              <w:rPr>
                <w:kern w:val="0"/>
                <w:sz w:val="24"/>
              </w:rPr>
              <w:t>1.大气环境</w:t>
            </w:r>
          </w:p>
          <w:p w14:paraId="3008A8E3">
            <w:pPr>
              <w:adjustRightInd w:val="0"/>
              <w:snapToGrid w:val="0"/>
              <w:spacing w:line="360" w:lineRule="auto"/>
              <w:ind w:firstLine="480" w:firstLineChars="200"/>
              <w:rPr>
                <w:bCs/>
                <w:kern w:val="0"/>
                <w:sz w:val="24"/>
              </w:rPr>
            </w:pPr>
            <w:r>
              <w:rPr>
                <w:kern w:val="0"/>
                <w:sz w:val="24"/>
              </w:rPr>
              <w:t>明确厂界外500m范围内的自然保护区、风景名胜区、居住区、文化区和农村地区中人群较集中的区域等保护目标的名称及与建设项目厂界位置关系。经调查，本项目厂界外500m范围内</w:t>
            </w:r>
            <w:r>
              <w:rPr>
                <w:rFonts w:hint="eastAsia"/>
                <w:kern w:val="0"/>
                <w:sz w:val="24"/>
              </w:rPr>
              <w:t>无大气环境保护目标</w:t>
            </w:r>
            <w:r>
              <w:rPr>
                <w:rFonts w:hint="eastAsia"/>
                <w:bCs/>
                <w:kern w:val="0"/>
                <w:sz w:val="24"/>
              </w:rPr>
              <w:t>。</w:t>
            </w:r>
          </w:p>
          <w:p w14:paraId="5743D704">
            <w:pPr>
              <w:adjustRightInd w:val="0"/>
              <w:snapToGrid w:val="0"/>
              <w:spacing w:line="360" w:lineRule="auto"/>
              <w:ind w:firstLine="480" w:firstLineChars="200"/>
              <w:rPr>
                <w:kern w:val="0"/>
                <w:sz w:val="24"/>
              </w:rPr>
            </w:pPr>
            <w:r>
              <w:rPr>
                <w:kern w:val="0"/>
                <w:sz w:val="24"/>
              </w:rPr>
              <w:t>2.声环境</w:t>
            </w:r>
          </w:p>
          <w:p w14:paraId="609CAA63">
            <w:pPr>
              <w:adjustRightInd w:val="0"/>
              <w:snapToGrid w:val="0"/>
              <w:spacing w:line="360" w:lineRule="auto"/>
              <w:ind w:firstLine="480" w:firstLineChars="200"/>
              <w:rPr>
                <w:kern w:val="0"/>
                <w:sz w:val="24"/>
              </w:rPr>
            </w:pPr>
            <w:r>
              <w:rPr>
                <w:kern w:val="0"/>
                <w:sz w:val="24"/>
              </w:rPr>
              <w:t>经调查，本项目厂界外50m范围内</w:t>
            </w:r>
            <w:r>
              <w:rPr>
                <w:rFonts w:hint="eastAsia"/>
                <w:kern w:val="0"/>
                <w:sz w:val="24"/>
              </w:rPr>
              <w:t>无</w:t>
            </w:r>
            <w:r>
              <w:rPr>
                <w:kern w:val="0"/>
                <w:sz w:val="24"/>
              </w:rPr>
              <w:t>声环境敏感目标。</w:t>
            </w:r>
          </w:p>
          <w:p w14:paraId="7541946B">
            <w:pPr>
              <w:adjustRightInd w:val="0"/>
              <w:snapToGrid w:val="0"/>
              <w:spacing w:line="360" w:lineRule="auto"/>
              <w:ind w:firstLine="480" w:firstLineChars="200"/>
              <w:rPr>
                <w:kern w:val="0"/>
                <w:sz w:val="24"/>
              </w:rPr>
            </w:pPr>
            <w:r>
              <w:rPr>
                <w:kern w:val="0"/>
                <w:sz w:val="24"/>
              </w:rPr>
              <w:t>3.地下水环境</w:t>
            </w:r>
          </w:p>
          <w:p w14:paraId="6FE7C1C2">
            <w:pPr>
              <w:adjustRightInd w:val="0"/>
              <w:snapToGrid w:val="0"/>
              <w:spacing w:line="360" w:lineRule="auto"/>
              <w:ind w:firstLine="480" w:firstLineChars="200"/>
              <w:rPr>
                <w:kern w:val="0"/>
                <w:sz w:val="24"/>
              </w:rPr>
            </w:pPr>
            <w:r>
              <w:rPr>
                <w:kern w:val="0"/>
                <w:sz w:val="24"/>
              </w:rPr>
              <w:t>经调查，本项目厂界外500m范围内不存在地下水集中式饮用水水源和</w:t>
            </w:r>
            <w:r>
              <w:rPr>
                <w:rFonts w:hint="eastAsia"/>
                <w:kern w:val="0"/>
                <w:sz w:val="24"/>
              </w:rPr>
              <w:t>热水</w:t>
            </w:r>
            <w:r>
              <w:rPr>
                <w:kern w:val="0"/>
                <w:sz w:val="24"/>
              </w:rPr>
              <w:t>、矿泉水、温泉等地下水环境敏感目标。</w:t>
            </w:r>
          </w:p>
          <w:p w14:paraId="2901171B">
            <w:pPr>
              <w:adjustRightInd w:val="0"/>
              <w:snapToGrid w:val="0"/>
              <w:spacing w:line="360" w:lineRule="auto"/>
              <w:ind w:firstLine="480" w:firstLineChars="200"/>
              <w:rPr>
                <w:kern w:val="0"/>
                <w:sz w:val="24"/>
              </w:rPr>
            </w:pPr>
            <w:r>
              <w:rPr>
                <w:rFonts w:hint="eastAsia"/>
                <w:kern w:val="0"/>
                <w:sz w:val="24"/>
              </w:rPr>
              <w:t>4.生态环境</w:t>
            </w:r>
          </w:p>
          <w:p w14:paraId="29E02261">
            <w:pPr>
              <w:adjustRightInd w:val="0"/>
              <w:snapToGrid w:val="0"/>
              <w:spacing w:line="360" w:lineRule="auto"/>
              <w:ind w:firstLine="480" w:firstLineChars="200"/>
              <w:rPr>
                <w:kern w:val="0"/>
                <w:sz w:val="24"/>
              </w:rPr>
            </w:pPr>
            <w:r>
              <w:rPr>
                <w:rFonts w:hint="eastAsia"/>
                <w:kern w:val="0"/>
                <w:sz w:val="24"/>
              </w:rPr>
              <w:t>本项目在油房壕煤矿工业场地范围内，无新增用地，不涉及生态环境保护目标。</w:t>
            </w:r>
          </w:p>
          <w:p w14:paraId="1693A63A">
            <w:pPr>
              <w:adjustRightInd w:val="0"/>
              <w:snapToGrid w:val="0"/>
              <w:ind w:firstLine="422" w:firstLineChars="200"/>
              <w:jc w:val="center"/>
              <w:rPr>
                <w:b/>
              </w:rPr>
            </w:pPr>
            <w:bookmarkStart w:id="25" w:name="_Hlk176422903"/>
            <w:r>
              <w:rPr>
                <w:rFonts w:hint="eastAsia"/>
                <w:b/>
              </w:rPr>
              <w:t>表</w:t>
            </w:r>
            <w:r>
              <w:rPr>
                <w:b/>
              </w:rPr>
              <w:t xml:space="preserve">3-3  </w:t>
            </w:r>
            <w:r>
              <w:rPr>
                <w:rFonts w:hint="eastAsia"/>
                <w:b/>
              </w:rPr>
              <w:t>环境保护目标一览表</w:t>
            </w:r>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534"/>
              <w:gridCol w:w="1188"/>
              <w:gridCol w:w="896"/>
              <w:gridCol w:w="928"/>
              <w:gridCol w:w="1185"/>
              <w:gridCol w:w="1925"/>
              <w:gridCol w:w="660"/>
              <w:gridCol w:w="723"/>
            </w:tblGrid>
            <w:tr w14:paraId="4A95AE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385" w:type="pct"/>
                  <w:vAlign w:val="center"/>
                </w:tcPr>
                <w:p w14:paraId="1CDE932F">
                  <w:pPr>
                    <w:jc w:val="center"/>
                    <w:rPr>
                      <w:szCs w:val="21"/>
                    </w:rPr>
                  </w:pPr>
                  <w:r>
                    <w:rPr>
                      <w:szCs w:val="21"/>
                    </w:rPr>
                    <w:t>名称</w:t>
                  </w:r>
                </w:p>
              </w:tc>
              <w:tc>
                <w:tcPr>
                  <w:tcW w:w="792" w:type="pct"/>
                  <w:vAlign w:val="center"/>
                </w:tcPr>
                <w:p w14:paraId="21C127A6">
                  <w:pPr>
                    <w:jc w:val="center"/>
                    <w:rPr>
                      <w:szCs w:val="21"/>
                    </w:rPr>
                  </w:pPr>
                  <w:r>
                    <w:rPr>
                      <w:rFonts w:hint="eastAsia"/>
                      <w:szCs w:val="21"/>
                    </w:rPr>
                    <w:t>保护目标名称</w:t>
                  </w:r>
                </w:p>
              </w:tc>
              <w:tc>
                <w:tcPr>
                  <w:tcW w:w="610" w:type="pct"/>
                  <w:vAlign w:val="center"/>
                </w:tcPr>
                <w:p w14:paraId="0A1AE047">
                  <w:pPr>
                    <w:jc w:val="center"/>
                    <w:rPr>
                      <w:szCs w:val="21"/>
                    </w:rPr>
                  </w:pPr>
                  <w:r>
                    <w:rPr>
                      <w:rFonts w:hint="eastAsia"/>
                      <w:szCs w:val="21"/>
                    </w:rPr>
                    <w:t>坐标</w:t>
                  </w:r>
                </w:p>
              </w:tc>
              <w:tc>
                <w:tcPr>
                  <w:tcW w:w="630" w:type="pct"/>
                  <w:vAlign w:val="center"/>
                </w:tcPr>
                <w:p w14:paraId="441AB685">
                  <w:pPr>
                    <w:jc w:val="center"/>
                    <w:rPr>
                      <w:szCs w:val="21"/>
                    </w:rPr>
                  </w:pPr>
                  <w:r>
                    <w:rPr>
                      <w:szCs w:val="21"/>
                    </w:rPr>
                    <w:t>保护对象</w:t>
                  </w:r>
                </w:p>
              </w:tc>
              <w:tc>
                <w:tcPr>
                  <w:tcW w:w="790" w:type="pct"/>
                  <w:vAlign w:val="center"/>
                </w:tcPr>
                <w:p w14:paraId="4FD8E508">
                  <w:pPr>
                    <w:jc w:val="center"/>
                    <w:rPr>
                      <w:szCs w:val="21"/>
                    </w:rPr>
                  </w:pPr>
                  <w:r>
                    <w:rPr>
                      <w:szCs w:val="21"/>
                    </w:rPr>
                    <w:t>保护内容</w:t>
                  </w:r>
                </w:p>
              </w:tc>
              <w:tc>
                <w:tcPr>
                  <w:tcW w:w="828" w:type="pct"/>
                  <w:vAlign w:val="center"/>
                </w:tcPr>
                <w:p w14:paraId="4ED74024">
                  <w:pPr>
                    <w:jc w:val="center"/>
                    <w:rPr>
                      <w:szCs w:val="21"/>
                    </w:rPr>
                  </w:pPr>
                  <w:r>
                    <w:rPr>
                      <w:szCs w:val="21"/>
                    </w:rPr>
                    <w:t>环境功能区</w:t>
                  </w:r>
                </w:p>
              </w:tc>
              <w:tc>
                <w:tcPr>
                  <w:tcW w:w="463" w:type="pct"/>
                  <w:vAlign w:val="center"/>
                </w:tcPr>
                <w:p w14:paraId="32C495EC">
                  <w:pPr>
                    <w:jc w:val="center"/>
                    <w:rPr>
                      <w:szCs w:val="21"/>
                    </w:rPr>
                  </w:pPr>
                  <w:r>
                    <w:rPr>
                      <w:szCs w:val="21"/>
                    </w:rPr>
                    <w:t>相对厂址方位</w:t>
                  </w:r>
                </w:p>
              </w:tc>
              <w:tc>
                <w:tcPr>
                  <w:tcW w:w="502" w:type="pct"/>
                  <w:vAlign w:val="center"/>
                </w:tcPr>
                <w:p w14:paraId="3AB84757">
                  <w:pPr>
                    <w:jc w:val="center"/>
                    <w:rPr>
                      <w:szCs w:val="21"/>
                    </w:rPr>
                  </w:pPr>
                  <w:r>
                    <w:rPr>
                      <w:szCs w:val="21"/>
                    </w:rPr>
                    <w:t>相对厂界距离/m</w:t>
                  </w:r>
                </w:p>
              </w:tc>
            </w:tr>
            <w:tr w14:paraId="67B15C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385" w:type="pct"/>
                  <w:vAlign w:val="center"/>
                </w:tcPr>
                <w:p w14:paraId="6B607C70">
                  <w:pPr>
                    <w:jc w:val="center"/>
                    <w:rPr>
                      <w:szCs w:val="21"/>
                    </w:rPr>
                  </w:pPr>
                  <w:r>
                    <w:rPr>
                      <w:rFonts w:hint="eastAsia"/>
                      <w:szCs w:val="21"/>
                    </w:rPr>
                    <w:t>大气环境</w:t>
                  </w:r>
                </w:p>
              </w:tc>
              <w:tc>
                <w:tcPr>
                  <w:tcW w:w="2822" w:type="pct"/>
                  <w:gridSpan w:val="4"/>
                  <w:vAlign w:val="center"/>
                </w:tcPr>
                <w:p w14:paraId="6F92BFD5">
                  <w:pPr>
                    <w:jc w:val="center"/>
                    <w:rPr>
                      <w:szCs w:val="21"/>
                    </w:rPr>
                  </w:pPr>
                  <w:r>
                    <w:rPr>
                      <w:rFonts w:hint="eastAsia"/>
                      <w:szCs w:val="21"/>
                    </w:rPr>
                    <w:t>本项目厂界外500m范围内无大气环境保护目标</w:t>
                  </w:r>
                </w:p>
              </w:tc>
              <w:tc>
                <w:tcPr>
                  <w:tcW w:w="828" w:type="pct"/>
                  <w:vAlign w:val="center"/>
                </w:tcPr>
                <w:p w14:paraId="6BD644FD">
                  <w:pPr>
                    <w:jc w:val="center"/>
                    <w:rPr>
                      <w:szCs w:val="21"/>
                    </w:rPr>
                  </w:pPr>
                  <w:r>
                    <w:rPr>
                      <w:rFonts w:hint="eastAsia"/>
                      <w:szCs w:val="21"/>
                    </w:rPr>
                    <w:t>《环境空气质量标准》（GB</w:t>
                  </w:r>
                  <w:r>
                    <w:rPr>
                      <w:szCs w:val="21"/>
                    </w:rPr>
                    <w:t>3095-2012</w:t>
                  </w:r>
                  <w:r>
                    <w:rPr>
                      <w:rFonts w:hint="eastAsia"/>
                      <w:szCs w:val="21"/>
                    </w:rPr>
                    <w:t>）二类区</w:t>
                  </w:r>
                </w:p>
              </w:tc>
              <w:tc>
                <w:tcPr>
                  <w:tcW w:w="463" w:type="pct"/>
                  <w:vAlign w:val="center"/>
                </w:tcPr>
                <w:p w14:paraId="16218C6F">
                  <w:pPr>
                    <w:jc w:val="center"/>
                    <w:rPr>
                      <w:szCs w:val="21"/>
                    </w:rPr>
                  </w:pPr>
                  <w:r>
                    <w:rPr>
                      <w:rFonts w:hint="eastAsia"/>
                      <w:szCs w:val="21"/>
                    </w:rPr>
                    <w:t>/</w:t>
                  </w:r>
                </w:p>
              </w:tc>
              <w:tc>
                <w:tcPr>
                  <w:tcW w:w="502" w:type="pct"/>
                  <w:vAlign w:val="center"/>
                </w:tcPr>
                <w:p w14:paraId="20152ECE">
                  <w:pPr>
                    <w:jc w:val="center"/>
                    <w:rPr>
                      <w:szCs w:val="21"/>
                    </w:rPr>
                  </w:pPr>
                  <w:r>
                    <w:rPr>
                      <w:rFonts w:hint="eastAsia"/>
                      <w:szCs w:val="21"/>
                    </w:rPr>
                    <w:t>/</w:t>
                  </w:r>
                </w:p>
              </w:tc>
            </w:tr>
            <w:tr w14:paraId="071881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385" w:type="pct"/>
                  <w:vAlign w:val="center"/>
                </w:tcPr>
                <w:p w14:paraId="1A2F7435">
                  <w:pPr>
                    <w:jc w:val="center"/>
                    <w:rPr>
                      <w:szCs w:val="21"/>
                    </w:rPr>
                  </w:pPr>
                  <w:r>
                    <w:rPr>
                      <w:szCs w:val="21"/>
                    </w:rPr>
                    <w:t>声环境</w:t>
                  </w:r>
                </w:p>
              </w:tc>
              <w:tc>
                <w:tcPr>
                  <w:tcW w:w="2822" w:type="pct"/>
                  <w:gridSpan w:val="4"/>
                  <w:vAlign w:val="center"/>
                </w:tcPr>
                <w:p w14:paraId="2989D47F">
                  <w:pPr>
                    <w:jc w:val="center"/>
                    <w:rPr>
                      <w:szCs w:val="21"/>
                    </w:rPr>
                  </w:pPr>
                  <w:r>
                    <w:rPr>
                      <w:rFonts w:hint="eastAsia"/>
                      <w:szCs w:val="21"/>
                    </w:rPr>
                    <w:t>本项目厂界外50m范围内无声环境敏感目标</w:t>
                  </w:r>
                </w:p>
              </w:tc>
              <w:tc>
                <w:tcPr>
                  <w:tcW w:w="828" w:type="pct"/>
                  <w:vAlign w:val="center"/>
                </w:tcPr>
                <w:p w14:paraId="27A9CB4E">
                  <w:pPr>
                    <w:jc w:val="center"/>
                    <w:rPr>
                      <w:szCs w:val="21"/>
                    </w:rPr>
                  </w:pPr>
                  <w:r>
                    <w:rPr>
                      <w:rFonts w:hint="eastAsia"/>
                      <w:szCs w:val="21"/>
                    </w:rPr>
                    <w:t>《声环境质量标准》（GB</w:t>
                  </w:r>
                  <w:r>
                    <w:rPr>
                      <w:szCs w:val="21"/>
                    </w:rPr>
                    <w:t>3096-2008</w:t>
                  </w:r>
                  <w:r>
                    <w:rPr>
                      <w:rFonts w:hint="eastAsia"/>
                      <w:szCs w:val="21"/>
                    </w:rPr>
                    <w:t>）</w:t>
                  </w:r>
                  <w:r>
                    <w:rPr>
                      <w:szCs w:val="21"/>
                    </w:rPr>
                    <w:t>2</w:t>
                  </w:r>
                  <w:r>
                    <w:rPr>
                      <w:rFonts w:hint="eastAsia"/>
                      <w:szCs w:val="21"/>
                    </w:rPr>
                    <w:t>类区</w:t>
                  </w:r>
                </w:p>
              </w:tc>
              <w:tc>
                <w:tcPr>
                  <w:tcW w:w="463" w:type="pct"/>
                  <w:vAlign w:val="center"/>
                </w:tcPr>
                <w:p w14:paraId="37E92788">
                  <w:pPr>
                    <w:jc w:val="center"/>
                    <w:rPr>
                      <w:szCs w:val="21"/>
                    </w:rPr>
                  </w:pPr>
                  <w:r>
                    <w:rPr>
                      <w:rFonts w:hint="eastAsia"/>
                      <w:szCs w:val="21"/>
                    </w:rPr>
                    <w:t>/</w:t>
                  </w:r>
                </w:p>
              </w:tc>
              <w:tc>
                <w:tcPr>
                  <w:tcW w:w="502" w:type="pct"/>
                  <w:vAlign w:val="center"/>
                </w:tcPr>
                <w:p w14:paraId="069E6F17">
                  <w:pPr>
                    <w:jc w:val="center"/>
                    <w:rPr>
                      <w:szCs w:val="21"/>
                    </w:rPr>
                  </w:pPr>
                  <w:r>
                    <w:rPr>
                      <w:rFonts w:hint="eastAsia"/>
                      <w:szCs w:val="21"/>
                    </w:rPr>
                    <w:t>/</w:t>
                  </w:r>
                </w:p>
              </w:tc>
            </w:tr>
            <w:tr w14:paraId="047C20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385" w:type="pct"/>
                  <w:vAlign w:val="center"/>
                </w:tcPr>
                <w:p w14:paraId="52252670">
                  <w:pPr>
                    <w:jc w:val="center"/>
                    <w:rPr>
                      <w:szCs w:val="21"/>
                    </w:rPr>
                  </w:pPr>
                  <w:r>
                    <w:rPr>
                      <w:rFonts w:hint="eastAsia"/>
                      <w:szCs w:val="21"/>
                    </w:rPr>
                    <w:t>地下水环境</w:t>
                  </w:r>
                </w:p>
              </w:tc>
              <w:tc>
                <w:tcPr>
                  <w:tcW w:w="2822" w:type="pct"/>
                  <w:gridSpan w:val="4"/>
                  <w:vAlign w:val="center"/>
                </w:tcPr>
                <w:p w14:paraId="76406AC1">
                  <w:pPr>
                    <w:jc w:val="center"/>
                    <w:rPr>
                      <w:szCs w:val="21"/>
                    </w:rPr>
                  </w:pPr>
                  <w:r>
                    <w:rPr>
                      <w:szCs w:val="21"/>
                    </w:rPr>
                    <w:t>厂界外500m范围内不存在地下水集中式饮用水水源和</w:t>
                  </w:r>
                  <w:r>
                    <w:rPr>
                      <w:rFonts w:hint="eastAsia"/>
                      <w:szCs w:val="21"/>
                    </w:rPr>
                    <w:t>热水</w:t>
                  </w:r>
                  <w:r>
                    <w:rPr>
                      <w:szCs w:val="21"/>
                    </w:rPr>
                    <w:t>、矿泉水、温泉等地下水环境敏感目标</w:t>
                  </w:r>
                </w:p>
              </w:tc>
              <w:tc>
                <w:tcPr>
                  <w:tcW w:w="828" w:type="pct"/>
                  <w:vAlign w:val="center"/>
                </w:tcPr>
                <w:p w14:paraId="204C66AD">
                  <w:pPr>
                    <w:jc w:val="center"/>
                    <w:rPr>
                      <w:szCs w:val="21"/>
                    </w:rPr>
                  </w:pPr>
                  <w:r>
                    <w:rPr>
                      <w:rFonts w:hint="eastAsia"/>
                      <w:szCs w:val="21"/>
                    </w:rPr>
                    <w:t>《地下水质量标准》（GB</w:t>
                  </w:r>
                  <w:r>
                    <w:rPr>
                      <w:szCs w:val="21"/>
                    </w:rPr>
                    <w:t>/</w:t>
                  </w:r>
                  <w:r>
                    <w:rPr>
                      <w:rFonts w:hint="eastAsia"/>
                      <w:szCs w:val="21"/>
                    </w:rPr>
                    <w:t>T</w:t>
                  </w:r>
                  <w:r>
                    <w:rPr>
                      <w:szCs w:val="21"/>
                    </w:rPr>
                    <w:t>14848-2017</w:t>
                  </w:r>
                  <w:r>
                    <w:rPr>
                      <w:rFonts w:hint="eastAsia"/>
                      <w:szCs w:val="21"/>
                    </w:rPr>
                    <w:t>）III类</w:t>
                  </w:r>
                </w:p>
              </w:tc>
              <w:tc>
                <w:tcPr>
                  <w:tcW w:w="463" w:type="pct"/>
                  <w:vAlign w:val="center"/>
                </w:tcPr>
                <w:p w14:paraId="2E0BB85D">
                  <w:pPr>
                    <w:jc w:val="center"/>
                    <w:rPr>
                      <w:szCs w:val="21"/>
                    </w:rPr>
                  </w:pPr>
                  <w:r>
                    <w:rPr>
                      <w:rFonts w:hint="eastAsia"/>
                      <w:szCs w:val="21"/>
                    </w:rPr>
                    <w:t>/</w:t>
                  </w:r>
                </w:p>
              </w:tc>
              <w:tc>
                <w:tcPr>
                  <w:tcW w:w="502" w:type="pct"/>
                  <w:vAlign w:val="center"/>
                </w:tcPr>
                <w:p w14:paraId="12ACA67F">
                  <w:pPr>
                    <w:jc w:val="center"/>
                    <w:rPr>
                      <w:szCs w:val="21"/>
                    </w:rPr>
                  </w:pPr>
                  <w:r>
                    <w:rPr>
                      <w:rFonts w:hint="eastAsia"/>
                      <w:szCs w:val="21"/>
                    </w:rPr>
                    <w:t>/</w:t>
                  </w:r>
                </w:p>
              </w:tc>
            </w:tr>
            <w:tr w14:paraId="072251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cantSplit/>
                <w:trHeight w:val="20" w:hRule="atLeast"/>
                <w:jc w:val="center"/>
              </w:trPr>
              <w:tc>
                <w:tcPr>
                  <w:tcW w:w="385" w:type="pct"/>
                  <w:vAlign w:val="center"/>
                </w:tcPr>
                <w:p w14:paraId="28F37665">
                  <w:pPr>
                    <w:jc w:val="center"/>
                    <w:rPr>
                      <w:szCs w:val="21"/>
                    </w:rPr>
                  </w:pPr>
                  <w:r>
                    <w:rPr>
                      <w:rFonts w:hint="eastAsia"/>
                      <w:szCs w:val="21"/>
                    </w:rPr>
                    <w:t>生态环境</w:t>
                  </w:r>
                </w:p>
              </w:tc>
              <w:tc>
                <w:tcPr>
                  <w:tcW w:w="4615" w:type="pct"/>
                  <w:gridSpan w:val="7"/>
                  <w:vAlign w:val="center"/>
                </w:tcPr>
                <w:p w14:paraId="1F11C0E8">
                  <w:pPr>
                    <w:jc w:val="center"/>
                    <w:rPr>
                      <w:szCs w:val="21"/>
                    </w:rPr>
                  </w:pPr>
                  <w:r>
                    <w:rPr>
                      <w:rFonts w:hint="eastAsia"/>
                      <w:szCs w:val="21"/>
                    </w:rPr>
                    <w:t>本项目在油房壕煤矿工业场地范围内，无新增用地，不涉及生态环境保护目标</w:t>
                  </w:r>
                </w:p>
              </w:tc>
            </w:tr>
            <w:bookmarkEnd w:id="24"/>
            <w:bookmarkEnd w:id="25"/>
          </w:tbl>
          <w:p w14:paraId="313F2B2E">
            <w:pPr>
              <w:adjustRightInd w:val="0"/>
              <w:snapToGrid w:val="0"/>
              <w:spacing w:line="360" w:lineRule="auto"/>
              <w:ind w:firstLine="480" w:firstLineChars="200"/>
              <w:rPr>
                <w:kern w:val="0"/>
                <w:sz w:val="24"/>
              </w:rPr>
            </w:pPr>
          </w:p>
        </w:tc>
      </w:tr>
      <w:bookmarkEnd w:id="23"/>
      <w:tr w14:paraId="41ACFCA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25" w:hRule="atLeast"/>
          <w:jc w:val="center"/>
        </w:trPr>
        <w:tc>
          <w:tcPr>
            <w:tcW w:w="445" w:type="pct"/>
            <w:tcMar>
              <w:left w:w="28" w:type="dxa"/>
              <w:right w:w="28" w:type="dxa"/>
            </w:tcMar>
            <w:vAlign w:val="center"/>
          </w:tcPr>
          <w:p w14:paraId="4055AD5B">
            <w:pPr>
              <w:adjustRightInd w:val="0"/>
              <w:snapToGrid w:val="0"/>
              <w:jc w:val="center"/>
              <w:rPr>
                <w:rFonts w:hint="eastAsia" w:ascii="宋体" w:hAnsi="宋体" w:cs="宋体"/>
                <w:kern w:val="0"/>
                <w:sz w:val="24"/>
              </w:rPr>
            </w:pPr>
            <w:r>
              <w:rPr>
                <w:rFonts w:hint="eastAsia" w:ascii="宋体" w:hAnsi="宋体" w:cs="宋体"/>
                <w:kern w:val="0"/>
                <w:sz w:val="24"/>
              </w:rPr>
              <w:t>污染</w:t>
            </w:r>
          </w:p>
          <w:p w14:paraId="31E84258">
            <w:pPr>
              <w:adjustRightInd w:val="0"/>
              <w:snapToGrid w:val="0"/>
              <w:jc w:val="center"/>
              <w:rPr>
                <w:rFonts w:hint="eastAsia" w:ascii="宋体" w:hAnsi="宋体" w:cs="宋体"/>
                <w:kern w:val="0"/>
                <w:sz w:val="24"/>
              </w:rPr>
            </w:pPr>
            <w:r>
              <w:rPr>
                <w:rFonts w:hint="eastAsia" w:ascii="宋体" w:hAnsi="宋体" w:cs="宋体"/>
                <w:kern w:val="0"/>
                <w:sz w:val="24"/>
              </w:rPr>
              <w:t>物排</w:t>
            </w:r>
          </w:p>
          <w:p w14:paraId="3645EBFB">
            <w:pPr>
              <w:adjustRightInd w:val="0"/>
              <w:snapToGrid w:val="0"/>
              <w:jc w:val="center"/>
              <w:rPr>
                <w:rFonts w:hint="eastAsia" w:ascii="宋体" w:hAnsi="宋体" w:cs="宋体"/>
                <w:kern w:val="0"/>
                <w:sz w:val="24"/>
              </w:rPr>
            </w:pPr>
            <w:r>
              <w:rPr>
                <w:rFonts w:hint="eastAsia" w:ascii="宋体" w:hAnsi="宋体" w:cs="宋体"/>
                <w:kern w:val="0"/>
                <w:sz w:val="24"/>
              </w:rPr>
              <w:t>放控</w:t>
            </w:r>
          </w:p>
          <w:p w14:paraId="337AD6FF">
            <w:pPr>
              <w:adjustRightInd w:val="0"/>
              <w:snapToGrid w:val="0"/>
              <w:jc w:val="center"/>
              <w:rPr>
                <w:rFonts w:hint="eastAsia" w:ascii="宋体" w:hAnsi="宋体" w:cs="宋体"/>
                <w:kern w:val="0"/>
                <w:sz w:val="24"/>
              </w:rPr>
            </w:pPr>
            <w:r>
              <w:rPr>
                <w:rFonts w:hint="eastAsia" w:ascii="宋体" w:hAnsi="宋体" w:cs="宋体"/>
                <w:kern w:val="0"/>
                <w:sz w:val="24"/>
              </w:rPr>
              <w:t>制标</w:t>
            </w:r>
          </w:p>
          <w:p w14:paraId="0A96D42D">
            <w:pPr>
              <w:adjustRightInd w:val="0"/>
              <w:snapToGrid w:val="0"/>
              <w:jc w:val="center"/>
              <w:rPr>
                <w:rFonts w:hint="eastAsia" w:ascii="宋体" w:hAnsi="宋体" w:cs="宋体"/>
                <w:kern w:val="0"/>
                <w:sz w:val="24"/>
              </w:rPr>
            </w:pPr>
            <w:r>
              <w:rPr>
                <w:rFonts w:hint="eastAsia" w:ascii="宋体" w:hAnsi="宋体" w:cs="宋体"/>
                <w:kern w:val="0"/>
                <w:sz w:val="24"/>
              </w:rPr>
              <w:t>准</w:t>
            </w:r>
          </w:p>
        </w:tc>
        <w:tc>
          <w:tcPr>
            <w:tcW w:w="4555" w:type="pct"/>
            <w:vAlign w:val="center"/>
          </w:tcPr>
          <w:p w14:paraId="5756662A">
            <w:pPr>
              <w:spacing w:before="120" w:beforeLines="50" w:line="360" w:lineRule="auto"/>
              <w:ind w:firstLine="482" w:firstLineChars="200"/>
              <w:rPr>
                <w:b/>
                <w:sz w:val="24"/>
              </w:rPr>
            </w:pPr>
            <w:r>
              <w:rPr>
                <w:b/>
                <w:sz w:val="24"/>
              </w:rPr>
              <w:t>1、</w:t>
            </w:r>
            <w:r>
              <w:rPr>
                <w:rFonts w:hint="eastAsia"/>
                <w:b/>
                <w:sz w:val="24"/>
              </w:rPr>
              <w:t>废气排放标准</w:t>
            </w:r>
          </w:p>
          <w:p w14:paraId="289A2C5B">
            <w:pPr>
              <w:spacing w:line="360" w:lineRule="auto"/>
              <w:ind w:firstLine="480" w:firstLineChars="200"/>
              <w:rPr>
                <w:bCs/>
                <w:sz w:val="24"/>
              </w:rPr>
            </w:pPr>
            <w:r>
              <w:rPr>
                <w:rFonts w:hint="eastAsia"/>
                <w:bCs/>
                <w:sz w:val="24"/>
              </w:rPr>
              <w:t>本项目施工期生产过程产生的无组织颗粒物排放执行《大气污染物综合排放标准》（</w:t>
            </w:r>
            <w:r>
              <w:rPr>
                <w:bCs/>
                <w:sz w:val="24"/>
              </w:rPr>
              <w:t>GB16297-1996</w:t>
            </w:r>
            <w:r>
              <w:rPr>
                <w:rFonts w:hint="eastAsia"/>
                <w:bCs/>
                <w:sz w:val="24"/>
              </w:rPr>
              <w:t>）表</w:t>
            </w:r>
            <w:r>
              <w:rPr>
                <w:bCs/>
                <w:sz w:val="24"/>
              </w:rPr>
              <w:t>2</w:t>
            </w:r>
            <w:r>
              <w:rPr>
                <w:rFonts w:hint="eastAsia"/>
                <w:bCs/>
                <w:sz w:val="24"/>
              </w:rPr>
              <w:t>新污染源大气污染物排放限值中无组织排放监控浓度限值。</w:t>
            </w:r>
          </w:p>
          <w:p w14:paraId="3DA46365">
            <w:pPr>
              <w:jc w:val="center"/>
              <w:rPr>
                <w:b/>
                <w:szCs w:val="21"/>
              </w:rPr>
            </w:pPr>
            <w:r>
              <w:rPr>
                <w:rFonts w:hint="eastAsia"/>
                <w:b/>
                <w:szCs w:val="21"/>
              </w:rPr>
              <w:t>表</w:t>
            </w:r>
            <w:r>
              <w:rPr>
                <w:b/>
                <w:szCs w:val="21"/>
              </w:rPr>
              <w:t xml:space="preserve">3-4  </w:t>
            </w:r>
            <w:r>
              <w:rPr>
                <w:rFonts w:hint="eastAsia"/>
                <w:b/>
                <w:szCs w:val="21"/>
              </w:rPr>
              <w:t>污染物最高允许排放浓度</w:t>
            </w:r>
          </w:p>
          <w:tbl>
            <w:tblPr>
              <w:tblStyle w:val="31"/>
              <w:tblW w:w="4999"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2137"/>
              <w:gridCol w:w="3546"/>
              <w:gridCol w:w="2344"/>
            </w:tblGrid>
            <w:tr w14:paraId="43DB5DE6">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PrEx>
              <w:trPr>
                <w:trHeight w:val="20" w:hRule="atLeast"/>
                <w:jc w:val="center"/>
              </w:trPr>
              <w:tc>
                <w:tcPr>
                  <w:tcW w:w="1331" w:type="pct"/>
                  <w:vMerge w:val="restart"/>
                  <w:tcBorders>
                    <w:top w:val="single" w:color="auto" w:sz="12" w:space="0"/>
                    <w:left w:val="nil"/>
                    <w:bottom w:val="single" w:color="auto" w:sz="6" w:space="0"/>
                    <w:right w:val="single" w:color="auto" w:sz="6" w:space="0"/>
                  </w:tcBorders>
                  <w:tcMar>
                    <w:top w:w="0" w:type="dxa"/>
                    <w:left w:w="28" w:type="dxa"/>
                    <w:bottom w:w="0" w:type="dxa"/>
                    <w:right w:w="28" w:type="dxa"/>
                  </w:tcMar>
                  <w:vAlign w:val="center"/>
                </w:tcPr>
                <w:p w14:paraId="6685E657">
                  <w:pPr>
                    <w:jc w:val="center"/>
                    <w:rPr>
                      <w:bCs/>
                      <w:szCs w:val="21"/>
                    </w:rPr>
                  </w:pPr>
                  <w:r>
                    <w:rPr>
                      <w:rFonts w:hint="eastAsia"/>
                      <w:bCs/>
                      <w:szCs w:val="21"/>
                    </w:rPr>
                    <w:t>污染物</w:t>
                  </w:r>
                </w:p>
              </w:tc>
              <w:tc>
                <w:tcPr>
                  <w:tcW w:w="3668" w:type="pct"/>
                  <w:gridSpan w:val="2"/>
                  <w:tcBorders>
                    <w:top w:val="single" w:color="auto" w:sz="12" w:space="0"/>
                    <w:left w:val="single" w:color="auto" w:sz="6" w:space="0"/>
                    <w:bottom w:val="single" w:color="auto" w:sz="6" w:space="0"/>
                    <w:right w:val="nil"/>
                  </w:tcBorders>
                  <w:tcMar>
                    <w:top w:w="0" w:type="dxa"/>
                    <w:left w:w="28" w:type="dxa"/>
                    <w:bottom w:w="0" w:type="dxa"/>
                    <w:right w:w="28" w:type="dxa"/>
                  </w:tcMar>
                  <w:vAlign w:val="center"/>
                </w:tcPr>
                <w:p w14:paraId="39E290D7">
                  <w:pPr>
                    <w:jc w:val="center"/>
                    <w:rPr>
                      <w:bCs/>
                      <w:szCs w:val="21"/>
                    </w:rPr>
                  </w:pPr>
                  <w:r>
                    <w:rPr>
                      <w:rFonts w:hint="eastAsia"/>
                      <w:bCs/>
                      <w:szCs w:val="21"/>
                    </w:rPr>
                    <w:t>无组织排放监控浓度限值</w:t>
                  </w:r>
                </w:p>
              </w:tc>
            </w:tr>
            <w:tr w14:paraId="4C2A355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0" w:type="auto"/>
                  <w:vMerge w:val="continue"/>
                  <w:tcBorders>
                    <w:top w:val="single" w:color="auto" w:sz="4" w:space="0"/>
                    <w:left w:val="nil"/>
                    <w:bottom w:val="single" w:color="auto" w:sz="6" w:space="0"/>
                    <w:right w:val="single" w:color="auto" w:sz="6" w:space="0"/>
                  </w:tcBorders>
                  <w:vAlign w:val="center"/>
                </w:tcPr>
                <w:p w14:paraId="51AE1992">
                  <w:pPr>
                    <w:jc w:val="center"/>
                    <w:rPr>
                      <w:bCs/>
                      <w:szCs w:val="21"/>
                    </w:rPr>
                  </w:pPr>
                </w:p>
              </w:tc>
              <w:tc>
                <w:tcPr>
                  <w:tcW w:w="2208" w:type="pct"/>
                  <w:tcBorders>
                    <w:top w:val="single" w:color="auto" w:sz="6" w:space="0"/>
                    <w:left w:val="single" w:color="auto" w:sz="6" w:space="0"/>
                    <w:bottom w:val="single" w:color="auto" w:sz="6" w:space="0"/>
                    <w:right w:val="single" w:color="auto" w:sz="6" w:space="0"/>
                  </w:tcBorders>
                  <w:tcMar>
                    <w:top w:w="0" w:type="dxa"/>
                    <w:left w:w="28" w:type="dxa"/>
                    <w:bottom w:w="0" w:type="dxa"/>
                    <w:right w:w="28" w:type="dxa"/>
                  </w:tcMar>
                  <w:vAlign w:val="center"/>
                </w:tcPr>
                <w:p w14:paraId="1F17C7CA">
                  <w:pPr>
                    <w:jc w:val="center"/>
                    <w:rPr>
                      <w:bCs/>
                      <w:szCs w:val="21"/>
                    </w:rPr>
                  </w:pPr>
                  <w:r>
                    <w:rPr>
                      <w:rFonts w:hint="eastAsia"/>
                      <w:bCs/>
                      <w:szCs w:val="21"/>
                    </w:rPr>
                    <w:t>监控点</w:t>
                  </w:r>
                </w:p>
              </w:tc>
              <w:tc>
                <w:tcPr>
                  <w:tcW w:w="1460" w:type="pct"/>
                  <w:tcBorders>
                    <w:top w:val="single" w:color="auto" w:sz="6" w:space="0"/>
                    <w:left w:val="single" w:color="auto" w:sz="6" w:space="0"/>
                    <w:bottom w:val="single" w:color="auto" w:sz="6" w:space="0"/>
                    <w:right w:val="nil"/>
                  </w:tcBorders>
                  <w:tcMar>
                    <w:top w:w="0" w:type="dxa"/>
                    <w:left w:w="28" w:type="dxa"/>
                    <w:bottom w:w="0" w:type="dxa"/>
                    <w:right w:w="28" w:type="dxa"/>
                  </w:tcMar>
                  <w:vAlign w:val="center"/>
                </w:tcPr>
                <w:p w14:paraId="6E584A60">
                  <w:pPr>
                    <w:jc w:val="center"/>
                    <w:rPr>
                      <w:bCs/>
                      <w:szCs w:val="21"/>
                    </w:rPr>
                  </w:pPr>
                  <w:r>
                    <w:rPr>
                      <w:rFonts w:hint="eastAsia"/>
                      <w:bCs/>
                      <w:szCs w:val="21"/>
                    </w:rPr>
                    <w:t>浓度</w:t>
                  </w:r>
                  <w:r>
                    <w:rPr>
                      <w:bCs/>
                      <w:szCs w:val="21"/>
                    </w:rPr>
                    <w:t>(mg/m³)</w:t>
                  </w:r>
                </w:p>
              </w:tc>
            </w:tr>
            <w:tr w14:paraId="707D64B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0" w:hRule="atLeast"/>
                <w:jc w:val="center"/>
              </w:trPr>
              <w:tc>
                <w:tcPr>
                  <w:tcW w:w="1331" w:type="pct"/>
                  <w:tcBorders>
                    <w:top w:val="single" w:color="auto" w:sz="6" w:space="0"/>
                    <w:left w:val="nil"/>
                    <w:bottom w:val="single" w:color="auto" w:sz="12" w:space="0"/>
                    <w:right w:val="single" w:color="auto" w:sz="6" w:space="0"/>
                  </w:tcBorders>
                  <w:tcMar>
                    <w:top w:w="0" w:type="dxa"/>
                    <w:left w:w="28" w:type="dxa"/>
                    <w:bottom w:w="0" w:type="dxa"/>
                    <w:right w:w="28" w:type="dxa"/>
                  </w:tcMar>
                  <w:vAlign w:val="center"/>
                </w:tcPr>
                <w:p w14:paraId="0A4D3D2D">
                  <w:pPr>
                    <w:jc w:val="center"/>
                    <w:rPr>
                      <w:bCs/>
                      <w:szCs w:val="21"/>
                    </w:rPr>
                  </w:pPr>
                  <w:r>
                    <w:rPr>
                      <w:rFonts w:hint="eastAsia"/>
                      <w:bCs/>
                      <w:szCs w:val="21"/>
                    </w:rPr>
                    <w:t>颗粒物</w:t>
                  </w:r>
                </w:p>
              </w:tc>
              <w:tc>
                <w:tcPr>
                  <w:tcW w:w="2208" w:type="pct"/>
                  <w:tcBorders>
                    <w:top w:val="single" w:color="auto" w:sz="6" w:space="0"/>
                    <w:left w:val="single" w:color="auto" w:sz="6" w:space="0"/>
                    <w:bottom w:val="single" w:color="auto" w:sz="12" w:space="0"/>
                    <w:right w:val="single" w:color="auto" w:sz="6" w:space="0"/>
                  </w:tcBorders>
                  <w:tcMar>
                    <w:top w:w="0" w:type="dxa"/>
                    <w:left w:w="28" w:type="dxa"/>
                    <w:bottom w:w="0" w:type="dxa"/>
                    <w:right w:w="28" w:type="dxa"/>
                  </w:tcMar>
                  <w:vAlign w:val="center"/>
                </w:tcPr>
                <w:p w14:paraId="50309068">
                  <w:pPr>
                    <w:jc w:val="center"/>
                    <w:rPr>
                      <w:bCs/>
                      <w:szCs w:val="21"/>
                    </w:rPr>
                  </w:pPr>
                  <w:r>
                    <w:rPr>
                      <w:rFonts w:hint="eastAsia"/>
                      <w:bCs/>
                      <w:szCs w:val="21"/>
                    </w:rPr>
                    <w:t>周界外浓度最高点</w:t>
                  </w:r>
                </w:p>
              </w:tc>
              <w:tc>
                <w:tcPr>
                  <w:tcW w:w="1460" w:type="pct"/>
                  <w:tcBorders>
                    <w:top w:val="single" w:color="auto" w:sz="6" w:space="0"/>
                    <w:left w:val="single" w:color="auto" w:sz="6" w:space="0"/>
                    <w:bottom w:val="single" w:color="auto" w:sz="12" w:space="0"/>
                    <w:right w:val="nil"/>
                  </w:tcBorders>
                  <w:tcMar>
                    <w:top w:w="0" w:type="dxa"/>
                    <w:left w:w="28" w:type="dxa"/>
                    <w:bottom w:w="0" w:type="dxa"/>
                    <w:right w:w="28" w:type="dxa"/>
                  </w:tcMar>
                  <w:vAlign w:val="center"/>
                </w:tcPr>
                <w:p w14:paraId="7220D44C">
                  <w:pPr>
                    <w:jc w:val="center"/>
                    <w:rPr>
                      <w:bCs/>
                      <w:szCs w:val="21"/>
                    </w:rPr>
                  </w:pPr>
                  <w:r>
                    <w:rPr>
                      <w:bCs/>
                      <w:szCs w:val="21"/>
                    </w:rPr>
                    <w:t>1.0</w:t>
                  </w:r>
                </w:p>
              </w:tc>
            </w:tr>
          </w:tbl>
          <w:p w14:paraId="158E8DB1">
            <w:pPr>
              <w:spacing w:line="360" w:lineRule="auto"/>
              <w:ind w:firstLine="480" w:firstLineChars="200"/>
              <w:rPr>
                <w:bCs/>
                <w:sz w:val="24"/>
              </w:rPr>
            </w:pPr>
            <w:r>
              <w:rPr>
                <w:rFonts w:hint="eastAsia"/>
                <w:bCs/>
                <w:sz w:val="24"/>
              </w:rPr>
              <w:t>项目运营期锅炉烟气执行《锅炉大气污染物排放标准》（GB13271-2014）表2中燃煤锅炉标准，运营期无组织废气排放执行《煤炭工业污染物排放标准》（GB20426-2006）表5煤炭工业无组织排放限值，脱硝工段中SCR氨逃逸参照《火电厂烟气脱硝工程技术规范 选择性催化还原法》（HJ563-2010）中6.1.4氨逃逸质量浓度宜小于2.5mg/m</w:t>
            </w:r>
            <w:r>
              <w:rPr>
                <w:rFonts w:hint="eastAsia"/>
                <w:bCs/>
                <w:sz w:val="24"/>
                <w:vertAlign w:val="superscript"/>
              </w:rPr>
              <w:t>3</w:t>
            </w:r>
            <w:r>
              <w:rPr>
                <w:rFonts w:hint="eastAsia"/>
                <w:bCs/>
                <w:sz w:val="24"/>
              </w:rPr>
              <w:t>设计规定</w:t>
            </w:r>
            <w:r>
              <w:rPr>
                <w:bCs/>
                <w:sz w:val="24"/>
              </w:rPr>
              <w:t>。</w:t>
            </w:r>
          </w:p>
          <w:p w14:paraId="18DE697D">
            <w:pPr>
              <w:jc w:val="center"/>
              <w:rPr>
                <w:b/>
                <w:szCs w:val="21"/>
              </w:rPr>
            </w:pPr>
            <w:r>
              <w:rPr>
                <w:rFonts w:hint="eastAsia"/>
                <w:b/>
                <w:szCs w:val="21"/>
              </w:rPr>
              <w:t>表</w:t>
            </w:r>
            <w:r>
              <w:rPr>
                <w:b/>
                <w:szCs w:val="21"/>
              </w:rPr>
              <w:t xml:space="preserve">3-5  </w:t>
            </w:r>
            <w:r>
              <w:rPr>
                <w:rFonts w:hint="eastAsia"/>
                <w:b/>
                <w:szCs w:val="21"/>
              </w:rPr>
              <w:t>运营期污染物排放标准</w:t>
            </w:r>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55"/>
              <w:gridCol w:w="1312"/>
              <w:gridCol w:w="1605"/>
              <w:gridCol w:w="1458"/>
              <w:gridCol w:w="2709"/>
            </w:tblGrid>
            <w:tr w14:paraId="6E26BA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594" w:type="pct"/>
                  <w:vAlign w:val="center"/>
                </w:tcPr>
                <w:p w14:paraId="27819E01">
                  <w:pPr>
                    <w:jc w:val="center"/>
                    <w:rPr>
                      <w:bCs/>
                      <w:szCs w:val="21"/>
                    </w:rPr>
                  </w:pPr>
                  <w:r>
                    <w:rPr>
                      <w:rFonts w:hint="eastAsia"/>
                      <w:bCs/>
                      <w:szCs w:val="21"/>
                    </w:rPr>
                    <w:t>项目</w:t>
                  </w:r>
                </w:p>
              </w:tc>
              <w:tc>
                <w:tcPr>
                  <w:tcW w:w="816" w:type="pct"/>
                  <w:vAlign w:val="center"/>
                </w:tcPr>
                <w:p w14:paraId="32974BAE">
                  <w:pPr>
                    <w:jc w:val="center"/>
                    <w:rPr>
                      <w:bCs/>
                      <w:szCs w:val="21"/>
                    </w:rPr>
                  </w:pPr>
                  <w:r>
                    <w:rPr>
                      <w:rFonts w:hint="eastAsia"/>
                      <w:bCs/>
                      <w:szCs w:val="21"/>
                    </w:rPr>
                    <w:t>污染物</w:t>
                  </w:r>
                </w:p>
              </w:tc>
              <w:tc>
                <w:tcPr>
                  <w:tcW w:w="998" w:type="pct"/>
                  <w:vAlign w:val="center"/>
                </w:tcPr>
                <w:p w14:paraId="713F1857">
                  <w:pPr>
                    <w:jc w:val="center"/>
                    <w:rPr>
                      <w:bCs/>
                      <w:szCs w:val="21"/>
                    </w:rPr>
                  </w:pPr>
                  <w:r>
                    <w:rPr>
                      <w:rFonts w:hint="eastAsia"/>
                      <w:bCs/>
                      <w:szCs w:val="21"/>
                    </w:rPr>
                    <w:t>监控点</w:t>
                  </w:r>
                </w:p>
              </w:tc>
              <w:tc>
                <w:tcPr>
                  <w:tcW w:w="907" w:type="pct"/>
                  <w:vAlign w:val="center"/>
                </w:tcPr>
                <w:p w14:paraId="1C95C269">
                  <w:pPr>
                    <w:jc w:val="center"/>
                    <w:rPr>
                      <w:bCs/>
                      <w:szCs w:val="21"/>
                    </w:rPr>
                  </w:pPr>
                  <w:r>
                    <w:rPr>
                      <w:rFonts w:hint="eastAsia"/>
                      <w:bCs/>
                      <w:szCs w:val="21"/>
                    </w:rPr>
                    <w:t>排放限值</w:t>
                  </w:r>
                </w:p>
              </w:tc>
              <w:tc>
                <w:tcPr>
                  <w:tcW w:w="1685" w:type="pct"/>
                  <w:vAlign w:val="center"/>
                </w:tcPr>
                <w:p w14:paraId="384FF2EA">
                  <w:pPr>
                    <w:jc w:val="center"/>
                    <w:rPr>
                      <w:bCs/>
                      <w:szCs w:val="21"/>
                    </w:rPr>
                  </w:pPr>
                  <w:r>
                    <w:rPr>
                      <w:rFonts w:hint="eastAsia"/>
                      <w:bCs/>
                      <w:szCs w:val="21"/>
                    </w:rPr>
                    <w:t>执行标准</w:t>
                  </w:r>
                </w:p>
              </w:tc>
            </w:tr>
            <w:tr w14:paraId="4A4F02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94" w:type="pct"/>
                  <w:vMerge w:val="restart"/>
                  <w:vAlign w:val="center"/>
                </w:tcPr>
                <w:p w14:paraId="5EC9A828">
                  <w:pPr>
                    <w:jc w:val="center"/>
                    <w:rPr>
                      <w:bCs/>
                      <w:szCs w:val="21"/>
                    </w:rPr>
                  </w:pPr>
                  <w:r>
                    <w:rPr>
                      <w:rFonts w:hint="eastAsia"/>
                      <w:bCs/>
                      <w:szCs w:val="21"/>
                    </w:rPr>
                    <w:t>锅炉</w:t>
                  </w:r>
                </w:p>
              </w:tc>
              <w:tc>
                <w:tcPr>
                  <w:tcW w:w="816" w:type="pct"/>
                  <w:vAlign w:val="center"/>
                </w:tcPr>
                <w:p w14:paraId="7944DCEC">
                  <w:pPr>
                    <w:jc w:val="center"/>
                    <w:rPr>
                      <w:bCs/>
                      <w:szCs w:val="21"/>
                    </w:rPr>
                  </w:pPr>
                  <w:r>
                    <w:rPr>
                      <w:rFonts w:hint="eastAsia"/>
                      <w:bCs/>
                      <w:szCs w:val="21"/>
                    </w:rPr>
                    <w:t>颗粒物</w:t>
                  </w:r>
                </w:p>
              </w:tc>
              <w:tc>
                <w:tcPr>
                  <w:tcW w:w="998" w:type="pct"/>
                  <w:vMerge w:val="restart"/>
                  <w:vAlign w:val="center"/>
                </w:tcPr>
                <w:p w14:paraId="61DC3421">
                  <w:pPr>
                    <w:jc w:val="center"/>
                    <w:rPr>
                      <w:bCs/>
                      <w:szCs w:val="21"/>
                    </w:rPr>
                  </w:pPr>
                  <w:r>
                    <w:rPr>
                      <w:rFonts w:hint="eastAsia"/>
                      <w:bCs/>
                      <w:szCs w:val="21"/>
                    </w:rPr>
                    <w:t>烟囱或烟道</w:t>
                  </w:r>
                </w:p>
              </w:tc>
              <w:tc>
                <w:tcPr>
                  <w:tcW w:w="907" w:type="pct"/>
                  <w:vAlign w:val="center"/>
                </w:tcPr>
                <w:p w14:paraId="57C8D37E">
                  <w:pPr>
                    <w:jc w:val="center"/>
                    <w:rPr>
                      <w:bCs/>
                      <w:szCs w:val="21"/>
                    </w:rPr>
                  </w:pPr>
                  <w:r>
                    <w:rPr>
                      <w:rFonts w:hint="eastAsia"/>
                      <w:bCs/>
                      <w:szCs w:val="21"/>
                    </w:rPr>
                    <w:t>5</w:t>
                  </w:r>
                  <w:r>
                    <w:rPr>
                      <w:bCs/>
                      <w:szCs w:val="21"/>
                    </w:rPr>
                    <w:t>0mg/m³</w:t>
                  </w:r>
                </w:p>
              </w:tc>
              <w:tc>
                <w:tcPr>
                  <w:tcW w:w="1685" w:type="pct"/>
                  <w:vMerge w:val="restart"/>
                  <w:vAlign w:val="center"/>
                </w:tcPr>
                <w:p w14:paraId="4E666C21">
                  <w:pPr>
                    <w:jc w:val="center"/>
                    <w:rPr>
                      <w:bCs/>
                      <w:szCs w:val="21"/>
                    </w:rPr>
                  </w:pPr>
                  <w:r>
                    <w:rPr>
                      <w:rFonts w:hint="eastAsia"/>
                      <w:bCs/>
                      <w:szCs w:val="21"/>
                    </w:rPr>
                    <w:t>《锅炉大气污染物排放标准》（GB13271-2014）表2中燃煤锅炉标准</w:t>
                  </w:r>
                </w:p>
              </w:tc>
            </w:tr>
            <w:tr w14:paraId="110E60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94" w:type="pct"/>
                  <w:vMerge w:val="continue"/>
                  <w:vAlign w:val="center"/>
                </w:tcPr>
                <w:p w14:paraId="54176B42">
                  <w:pPr>
                    <w:jc w:val="center"/>
                    <w:rPr>
                      <w:bCs/>
                      <w:szCs w:val="21"/>
                    </w:rPr>
                  </w:pPr>
                </w:p>
              </w:tc>
              <w:tc>
                <w:tcPr>
                  <w:tcW w:w="816" w:type="pct"/>
                  <w:vAlign w:val="center"/>
                </w:tcPr>
                <w:p w14:paraId="217A9A6C">
                  <w:pPr>
                    <w:jc w:val="center"/>
                    <w:rPr>
                      <w:bCs/>
                      <w:szCs w:val="21"/>
                    </w:rPr>
                  </w:pPr>
                  <w:r>
                    <w:rPr>
                      <w:rFonts w:hint="eastAsia"/>
                      <w:bCs/>
                      <w:szCs w:val="21"/>
                    </w:rPr>
                    <w:t>二氧化硫</w:t>
                  </w:r>
                </w:p>
              </w:tc>
              <w:tc>
                <w:tcPr>
                  <w:tcW w:w="998" w:type="pct"/>
                  <w:vMerge w:val="continue"/>
                  <w:vAlign w:val="center"/>
                </w:tcPr>
                <w:p w14:paraId="7782D3BC">
                  <w:pPr>
                    <w:jc w:val="center"/>
                    <w:rPr>
                      <w:bCs/>
                      <w:szCs w:val="21"/>
                    </w:rPr>
                  </w:pPr>
                </w:p>
              </w:tc>
              <w:tc>
                <w:tcPr>
                  <w:tcW w:w="907" w:type="pct"/>
                  <w:vAlign w:val="center"/>
                </w:tcPr>
                <w:p w14:paraId="7101BD78">
                  <w:pPr>
                    <w:jc w:val="center"/>
                    <w:rPr>
                      <w:bCs/>
                      <w:szCs w:val="21"/>
                    </w:rPr>
                  </w:pPr>
                  <w:r>
                    <w:rPr>
                      <w:rFonts w:hint="eastAsia"/>
                      <w:bCs/>
                      <w:szCs w:val="21"/>
                    </w:rPr>
                    <w:t>30</w:t>
                  </w:r>
                  <w:r>
                    <w:rPr>
                      <w:bCs/>
                      <w:szCs w:val="21"/>
                    </w:rPr>
                    <w:t>0mg/m³</w:t>
                  </w:r>
                </w:p>
              </w:tc>
              <w:tc>
                <w:tcPr>
                  <w:tcW w:w="1685" w:type="pct"/>
                  <w:vMerge w:val="continue"/>
                  <w:vAlign w:val="center"/>
                </w:tcPr>
                <w:p w14:paraId="6ACE8D44">
                  <w:pPr>
                    <w:jc w:val="center"/>
                    <w:rPr>
                      <w:bCs/>
                      <w:szCs w:val="21"/>
                    </w:rPr>
                  </w:pPr>
                </w:p>
              </w:tc>
            </w:tr>
            <w:tr w14:paraId="25FF8F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9" w:hRule="atLeast"/>
                <w:jc w:val="center"/>
              </w:trPr>
              <w:tc>
                <w:tcPr>
                  <w:tcW w:w="594" w:type="pct"/>
                  <w:vMerge w:val="continue"/>
                  <w:vAlign w:val="center"/>
                </w:tcPr>
                <w:p w14:paraId="6F978B52">
                  <w:pPr>
                    <w:jc w:val="center"/>
                    <w:rPr>
                      <w:bCs/>
                      <w:szCs w:val="21"/>
                    </w:rPr>
                  </w:pPr>
                </w:p>
              </w:tc>
              <w:tc>
                <w:tcPr>
                  <w:tcW w:w="816" w:type="pct"/>
                  <w:vAlign w:val="center"/>
                </w:tcPr>
                <w:p w14:paraId="23C8BDAE">
                  <w:pPr>
                    <w:jc w:val="center"/>
                    <w:rPr>
                      <w:bCs/>
                      <w:szCs w:val="21"/>
                    </w:rPr>
                  </w:pPr>
                  <w:r>
                    <w:rPr>
                      <w:rFonts w:hint="eastAsia"/>
                      <w:bCs/>
                      <w:szCs w:val="21"/>
                    </w:rPr>
                    <w:t>氮氧化物</w:t>
                  </w:r>
                </w:p>
              </w:tc>
              <w:tc>
                <w:tcPr>
                  <w:tcW w:w="998" w:type="pct"/>
                  <w:vMerge w:val="continue"/>
                  <w:vAlign w:val="center"/>
                </w:tcPr>
                <w:p w14:paraId="67217D79">
                  <w:pPr>
                    <w:jc w:val="center"/>
                    <w:rPr>
                      <w:bCs/>
                      <w:szCs w:val="21"/>
                    </w:rPr>
                  </w:pPr>
                </w:p>
              </w:tc>
              <w:tc>
                <w:tcPr>
                  <w:tcW w:w="907" w:type="pct"/>
                  <w:vAlign w:val="center"/>
                </w:tcPr>
                <w:p w14:paraId="0AD76CD1">
                  <w:pPr>
                    <w:jc w:val="center"/>
                    <w:rPr>
                      <w:bCs/>
                      <w:szCs w:val="21"/>
                    </w:rPr>
                  </w:pPr>
                  <w:r>
                    <w:rPr>
                      <w:rFonts w:hint="eastAsia"/>
                      <w:bCs/>
                      <w:szCs w:val="21"/>
                    </w:rPr>
                    <w:t>3</w:t>
                  </w:r>
                  <w:r>
                    <w:rPr>
                      <w:bCs/>
                      <w:szCs w:val="21"/>
                    </w:rPr>
                    <w:t>00mg/m³</w:t>
                  </w:r>
                </w:p>
              </w:tc>
              <w:tc>
                <w:tcPr>
                  <w:tcW w:w="1685" w:type="pct"/>
                  <w:vMerge w:val="continue"/>
                  <w:vAlign w:val="center"/>
                </w:tcPr>
                <w:p w14:paraId="057649F2">
                  <w:pPr>
                    <w:jc w:val="center"/>
                    <w:rPr>
                      <w:bCs/>
                      <w:szCs w:val="21"/>
                    </w:rPr>
                  </w:pPr>
                </w:p>
              </w:tc>
            </w:tr>
            <w:tr w14:paraId="0712BD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9" w:hRule="atLeast"/>
                <w:jc w:val="center"/>
              </w:trPr>
              <w:tc>
                <w:tcPr>
                  <w:tcW w:w="594" w:type="pct"/>
                  <w:vMerge w:val="continue"/>
                  <w:vAlign w:val="center"/>
                </w:tcPr>
                <w:p w14:paraId="1CEC8CE3">
                  <w:pPr>
                    <w:jc w:val="center"/>
                    <w:rPr>
                      <w:bCs/>
                      <w:szCs w:val="21"/>
                    </w:rPr>
                  </w:pPr>
                </w:p>
              </w:tc>
              <w:tc>
                <w:tcPr>
                  <w:tcW w:w="816" w:type="pct"/>
                  <w:vAlign w:val="center"/>
                </w:tcPr>
                <w:p w14:paraId="39E5ABB2">
                  <w:pPr>
                    <w:jc w:val="center"/>
                    <w:rPr>
                      <w:bCs/>
                      <w:szCs w:val="21"/>
                    </w:rPr>
                  </w:pPr>
                  <w:r>
                    <w:rPr>
                      <w:rFonts w:hint="eastAsia"/>
                      <w:bCs/>
                      <w:szCs w:val="21"/>
                    </w:rPr>
                    <w:t>汞及其化合物</w:t>
                  </w:r>
                </w:p>
              </w:tc>
              <w:tc>
                <w:tcPr>
                  <w:tcW w:w="998" w:type="pct"/>
                  <w:vMerge w:val="continue"/>
                  <w:vAlign w:val="center"/>
                </w:tcPr>
                <w:p w14:paraId="3AF88D3A">
                  <w:pPr>
                    <w:jc w:val="center"/>
                    <w:rPr>
                      <w:bCs/>
                      <w:szCs w:val="21"/>
                    </w:rPr>
                  </w:pPr>
                </w:p>
              </w:tc>
              <w:tc>
                <w:tcPr>
                  <w:tcW w:w="907" w:type="pct"/>
                  <w:vAlign w:val="center"/>
                </w:tcPr>
                <w:p w14:paraId="6C4EC16F">
                  <w:pPr>
                    <w:jc w:val="center"/>
                    <w:rPr>
                      <w:bCs/>
                      <w:szCs w:val="21"/>
                    </w:rPr>
                  </w:pPr>
                  <w:r>
                    <w:rPr>
                      <w:rFonts w:hint="eastAsia"/>
                      <w:bCs/>
                      <w:szCs w:val="21"/>
                    </w:rPr>
                    <w:t>0.05</w:t>
                  </w:r>
                  <w:r>
                    <w:rPr>
                      <w:bCs/>
                      <w:szCs w:val="21"/>
                    </w:rPr>
                    <w:t xml:space="preserve"> g/m³</w:t>
                  </w:r>
                </w:p>
              </w:tc>
              <w:tc>
                <w:tcPr>
                  <w:tcW w:w="1685" w:type="pct"/>
                  <w:vMerge w:val="continue"/>
                  <w:vAlign w:val="center"/>
                </w:tcPr>
                <w:p w14:paraId="245FB796">
                  <w:pPr>
                    <w:jc w:val="center"/>
                    <w:rPr>
                      <w:bCs/>
                      <w:szCs w:val="21"/>
                    </w:rPr>
                  </w:pPr>
                </w:p>
              </w:tc>
            </w:tr>
            <w:tr w14:paraId="6A4D55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94" w:type="pct"/>
                  <w:vMerge w:val="continue"/>
                  <w:vAlign w:val="center"/>
                </w:tcPr>
                <w:p w14:paraId="582B1948">
                  <w:pPr>
                    <w:jc w:val="center"/>
                    <w:rPr>
                      <w:bCs/>
                      <w:szCs w:val="21"/>
                    </w:rPr>
                  </w:pPr>
                </w:p>
              </w:tc>
              <w:tc>
                <w:tcPr>
                  <w:tcW w:w="816" w:type="pct"/>
                  <w:vAlign w:val="center"/>
                </w:tcPr>
                <w:p w14:paraId="0875B1BB">
                  <w:pPr>
                    <w:jc w:val="center"/>
                    <w:rPr>
                      <w:bCs/>
                      <w:szCs w:val="21"/>
                    </w:rPr>
                  </w:pPr>
                  <w:r>
                    <w:rPr>
                      <w:rFonts w:hint="eastAsia"/>
                      <w:bCs/>
                      <w:szCs w:val="21"/>
                    </w:rPr>
                    <w:t>烟气黑度</w:t>
                  </w:r>
                </w:p>
              </w:tc>
              <w:tc>
                <w:tcPr>
                  <w:tcW w:w="998" w:type="pct"/>
                  <w:vAlign w:val="center"/>
                </w:tcPr>
                <w:p w14:paraId="26300CDB">
                  <w:pPr>
                    <w:jc w:val="center"/>
                    <w:rPr>
                      <w:bCs/>
                      <w:szCs w:val="21"/>
                    </w:rPr>
                  </w:pPr>
                  <w:r>
                    <w:rPr>
                      <w:rFonts w:hint="eastAsia"/>
                      <w:bCs/>
                      <w:szCs w:val="21"/>
                    </w:rPr>
                    <w:t>烟囱排放口</w:t>
                  </w:r>
                </w:p>
              </w:tc>
              <w:tc>
                <w:tcPr>
                  <w:tcW w:w="907" w:type="pct"/>
                  <w:vAlign w:val="center"/>
                </w:tcPr>
                <w:p w14:paraId="1C69F0B2">
                  <w:pPr>
                    <w:jc w:val="center"/>
                    <w:rPr>
                      <w:bCs/>
                      <w:szCs w:val="21"/>
                    </w:rPr>
                  </w:pPr>
                  <w:r>
                    <w:rPr>
                      <w:bCs/>
                      <w:szCs w:val="21"/>
                    </w:rPr>
                    <w:t>≤1</w:t>
                  </w:r>
                  <w:r>
                    <w:rPr>
                      <w:rFonts w:hint="eastAsia"/>
                      <w:bCs/>
                      <w:szCs w:val="21"/>
                    </w:rPr>
                    <w:t>（林格曼黑度，级）</w:t>
                  </w:r>
                </w:p>
              </w:tc>
              <w:tc>
                <w:tcPr>
                  <w:tcW w:w="1685" w:type="pct"/>
                  <w:vMerge w:val="continue"/>
                  <w:vAlign w:val="center"/>
                </w:tcPr>
                <w:p w14:paraId="2743ACEA">
                  <w:pPr>
                    <w:jc w:val="center"/>
                    <w:rPr>
                      <w:bCs/>
                      <w:szCs w:val="21"/>
                    </w:rPr>
                  </w:pPr>
                </w:p>
              </w:tc>
            </w:tr>
            <w:tr w14:paraId="0A8CCF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94" w:type="pct"/>
                  <w:vAlign w:val="center"/>
                </w:tcPr>
                <w:p w14:paraId="57937F11">
                  <w:pPr>
                    <w:jc w:val="center"/>
                    <w:rPr>
                      <w:bCs/>
                      <w:szCs w:val="21"/>
                    </w:rPr>
                  </w:pPr>
                  <w:r>
                    <w:rPr>
                      <w:rFonts w:hint="eastAsia"/>
                      <w:bCs/>
                      <w:szCs w:val="21"/>
                    </w:rPr>
                    <w:t>厂界无组织</w:t>
                  </w:r>
                </w:p>
              </w:tc>
              <w:tc>
                <w:tcPr>
                  <w:tcW w:w="816" w:type="pct"/>
                  <w:vAlign w:val="center"/>
                </w:tcPr>
                <w:p w14:paraId="507E8F9C">
                  <w:pPr>
                    <w:jc w:val="center"/>
                    <w:rPr>
                      <w:bCs/>
                      <w:szCs w:val="21"/>
                    </w:rPr>
                  </w:pPr>
                  <w:r>
                    <w:rPr>
                      <w:rFonts w:hint="eastAsia"/>
                      <w:bCs/>
                      <w:szCs w:val="21"/>
                    </w:rPr>
                    <w:t>颗粒物</w:t>
                  </w:r>
                </w:p>
              </w:tc>
              <w:tc>
                <w:tcPr>
                  <w:tcW w:w="998" w:type="pct"/>
                  <w:vAlign w:val="center"/>
                </w:tcPr>
                <w:p w14:paraId="225824BF">
                  <w:pPr>
                    <w:jc w:val="center"/>
                    <w:rPr>
                      <w:bCs/>
                      <w:szCs w:val="21"/>
                    </w:rPr>
                  </w:pPr>
                  <w:r>
                    <w:rPr>
                      <w:rFonts w:hint="eastAsia"/>
                      <w:bCs/>
                      <w:szCs w:val="21"/>
                    </w:rPr>
                    <w:t>厂区外周围外浓度最高点</w:t>
                  </w:r>
                </w:p>
              </w:tc>
              <w:tc>
                <w:tcPr>
                  <w:tcW w:w="907" w:type="pct"/>
                  <w:vAlign w:val="center"/>
                </w:tcPr>
                <w:p w14:paraId="2A867B65">
                  <w:pPr>
                    <w:jc w:val="center"/>
                    <w:rPr>
                      <w:bCs/>
                      <w:szCs w:val="21"/>
                    </w:rPr>
                  </w:pPr>
                  <w:r>
                    <w:rPr>
                      <w:rFonts w:hint="eastAsia"/>
                      <w:bCs/>
                      <w:szCs w:val="21"/>
                    </w:rPr>
                    <w:t>1.0</w:t>
                  </w:r>
                  <w:r>
                    <w:t xml:space="preserve"> </w:t>
                  </w:r>
                  <w:r>
                    <w:rPr>
                      <w:bCs/>
                      <w:szCs w:val="21"/>
                    </w:rPr>
                    <w:t>mg/m³</w:t>
                  </w:r>
                </w:p>
              </w:tc>
              <w:tc>
                <w:tcPr>
                  <w:tcW w:w="1685" w:type="pct"/>
                  <w:vAlign w:val="center"/>
                </w:tcPr>
                <w:p w14:paraId="04389A87">
                  <w:pPr>
                    <w:jc w:val="center"/>
                    <w:rPr>
                      <w:bCs/>
                      <w:szCs w:val="21"/>
                    </w:rPr>
                  </w:pPr>
                  <w:r>
                    <w:rPr>
                      <w:rFonts w:hint="eastAsia"/>
                      <w:bCs/>
                      <w:szCs w:val="21"/>
                    </w:rPr>
                    <w:t>《煤炭工业污染物排放标准》（</w:t>
                  </w:r>
                  <w:r>
                    <w:rPr>
                      <w:bCs/>
                      <w:szCs w:val="21"/>
                    </w:rPr>
                    <w:t>GB20426-2006</w:t>
                  </w:r>
                  <w:r>
                    <w:rPr>
                      <w:rFonts w:hint="eastAsia"/>
                      <w:bCs/>
                      <w:szCs w:val="21"/>
                    </w:rPr>
                    <w:t>）表5煤炭工业无组织排放限值</w:t>
                  </w:r>
                </w:p>
              </w:tc>
            </w:tr>
            <w:tr w14:paraId="74BFC5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594" w:type="pct"/>
                  <w:vAlign w:val="center"/>
                </w:tcPr>
                <w:p w14:paraId="4B68907C">
                  <w:pPr>
                    <w:jc w:val="center"/>
                    <w:rPr>
                      <w:bCs/>
                      <w:szCs w:val="21"/>
                    </w:rPr>
                  </w:pPr>
                  <w:r>
                    <w:rPr>
                      <w:rFonts w:hint="eastAsia"/>
                      <w:bCs/>
                      <w:szCs w:val="21"/>
                    </w:rPr>
                    <w:t>氨逃逸</w:t>
                  </w:r>
                </w:p>
              </w:tc>
              <w:tc>
                <w:tcPr>
                  <w:tcW w:w="816" w:type="pct"/>
                  <w:vAlign w:val="center"/>
                </w:tcPr>
                <w:p w14:paraId="057BCBDA">
                  <w:pPr>
                    <w:jc w:val="center"/>
                    <w:rPr>
                      <w:bCs/>
                      <w:szCs w:val="21"/>
                    </w:rPr>
                  </w:pPr>
                  <w:r>
                    <w:rPr>
                      <w:rFonts w:hint="eastAsia"/>
                      <w:bCs/>
                      <w:szCs w:val="21"/>
                    </w:rPr>
                    <w:t>氨</w:t>
                  </w:r>
                </w:p>
              </w:tc>
              <w:tc>
                <w:tcPr>
                  <w:tcW w:w="998" w:type="pct"/>
                  <w:vAlign w:val="center"/>
                </w:tcPr>
                <w:p w14:paraId="794825C3">
                  <w:pPr>
                    <w:jc w:val="center"/>
                    <w:rPr>
                      <w:bCs/>
                      <w:szCs w:val="21"/>
                    </w:rPr>
                  </w:pPr>
                  <w:r>
                    <w:rPr>
                      <w:rFonts w:hint="eastAsia"/>
                      <w:bCs/>
                      <w:szCs w:val="21"/>
                    </w:rPr>
                    <w:t>烟囱或烟道</w:t>
                  </w:r>
                </w:p>
              </w:tc>
              <w:tc>
                <w:tcPr>
                  <w:tcW w:w="907" w:type="pct"/>
                  <w:vAlign w:val="center"/>
                </w:tcPr>
                <w:p w14:paraId="5FDD9330">
                  <w:pPr>
                    <w:jc w:val="center"/>
                    <w:rPr>
                      <w:bCs/>
                      <w:szCs w:val="21"/>
                    </w:rPr>
                  </w:pPr>
                  <w:r>
                    <w:rPr>
                      <w:rFonts w:hint="eastAsia"/>
                      <w:bCs/>
                      <w:szCs w:val="21"/>
                    </w:rPr>
                    <w:t>2.5</w:t>
                  </w:r>
                  <w:r>
                    <w:t xml:space="preserve"> </w:t>
                  </w:r>
                  <w:r>
                    <w:rPr>
                      <w:bCs/>
                      <w:szCs w:val="21"/>
                    </w:rPr>
                    <w:t>mg/m³</w:t>
                  </w:r>
                </w:p>
              </w:tc>
              <w:tc>
                <w:tcPr>
                  <w:tcW w:w="1685" w:type="pct"/>
                  <w:vAlign w:val="center"/>
                </w:tcPr>
                <w:p w14:paraId="52648143">
                  <w:pPr>
                    <w:jc w:val="center"/>
                    <w:rPr>
                      <w:bCs/>
                      <w:szCs w:val="21"/>
                    </w:rPr>
                  </w:pPr>
                  <w:r>
                    <w:rPr>
                      <w:rFonts w:hint="eastAsia"/>
                      <w:bCs/>
                      <w:szCs w:val="21"/>
                    </w:rPr>
                    <w:t>《火电厂烟气脱硝工程技术规范 选择性催化还原法》（HJ563-2010）中6.1.4氨逃逸质量浓度宜小于2.5mg/m</w:t>
                  </w:r>
                  <w:r>
                    <w:rPr>
                      <w:rFonts w:hint="eastAsia"/>
                      <w:bCs/>
                      <w:szCs w:val="21"/>
                      <w:vertAlign w:val="superscript"/>
                    </w:rPr>
                    <w:t>3</w:t>
                  </w:r>
                  <w:r>
                    <w:rPr>
                      <w:rFonts w:hint="eastAsia"/>
                      <w:bCs/>
                      <w:szCs w:val="21"/>
                    </w:rPr>
                    <w:t>设计规定</w:t>
                  </w:r>
                </w:p>
              </w:tc>
            </w:tr>
          </w:tbl>
          <w:p w14:paraId="25037D6F">
            <w:pPr>
              <w:jc w:val="center"/>
              <w:rPr>
                <w:b/>
                <w:szCs w:val="21"/>
              </w:rPr>
            </w:pPr>
          </w:p>
          <w:p w14:paraId="11EFCCD1">
            <w:pPr>
              <w:adjustRightInd w:val="0"/>
              <w:snapToGrid w:val="0"/>
              <w:spacing w:before="120" w:beforeLines="50" w:line="360" w:lineRule="auto"/>
              <w:ind w:firstLine="482" w:firstLineChars="200"/>
              <w:rPr>
                <w:b/>
                <w:bCs/>
                <w:sz w:val="24"/>
              </w:rPr>
            </w:pPr>
            <w:r>
              <w:rPr>
                <w:b/>
                <w:bCs/>
                <w:sz w:val="24"/>
              </w:rPr>
              <w:t>2</w:t>
            </w:r>
            <w:r>
              <w:rPr>
                <w:rFonts w:hint="eastAsia"/>
                <w:b/>
                <w:bCs/>
                <w:sz w:val="24"/>
              </w:rPr>
              <w:t>、噪声排放标准</w:t>
            </w:r>
          </w:p>
          <w:p w14:paraId="379117F6">
            <w:pPr>
              <w:adjustRightInd w:val="0"/>
              <w:snapToGrid w:val="0"/>
              <w:spacing w:line="360" w:lineRule="auto"/>
              <w:ind w:firstLine="480" w:firstLineChars="200"/>
              <w:rPr>
                <w:sz w:val="24"/>
              </w:rPr>
            </w:pPr>
            <w:r>
              <w:rPr>
                <w:sz w:val="24"/>
              </w:rPr>
              <w:t>施工期噪声排放执行《建筑施工场界环境噪声排放标准》（GB 12523-2011），噪声限值见</w:t>
            </w:r>
            <w:r>
              <w:rPr>
                <w:rFonts w:hint="eastAsia"/>
                <w:sz w:val="24"/>
              </w:rPr>
              <w:t>下</w:t>
            </w:r>
            <w:r>
              <w:rPr>
                <w:sz w:val="24"/>
              </w:rPr>
              <w:t>表。</w:t>
            </w:r>
          </w:p>
          <w:p w14:paraId="54510E62">
            <w:pPr>
              <w:widowControl/>
              <w:jc w:val="center"/>
              <w:rPr>
                <w:b/>
                <w:szCs w:val="21"/>
              </w:rPr>
            </w:pPr>
            <w:r>
              <w:rPr>
                <w:b/>
                <w:kern w:val="0"/>
                <w:szCs w:val="21"/>
              </w:rPr>
              <w:t>表3-6  《建筑施工场界环境噪声排放标准》（GB 12523-2011）</w:t>
            </w:r>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130"/>
              <w:gridCol w:w="2970"/>
              <w:gridCol w:w="2939"/>
            </w:tblGrid>
            <w:tr w14:paraId="1BEC972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92" w:hRule="atLeast"/>
                <w:jc w:val="center"/>
              </w:trPr>
              <w:tc>
                <w:tcPr>
                  <w:tcW w:w="1325" w:type="pct"/>
                  <w:vAlign w:val="center"/>
                </w:tcPr>
                <w:p w14:paraId="44A1B385">
                  <w:pPr>
                    <w:pStyle w:val="11"/>
                    <w:snapToGrid w:val="0"/>
                    <w:spacing w:line="0" w:lineRule="atLeast"/>
                    <w:ind w:firstLine="0"/>
                    <w:jc w:val="center"/>
                    <w:rPr>
                      <w:rFonts w:ascii="Times New Roman" w:hAnsi="Times New Roman" w:eastAsia="宋体" w:cs="Times New Roman"/>
                      <w:szCs w:val="21"/>
                    </w:rPr>
                  </w:pPr>
                  <w:r>
                    <w:rPr>
                      <w:rFonts w:ascii="Times New Roman" w:hAnsi="Times New Roman" w:eastAsia="宋体" w:cs="Times New Roman"/>
                      <w:szCs w:val="21"/>
                    </w:rPr>
                    <w:t>单位</w:t>
                  </w:r>
                </w:p>
              </w:tc>
              <w:tc>
                <w:tcPr>
                  <w:tcW w:w="1847" w:type="pct"/>
                  <w:vAlign w:val="center"/>
                </w:tcPr>
                <w:p w14:paraId="0A70E111">
                  <w:pPr>
                    <w:pStyle w:val="11"/>
                    <w:snapToGrid w:val="0"/>
                    <w:spacing w:line="0" w:lineRule="atLeast"/>
                    <w:ind w:firstLine="0"/>
                    <w:jc w:val="center"/>
                    <w:rPr>
                      <w:rFonts w:ascii="Times New Roman" w:hAnsi="Times New Roman" w:eastAsia="宋体" w:cs="Times New Roman"/>
                      <w:szCs w:val="21"/>
                    </w:rPr>
                  </w:pPr>
                  <w:r>
                    <w:rPr>
                      <w:rFonts w:ascii="Times New Roman" w:hAnsi="Times New Roman" w:eastAsia="宋体" w:cs="Times New Roman"/>
                      <w:szCs w:val="21"/>
                    </w:rPr>
                    <w:t>昼间</w:t>
                  </w:r>
                </w:p>
              </w:tc>
              <w:tc>
                <w:tcPr>
                  <w:tcW w:w="1828" w:type="pct"/>
                  <w:vAlign w:val="center"/>
                </w:tcPr>
                <w:p w14:paraId="2777044C">
                  <w:pPr>
                    <w:pStyle w:val="11"/>
                    <w:snapToGrid w:val="0"/>
                    <w:spacing w:line="0" w:lineRule="atLeast"/>
                    <w:ind w:firstLine="0"/>
                    <w:jc w:val="center"/>
                    <w:rPr>
                      <w:rFonts w:ascii="Times New Roman" w:hAnsi="Times New Roman" w:eastAsia="宋体" w:cs="Times New Roman"/>
                      <w:szCs w:val="21"/>
                    </w:rPr>
                  </w:pPr>
                  <w:r>
                    <w:rPr>
                      <w:rFonts w:ascii="Times New Roman" w:hAnsi="Times New Roman" w:eastAsia="宋体" w:cs="Times New Roman"/>
                      <w:szCs w:val="21"/>
                    </w:rPr>
                    <w:t>夜间</w:t>
                  </w:r>
                </w:p>
              </w:tc>
            </w:tr>
            <w:tr w14:paraId="414F2824">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50" w:hRule="atLeast"/>
                <w:jc w:val="center"/>
              </w:trPr>
              <w:tc>
                <w:tcPr>
                  <w:tcW w:w="1325" w:type="pct"/>
                  <w:vAlign w:val="center"/>
                </w:tcPr>
                <w:p w14:paraId="5E6F67D7">
                  <w:pPr>
                    <w:pStyle w:val="11"/>
                    <w:snapToGrid w:val="0"/>
                    <w:spacing w:line="0" w:lineRule="atLeast"/>
                    <w:ind w:firstLine="0"/>
                    <w:jc w:val="center"/>
                    <w:rPr>
                      <w:rFonts w:ascii="Times New Roman" w:hAnsi="Times New Roman" w:eastAsia="宋体" w:cs="Times New Roman"/>
                      <w:szCs w:val="21"/>
                    </w:rPr>
                  </w:pPr>
                  <w:r>
                    <w:rPr>
                      <w:rFonts w:ascii="Times New Roman" w:hAnsi="Times New Roman" w:eastAsia="宋体" w:cs="Times New Roman"/>
                      <w:szCs w:val="21"/>
                    </w:rPr>
                    <w:t>dB(A)</w:t>
                  </w:r>
                </w:p>
              </w:tc>
              <w:tc>
                <w:tcPr>
                  <w:tcW w:w="1847" w:type="pct"/>
                  <w:vAlign w:val="center"/>
                </w:tcPr>
                <w:p w14:paraId="72EF978B">
                  <w:pPr>
                    <w:pStyle w:val="11"/>
                    <w:snapToGrid w:val="0"/>
                    <w:spacing w:line="0" w:lineRule="atLeast"/>
                    <w:ind w:firstLine="0"/>
                    <w:jc w:val="center"/>
                    <w:rPr>
                      <w:rFonts w:ascii="Times New Roman" w:hAnsi="Times New Roman" w:eastAsia="宋体" w:cs="Times New Roman"/>
                      <w:szCs w:val="21"/>
                    </w:rPr>
                  </w:pPr>
                  <w:r>
                    <w:rPr>
                      <w:rFonts w:ascii="Times New Roman" w:hAnsi="Times New Roman" w:eastAsia="宋体" w:cs="Times New Roman"/>
                      <w:szCs w:val="21"/>
                    </w:rPr>
                    <w:t>70</w:t>
                  </w:r>
                </w:p>
              </w:tc>
              <w:tc>
                <w:tcPr>
                  <w:tcW w:w="1828" w:type="pct"/>
                  <w:vAlign w:val="center"/>
                </w:tcPr>
                <w:p w14:paraId="6C9593AC">
                  <w:pPr>
                    <w:pStyle w:val="11"/>
                    <w:snapToGrid w:val="0"/>
                    <w:spacing w:line="0" w:lineRule="atLeast"/>
                    <w:ind w:firstLine="0"/>
                    <w:jc w:val="center"/>
                    <w:rPr>
                      <w:rFonts w:ascii="Times New Roman" w:hAnsi="Times New Roman" w:eastAsia="宋体" w:cs="Times New Roman"/>
                      <w:szCs w:val="21"/>
                    </w:rPr>
                  </w:pPr>
                  <w:r>
                    <w:rPr>
                      <w:rFonts w:ascii="Times New Roman" w:hAnsi="Times New Roman" w:eastAsia="宋体" w:cs="Times New Roman"/>
                      <w:szCs w:val="21"/>
                    </w:rPr>
                    <w:t>55</w:t>
                  </w:r>
                </w:p>
              </w:tc>
            </w:tr>
          </w:tbl>
          <w:p w14:paraId="14C3D442">
            <w:pPr>
              <w:adjustRightInd w:val="0"/>
              <w:snapToGrid w:val="0"/>
              <w:spacing w:before="120" w:beforeLines="50" w:line="360" w:lineRule="auto"/>
              <w:ind w:firstLine="480" w:firstLineChars="200"/>
              <w:rPr>
                <w:sz w:val="24"/>
              </w:rPr>
            </w:pPr>
            <w:r>
              <w:rPr>
                <w:rFonts w:hint="eastAsia"/>
                <w:sz w:val="24"/>
              </w:rPr>
              <w:t>运营期</w:t>
            </w:r>
            <w:r>
              <w:rPr>
                <w:sz w:val="24"/>
              </w:rPr>
              <w:t>项目</w:t>
            </w:r>
            <w:r>
              <w:rPr>
                <w:rFonts w:hint="eastAsia"/>
                <w:sz w:val="24"/>
              </w:rPr>
              <w:t>厂界</w:t>
            </w:r>
            <w:r>
              <w:rPr>
                <w:sz w:val="24"/>
              </w:rPr>
              <w:t>噪声执行《工业企业厂界环境噪声排放标准》（GB 12348-2008）中</w:t>
            </w:r>
            <w:r>
              <w:rPr>
                <w:rFonts w:hint="eastAsia"/>
                <w:sz w:val="24"/>
              </w:rPr>
              <w:t>2</w:t>
            </w:r>
            <w:r>
              <w:rPr>
                <w:sz w:val="24"/>
              </w:rPr>
              <w:t>类标准限值见</w:t>
            </w:r>
            <w:r>
              <w:rPr>
                <w:rFonts w:hint="eastAsia"/>
                <w:sz w:val="24"/>
              </w:rPr>
              <w:t>下</w:t>
            </w:r>
            <w:r>
              <w:rPr>
                <w:sz w:val="24"/>
              </w:rPr>
              <w:t>表。</w:t>
            </w:r>
          </w:p>
          <w:p w14:paraId="37B2A006">
            <w:pPr>
              <w:widowControl/>
              <w:jc w:val="center"/>
              <w:rPr>
                <w:b/>
                <w:kern w:val="0"/>
                <w:szCs w:val="21"/>
              </w:rPr>
            </w:pPr>
            <w:r>
              <w:rPr>
                <w:b/>
                <w:kern w:val="0"/>
                <w:szCs w:val="21"/>
              </w:rPr>
              <w:t>表3-7  《工业企业厂界环境噪声排放标准》（GB 12348-2008）</w:t>
            </w:r>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638"/>
              <w:gridCol w:w="2716"/>
              <w:gridCol w:w="2685"/>
            </w:tblGrid>
            <w:tr w14:paraId="4FE8013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22" w:hRule="atLeast"/>
                <w:jc w:val="center"/>
              </w:trPr>
              <w:tc>
                <w:tcPr>
                  <w:tcW w:w="1641" w:type="pct"/>
                  <w:vMerge w:val="restart"/>
                  <w:vAlign w:val="center"/>
                </w:tcPr>
                <w:p w14:paraId="5AB1DAEC">
                  <w:pPr>
                    <w:pStyle w:val="11"/>
                    <w:snapToGrid w:val="0"/>
                    <w:spacing w:line="0" w:lineRule="atLeast"/>
                    <w:ind w:firstLine="0"/>
                    <w:jc w:val="center"/>
                    <w:rPr>
                      <w:rFonts w:ascii="Times New Roman" w:hAnsi="Times New Roman" w:eastAsia="宋体" w:cs="Times New Roman"/>
                      <w:szCs w:val="21"/>
                    </w:rPr>
                  </w:pPr>
                  <w:r>
                    <w:rPr>
                      <w:rFonts w:ascii="Times New Roman" w:hAnsi="Times New Roman" w:eastAsia="宋体" w:cs="Times New Roman"/>
                      <w:szCs w:val="21"/>
                    </w:rPr>
                    <w:t>声环境功能区类别</w:t>
                  </w:r>
                </w:p>
              </w:tc>
              <w:tc>
                <w:tcPr>
                  <w:tcW w:w="3359" w:type="pct"/>
                  <w:gridSpan w:val="2"/>
                  <w:vAlign w:val="center"/>
                </w:tcPr>
                <w:p w14:paraId="74287A48">
                  <w:pPr>
                    <w:pStyle w:val="11"/>
                    <w:snapToGrid w:val="0"/>
                    <w:spacing w:line="0" w:lineRule="atLeast"/>
                    <w:ind w:firstLine="0"/>
                    <w:jc w:val="center"/>
                    <w:rPr>
                      <w:rFonts w:ascii="Times New Roman" w:hAnsi="Times New Roman" w:eastAsia="宋体" w:cs="Times New Roman"/>
                      <w:szCs w:val="21"/>
                    </w:rPr>
                  </w:pPr>
                  <w:r>
                    <w:rPr>
                      <w:rFonts w:ascii="Times New Roman" w:hAnsi="Times New Roman" w:eastAsia="宋体" w:cs="Times New Roman"/>
                      <w:szCs w:val="21"/>
                    </w:rPr>
                    <w:t>时段</w:t>
                  </w:r>
                </w:p>
              </w:tc>
            </w:tr>
            <w:tr w14:paraId="3D983E8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54" w:hRule="atLeast"/>
                <w:jc w:val="center"/>
              </w:trPr>
              <w:tc>
                <w:tcPr>
                  <w:tcW w:w="1641" w:type="pct"/>
                  <w:vMerge w:val="continue"/>
                  <w:vAlign w:val="center"/>
                </w:tcPr>
                <w:p w14:paraId="128435FD">
                  <w:pPr>
                    <w:widowControl/>
                    <w:spacing w:line="0" w:lineRule="atLeast"/>
                    <w:jc w:val="center"/>
                    <w:rPr>
                      <w:kern w:val="0"/>
                      <w:szCs w:val="21"/>
                    </w:rPr>
                  </w:pPr>
                </w:p>
              </w:tc>
              <w:tc>
                <w:tcPr>
                  <w:tcW w:w="1689" w:type="pct"/>
                  <w:vAlign w:val="center"/>
                </w:tcPr>
                <w:p w14:paraId="7517E08E">
                  <w:pPr>
                    <w:pStyle w:val="11"/>
                    <w:snapToGrid w:val="0"/>
                    <w:spacing w:line="0" w:lineRule="atLeast"/>
                    <w:ind w:firstLine="0"/>
                    <w:jc w:val="center"/>
                    <w:rPr>
                      <w:rFonts w:ascii="Times New Roman" w:hAnsi="Times New Roman" w:eastAsia="宋体" w:cs="Times New Roman"/>
                      <w:szCs w:val="21"/>
                    </w:rPr>
                  </w:pPr>
                  <w:r>
                    <w:rPr>
                      <w:rFonts w:ascii="Times New Roman" w:hAnsi="Times New Roman" w:eastAsia="宋体" w:cs="Times New Roman"/>
                      <w:szCs w:val="21"/>
                    </w:rPr>
                    <w:t>昼间</w:t>
                  </w:r>
                </w:p>
              </w:tc>
              <w:tc>
                <w:tcPr>
                  <w:tcW w:w="1670" w:type="pct"/>
                  <w:vAlign w:val="center"/>
                </w:tcPr>
                <w:p w14:paraId="300EA9E3">
                  <w:pPr>
                    <w:pStyle w:val="11"/>
                    <w:snapToGrid w:val="0"/>
                    <w:spacing w:line="0" w:lineRule="atLeast"/>
                    <w:ind w:firstLine="0"/>
                    <w:jc w:val="center"/>
                    <w:rPr>
                      <w:rFonts w:ascii="Times New Roman" w:hAnsi="Times New Roman" w:eastAsia="宋体" w:cs="Times New Roman"/>
                      <w:szCs w:val="21"/>
                    </w:rPr>
                  </w:pPr>
                  <w:r>
                    <w:rPr>
                      <w:rFonts w:ascii="Times New Roman" w:hAnsi="Times New Roman" w:eastAsia="宋体" w:cs="Times New Roman"/>
                      <w:szCs w:val="21"/>
                    </w:rPr>
                    <w:t>夜间</w:t>
                  </w:r>
                </w:p>
              </w:tc>
            </w:tr>
            <w:tr w14:paraId="6541CBC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641" w:type="pct"/>
                  <w:vAlign w:val="center"/>
                </w:tcPr>
                <w:p w14:paraId="14A2E14A">
                  <w:pPr>
                    <w:pStyle w:val="11"/>
                    <w:snapToGrid w:val="0"/>
                    <w:spacing w:line="0" w:lineRule="atLeast"/>
                    <w:ind w:firstLine="0"/>
                    <w:jc w:val="center"/>
                    <w:rPr>
                      <w:rFonts w:ascii="Times New Roman" w:hAnsi="Times New Roman" w:eastAsia="宋体" w:cs="Times New Roman"/>
                      <w:szCs w:val="21"/>
                    </w:rPr>
                  </w:pPr>
                  <w:r>
                    <w:rPr>
                      <w:rFonts w:hint="eastAsia" w:ascii="Times New Roman" w:hAnsi="Times New Roman" w:eastAsia="宋体" w:cs="Times New Roman"/>
                      <w:szCs w:val="21"/>
                    </w:rPr>
                    <w:t>2</w:t>
                  </w:r>
                </w:p>
              </w:tc>
              <w:tc>
                <w:tcPr>
                  <w:tcW w:w="1689" w:type="pct"/>
                  <w:vAlign w:val="center"/>
                </w:tcPr>
                <w:p w14:paraId="47A9821D">
                  <w:pPr>
                    <w:pStyle w:val="11"/>
                    <w:snapToGrid w:val="0"/>
                    <w:spacing w:line="0" w:lineRule="atLeast"/>
                    <w:ind w:firstLine="0"/>
                    <w:jc w:val="center"/>
                    <w:rPr>
                      <w:rFonts w:ascii="Times New Roman" w:hAnsi="Times New Roman" w:eastAsia="宋体" w:cs="Times New Roman"/>
                      <w:szCs w:val="21"/>
                    </w:rPr>
                  </w:pPr>
                  <w:r>
                    <w:rPr>
                      <w:rFonts w:hint="eastAsia" w:ascii="Times New Roman" w:hAnsi="Times New Roman" w:eastAsia="宋体" w:cs="Times New Roman"/>
                      <w:szCs w:val="21"/>
                    </w:rPr>
                    <w:t>60</w:t>
                  </w:r>
                  <w:r>
                    <w:rPr>
                      <w:rFonts w:ascii="Times New Roman" w:hAnsi="Times New Roman" w:eastAsia="宋体" w:cs="Times New Roman"/>
                      <w:szCs w:val="21"/>
                    </w:rPr>
                    <w:t>dB(A)</w:t>
                  </w:r>
                </w:p>
              </w:tc>
              <w:tc>
                <w:tcPr>
                  <w:tcW w:w="1670" w:type="pct"/>
                  <w:vAlign w:val="center"/>
                </w:tcPr>
                <w:p w14:paraId="4CF16F25">
                  <w:pPr>
                    <w:pStyle w:val="11"/>
                    <w:snapToGrid w:val="0"/>
                    <w:spacing w:line="0" w:lineRule="atLeast"/>
                    <w:ind w:firstLine="0"/>
                    <w:jc w:val="center"/>
                    <w:rPr>
                      <w:rFonts w:ascii="Times New Roman" w:hAnsi="Times New Roman" w:eastAsia="宋体" w:cs="Times New Roman"/>
                      <w:szCs w:val="21"/>
                    </w:rPr>
                  </w:pPr>
                  <w:r>
                    <w:rPr>
                      <w:rFonts w:hint="eastAsia" w:ascii="Times New Roman" w:hAnsi="Times New Roman" w:eastAsia="宋体" w:cs="Times New Roman"/>
                      <w:szCs w:val="21"/>
                    </w:rPr>
                    <w:t>50</w:t>
                  </w:r>
                  <w:r>
                    <w:rPr>
                      <w:rFonts w:ascii="Times New Roman" w:hAnsi="Times New Roman" w:eastAsia="宋体" w:cs="Times New Roman"/>
                      <w:szCs w:val="21"/>
                    </w:rPr>
                    <w:t>dB(A)</w:t>
                  </w:r>
                </w:p>
              </w:tc>
            </w:tr>
          </w:tbl>
          <w:p w14:paraId="2832D235">
            <w:pPr>
              <w:adjustRightInd w:val="0"/>
              <w:snapToGrid w:val="0"/>
              <w:spacing w:before="120" w:beforeLines="50" w:line="360" w:lineRule="auto"/>
              <w:ind w:firstLine="482" w:firstLineChars="200"/>
              <w:rPr>
                <w:b/>
                <w:bCs/>
                <w:sz w:val="24"/>
              </w:rPr>
            </w:pPr>
            <w:r>
              <w:rPr>
                <w:rFonts w:hint="eastAsia"/>
                <w:b/>
                <w:bCs/>
                <w:sz w:val="24"/>
              </w:rPr>
              <w:t>3、废水排放标准</w:t>
            </w:r>
          </w:p>
          <w:p w14:paraId="1238CA32">
            <w:pPr>
              <w:adjustRightInd w:val="0"/>
              <w:snapToGrid w:val="0"/>
              <w:spacing w:before="120" w:beforeLines="50" w:line="360" w:lineRule="auto"/>
              <w:ind w:firstLine="480" w:firstLineChars="200"/>
              <w:rPr>
                <w:sz w:val="24"/>
              </w:rPr>
            </w:pPr>
            <w:r>
              <w:rPr>
                <w:rFonts w:hint="eastAsia"/>
                <w:sz w:val="24"/>
              </w:rPr>
              <w:t>本项目工艺过程中产生的软水制备排污水、锅炉排污水用于脱硫系统补充水，不外排。</w:t>
            </w:r>
          </w:p>
          <w:p w14:paraId="1A06A44E">
            <w:pPr>
              <w:adjustRightInd w:val="0"/>
              <w:snapToGrid w:val="0"/>
              <w:spacing w:before="120" w:beforeLines="50" w:line="360" w:lineRule="auto"/>
              <w:ind w:firstLine="482" w:firstLineChars="200"/>
              <w:rPr>
                <w:b/>
                <w:bCs/>
                <w:sz w:val="24"/>
              </w:rPr>
            </w:pPr>
            <w:r>
              <w:rPr>
                <w:rFonts w:hint="eastAsia"/>
                <w:b/>
                <w:bCs/>
                <w:sz w:val="24"/>
              </w:rPr>
              <w:t>4</w:t>
            </w:r>
            <w:r>
              <w:rPr>
                <w:b/>
                <w:bCs/>
                <w:sz w:val="24"/>
              </w:rPr>
              <w:t>、固体废物</w:t>
            </w:r>
          </w:p>
          <w:p w14:paraId="29B5E207">
            <w:pPr>
              <w:adjustRightInd w:val="0"/>
              <w:snapToGrid w:val="0"/>
              <w:spacing w:before="120" w:beforeLines="50" w:line="360" w:lineRule="auto"/>
              <w:ind w:firstLine="480" w:firstLineChars="200"/>
              <w:rPr>
                <w:rFonts w:hint="eastAsia" w:ascii="宋体" w:hAnsi="宋体" w:cs="宋体"/>
                <w:kern w:val="0"/>
                <w:szCs w:val="21"/>
              </w:rPr>
            </w:pPr>
            <w:r>
              <w:rPr>
                <w:sz w:val="24"/>
              </w:rPr>
              <w:t>一般固体废物执行《一般工业固体废物贮存和填埋污染控制标准》（GB 18599-2020）</w:t>
            </w:r>
            <w:r>
              <w:rPr>
                <w:rFonts w:hint="eastAsia"/>
                <w:sz w:val="24"/>
              </w:rPr>
              <w:t>，危险废物贮存执行</w:t>
            </w:r>
            <w:r>
              <w:rPr>
                <w:sz w:val="24"/>
              </w:rPr>
              <w:t>《危险废物贮存污染控制标准》（GB18597-20</w:t>
            </w:r>
            <w:r>
              <w:rPr>
                <w:rFonts w:hint="eastAsia"/>
                <w:sz w:val="24"/>
              </w:rPr>
              <w:t>23</w:t>
            </w:r>
            <w:r>
              <w:rPr>
                <w:sz w:val="24"/>
              </w:rPr>
              <w:t>）。</w:t>
            </w:r>
          </w:p>
        </w:tc>
      </w:tr>
      <w:tr w14:paraId="66E42A1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42" w:hRule="atLeast"/>
          <w:jc w:val="center"/>
        </w:trPr>
        <w:tc>
          <w:tcPr>
            <w:tcW w:w="445" w:type="pct"/>
            <w:vAlign w:val="center"/>
          </w:tcPr>
          <w:p w14:paraId="2464C7BE">
            <w:pPr>
              <w:adjustRightInd w:val="0"/>
              <w:snapToGrid w:val="0"/>
              <w:jc w:val="center"/>
              <w:rPr>
                <w:rFonts w:hint="eastAsia" w:ascii="宋体" w:hAnsi="宋体" w:cs="宋体"/>
                <w:kern w:val="0"/>
                <w:sz w:val="24"/>
              </w:rPr>
            </w:pPr>
            <w:r>
              <w:rPr>
                <w:rFonts w:hint="eastAsia" w:ascii="宋体" w:hAnsi="宋体" w:cs="宋体"/>
                <w:kern w:val="0"/>
                <w:sz w:val="24"/>
              </w:rPr>
              <w:t>总量</w:t>
            </w:r>
          </w:p>
          <w:p w14:paraId="494F8549">
            <w:pPr>
              <w:adjustRightInd w:val="0"/>
              <w:snapToGrid w:val="0"/>
              <w:jc w:val="center"/>
              <w:rPr>
                <w:rFonts w:hint="eastAsia" w:ascii="宋体" w:hAnsi="宋体" w:cs="宋体"/>
                <w:kern w:val="0"/>
                <w:sz w:val="24"/>
              </w:rPr>
            </w:pPr>
            <w:r>
              <w:rPr>
                <w:rFonts w:hint="eastAsia" w:ascii="宋体" w:hAnsi="宋体" w:cs="宋体"/>
                <w:kern w:val="0"/>
                <w:sz w:val="24"/>
              </w:rPr>
              <w:t>控制</w:t>
            </w:r>
          </w:p>
          <w:p w14:paraId="0AB92361">
            <w:pPr>
              <w:adjustRightInd w:val="0"/>
              <w:snapToGrid w:val="0"/>
              <w:jc w:val="center"/>
              <w:rPr>
                <w:rFonts w:hint="eastAsia" w:ascii="宋体" w:hAnsi="宋体" w:cs="宋体"/>
                <w:kern w:val="0"/>
                <w:sz w:val="24"/>
              </w:rPr>
            </w:pPr>
            <w:r>
              <w:rPr>
                <w:rFonts w:hint="eastAsia" w:ascii="宋体" w:hAnsi="宋体" w:cs="宋体"/>
                <w:kern w:val="0"/>
                <w:sz w:val="24"/>
              </w:rPr>
              <w:t>指标</w:t>
            </w:r>
          </w:p>
        </w:tc>
        <w:tc>
          <w:tcPr>
            <w:tcW w:w="4555" w:type="pct"/>
            <w:vAlign w:val="center"/>
          </w:tcPr>
          <w:p w14:paraId="7B8EFC41">
            <w:pPr>
              <w:spacing w:line="360" w:lineRule="auto"/>
              <w:ind w:firstLine="480"/>
              <w:rPr>
                <w:sz w:val="24"/>
              </w:rPr>
            </w:pPr>
            <w:r>
              <w:rPr>
                <w:sz w:val="24"/>
              </w:rPr>
              <w:t>根据国家的相关规定，现阶段进行总量控制的指标为SO</w:t>
            </w:r>
            <w:r>
              <w:rPr>
                <w:sz w:val="24"/>
                <w:vertAlign w:val="subscript"/>
              </w:rPr>
              <w:t>2</w:t>
            </w:r>
            <w:r>
              <w:rPr>
                <w:rFonts w:hint="eastAsia"/>
                <w:sz w:val="24"/>
              </w:rPr>
              <w:t>、N</w:t>
            </w:r>
            <w:r>
              <w:rPr>
                <w:sz w:val="24"/>
              </w:rPr>
              <w:t>O</w:t>
            </w:r>
            <w:r>
              <w:rPr>
                <w:rFonts w:hint="eastAsia"/>
                <w:sz w:val="24"/>
                <w:vertAlign w:val="subscript"/>
              </w:rPr>
              <w:t>X</w:t>
            </w:r>
            <w:r>
              <w:rPr>
                <w:sz w:val="24"/>
              </w:rPr>
              <w:t>和COD</w:t>
            </w:r>
            <w:r>
              <w:rPr>
                <w:rFonts w:hint="eastAsia"/>
                <w:sz w:val="24"/>
              </w:rPr>
              <w:t>、NH</w:t>
            </w:r>
            <w:r>
              <w:rPr>
                <w:rFonts w:hint="eastAsia"/>
                <w:sz w:val="24"/>
                <w:vertAlign w:val="subscript"/>
              </w:rPr>
              <w:t>3</w:t>
            </w:r>
            <w:r>
              <w:rPr>
                <w:rFonts w:hint="eastAsia"/>
                <w:sz w:val="24"/>
              </w:rPr>
              <w:t>-N四</w:t>
            </w:r>
            <w:r>
              <w:rPr>
                <w:sz w:val="24"/>
              </w:rPr>
              <w:t>项</w:t>
            </w:r>
            <w:r>
              <w:rPr>
                <w:rFonts w:hint="eastAsia"/>
                <w:sz w:val="24"/>
              </w:rPr>
              <w:t>。</w:t>
            </w:r>
          </w:p>
          <w:p w14:paraId="54CD6B8B">
            <w:pPr>
              <w:spacing w:line="360" w:lineRule="auto"/>
              <w:ind w:firstLine="480"/>
              <w:rPr>
                <w:sz w:val="24"/>
              </w:rPr>
            </w:pPr>
            <w:bookmarkStart w:id="26" w:name="_Hlk151455072"/>
            <w:r>
              <w:rPr>
                <w:rFonts w:hint="eastAsia"/>
                <w:sz w:val="24"/>
              </w:rPr>
              <w:t>本项目工艺过程中产生的软水制备排污水、锅炉排污水用于脱硫系统补充水，不外排，因此无需申请废水污染物总量控制指标；</w:t>
            </w:r>
            <w:bookmarkStart w:id="27" w:name="_Hlk107306096"/>
            <w:r>
              <w:rPr>
                <w:rFonts w:hint="eastAsia"/>
                <w:sz w:val="24"/>
              </w:rPr>
              <w:t>本项目排放的废气污染物主要为颗粒物5.042</w:t>
            </w:r>
            <w:r>
              <w:rPr>
                <w:sz w:val="24"/>
              </w:rPr>
              <w:t>t/a</w:t>
            </w:r>
            <w:r>
              <w:rPr>
                <w:rFonts w:hint="eastAsia"/>
                <w:sz w:val="24"/>
              </w:rPr>
              <w:t>、</w:t>
            </w:r>
            <w:r>
              <w:rPr>
                <w:sz w:val="24"/>
              </w:rPr>
              <w:t>SO</w:t>
            </w:r>
            <w:r>
              <w:rPr>
                <w:sz w:val="24"/>
                <w:vertAlign w:val="subscript"/>
              </w:rPr>
              <w:t>2</w:t>
            </w:r>
            <w:r>
              <w:rPr>
                <w:rFonts w:hint="eastAsia"/>
                <w:sz w:val="24"/>
                <w:vertAlign w:val="subscript"/>
              </w:rPr>
              <w:t xml:space="preserve"> </w:t>
            </w:r>
            <w:r>
              <w:rPr>
                <w:rFonts w:hint="eastAsia"/>
                <w:sz w:val="24"/>
              </w:rPr>
              <w:t>21.879</w:t>
            </w:r>
            <w:r>
              <w:rPr>
                <w:sz w:val="24"/>
              </w:rPr>
              <w:t>t/a</w:t>
            </w:r>
            <w:r>
              <w:rPr>
                <w:rFonts w:hint="eastAsia"/>
                <w:sz w:val="24"/>
              </w:rPr>
              <w:t>、N</w:t>
            </w:r>
            <w:r>
              <w:rPr>
                <w:sz w:val="24"/>
              </w:rPr>
              <w:t>O</w:t>
            </w:r>
            <w:r>
              <w:rPr>
                <w:rFonts w:hint="eastAsia"/>
                <w:sz w:val="24"/>
              </w:rPr>
              <w:t>x60.713</w:t>
            </w:r>
            <w:r>
              <w:rPr>
                <w:sz w:val="24"/>
              </w:rPr>
              <w:t>t/a</w:t>
            </w:r>
            <w:r>
              <w:rPr>
                <w:rFonts w:hint="eastAsia"/>
                <w:sz w:val="24"/>
              </w:rPr>
              <w:t>、</w:t>
            </w:r>
            <w:bookmarkEnd w:id="27"/>
            <w:r>
              <w:rPr>
                <w:rFonts w:hint="eastAsia"/>
                <w:sz w:val="24"/>
              </w:rPr>
              <w:t>氨逃逸0.96</w:t>
            </w:r>
            <w:r>
              <w:rPr>
                <w:sz w:val="24"/>
              </w:rPr>
              <w:t>4t/a</w:t>
            </w:r>
            <w:r>
              <w:rPr>
                <w:rFonts w:hint="eastAsia"/>
                <w:sz w:val="24"/>
              </w:rPr>
              <w:t>，根据现有工程环境影响报告以及总量批复文件，</w:t>
            </w:r>
            <w:r>
              <w:rPr>
                <w:sz w:val="24"/>
              </w:rPr>
              <w:t>现有工程污染物</w:t>
            </w:r>
            <w:r>
              <w:rPr>
                <w:rFonts w:hint="eastAsia"/>
                <w:sz w:val="24"/>
              </w:rPr>
              <w:t>排放总量批复指标为SO</w:t>
            </w:r>
            <w:r>
              <w:rPr>
                <w:rFonts w:hint="eastAsia"/>
                <w:sz w:val="24"/>
                <w:vertAlign w:val="subscript"/>
              </w:rPr>
              <w:t>2</w:t>
            </w:r>
            <w:r>
              <w:rPr>
                <w:rFonts w:hint="eastAsia"/>
                <w:sz w:val="24"/>
              </w:rPr>
              <w:t xml:space="preserve"> 145.1t/a，NOx 99.0</w:t>
            </w:r>
            <w:r>
              <w:rPr>
                <w:sz w:val="24"/>
              </w:rPr>
              <w:t>t/a</w:t>
            </w:r>
            <w:r>
              <w:rPr>
                <w:rFonts w:hint="eastAsia"/>
                <w:sz w:val="24"/>
              </w:rPr>
              <w:t>，本项目可削减SO</w:t>
            </w:r>
            <w:r>
              <w:rPr>
                <w:rFonts w:hint="eastAsia"/>
                <w:sz w:val="24"/>
                <w:vertAlign w:val="subscript"/>
              </w:rPr>
              <w:t>2</w:t>
            </w:r>
            <w:r>
              <w:rPr>
                <w:rFonts w:hint="eastAsia"/>
                <w:sz w:val="24"/>
              </w:rPr>
              <w:t xml:space="preserve"> 排放量73.6t/a，NOx51.957</w:t>
            </w:r>
            <w:r>
              <w:rPr>
                <w:sz w:val="24"/>
              </w:rPr>
              <w:t>t/a</w:t>
            </w:r>
            <w:r>
              <w:rPr>
                <w:rFonts w:hint="eastAsia"/>
                <w:sz w:val="24"/>
              </w:rPr>
              <w:t>，本项目建成后全厂SO</w:t>
            </w:r>
            <w:r>
              <w:rPr>
                <w:rFonts w:hint="eastAsia"/>
                <w:sz w:val="24"/>
                <w:vertAlign w:val="subscript"/>
              </w:rPr>
              <w:t>2</w:t>
            </w:r>
            <w:r>
              <w:rPr>
                <w:rFonts w:hint="eastAsia"/>
                <w:sz w:val="24"/>
              </w:rPr>
              <w:t xml:space="preserve"> 排放量45.179t/a，NOx107.756</w:t>
            </w:r>
            <w:r>
              <w:rPr>
                <w:sz w:val="24"/>
              </w:rPr>
              <w:t>t/a，</w:t>
            </w:r>
            <w:r>
              <w:rPr>
                <w:rFonts w:hint="eastAsia"/>
                <w:sz w:val="24"/>
              </w:rPr>
              <w:t>氮氧化物超过批复总量，因此需额外申请氮氧化物排放总量8.756t/a。</w:t>
            </w:r>
            <w:bookmarkEnd w:id="26"/>
          </w:p>
          <w:p w14:paraId="268B4F06">
            <w:pPr>
              <w:jc w:val="center"/>
              <w:rPr>
                <w:b/>
                <w:bCs/>
                <w:kern w:val="0"/>
                <w:szCs w:val="21"/>
              </w:rPr>
            </w:pPr>
            <w:r>
              <w:rPr>
                <w:rFonts w:hint="eastAsia"/>
                <w:b/>
                <w:bCs/>
                <w:kern w:val="0"/>
                <w:szCs w:val="21"/>
              </w:rPr>
              <w:t>表3-8 项目污染物排放总量变化情况</w:t>
            </w:r>
          </w:p>
          <w:tbl>
            <w:tblPr>
              <w:tblStyle w:val="32"/>
              <w:tblW w:w="0" w:type="auto"/>
              <w:tblInd w:w="0" w:type="dxa"/>
              <w:tblBorders>
                <w:top w:val="single" w:color="auto" w:sz="12" w:space="0"/>
                <w:left w:val="none" w:color="auto" w:sz="0"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418"/>
              <w:gridCol w:w="1418"/>
              <w:gridCol w:w="812"/>
              <w:gridCol w:w="758"/>
              <w:gridCol w:w="821"/>
              <w:gridCol w:w="984"/>
              <w:gridCol w:w="944"/>
            </w:tblGrid>
            <w:tr w14:paraId="02742EA8">
              <w:tblPrEx>
                <w:tblBorders>
                  <w:top w:val="single" w:color="auto" w:sz="12" w:space="0"/>
                  <w:left w:val="none" w:color="auto" w:sz="0"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44" w:type="dxa"/>
                  <w:vAlign w:val="center"/>
                </w:tcPr>
                <w:p w14:paraId="6B4F0682">
                  <w:pPr>
                    <w:jc w:val="center"/>
                    <w:rPr>
                      <w:kern w:val="0"/>
                      <w:szCs w:val="21"/>
                    </w:rPr>
                  </w:pPr>
                  <w:r>
                    <w:rPr>
                      <w:rFonts w:hint="eastAsia"/>
                      <w:kern w:val="0"/>
                      <w:szCs w:val="21"/>
                    </w:rPr>
                    <w:t>污染物名称</w:t>
                  </w:r>
                </w:p>
              </w:tc>
              <w:tc>
                <w:tcPr>
                  <w:tcW w:w="1418" w:type="dxa"/>
                  <w:vAlign w:val="center"/>
                </w:tcPr>
                <w:p w14:paraId="189EDFFE">
                  <w:pPr>
                    <w:jc w:val="center"/>
                    <w:rPr>
                      <w:kern w:val="0"/>
                      <w:szCs w:val="21"/>
                    </w:rPr>
                  </w:pPr>
                  <w:r>
                    <w:rPr>
                      <w:rFonts w:hint="eastAsia"/>
                      <w:kern w:val="0"/>
                      <w:szCs w:val="21"/>
                    </w:rPr>
                    <w:t>现有工程排放量t/a（依据煤矿环评报告书）</w:t>
                  </w:r>
                </w:p>
              </w:tc>
              <w:tc>
                <w:tcPr>
                  <w:tcW w:w="1418" w:type="dxa"/>
                  <w:vAlign w:val="center"/>
                </w:tcPr>
                <w:p w14:paraId="2203CED8">
                  <w:pPr>
                    <w:jc w:val="center"/>
                    <w:rPr>
                      <w:kern w:val="0"/>
                      <w:szCs w:val="21"/>
                    </w:rPr>
                  </w:pPr>
                  <w:r>
                    <w:rPr>
                      <w:rFonts w:hint="eastAsia"/>
                      <w:kern w:val="0"/>
                      <w:szCs w:val="21"/>
                    </w:rPr>
                    <w:t>现有工程许可排放量t/a（依据总量批复文件）</w:t>
                  </w:r>
                </w:p>
              </w:tc>
              <w:tc>
                <w:tcPr>
                  <w:tcW w:w="812" w:type="dxa"/>
                  <w:vAlign w:val="center"/>
                </w:tcPr>
                <w:p w14:paraId="0722F775">
                  <w:pPr>
                    <w:jc w:val="center"/>
                    <w:rPr>
                      <w:kern w:val="0"/>
                      <w:szCs w:val="21"/>
                    </w:rPr>
                  </w:pPr>
                  <w:r>
                    <w:rPr>
                      <w:rFonts w:hint="eastAsia"/>
                      <w:kern w:val="0"/>
                      <w:szCs w:val="21"/>
                    </w:rPr>
                    <w:t>在建工程排放量</w:t>
                  </w:r>
                  <w:r>
                    <w:rPr>
                      <w:kern w:val="0"/>
                      <w:szCs w:val="21"/>
                    </w:rPr>
                    <w:t>t/a</w:t>
                  </w:r>
                </w:p>
              </w:tc>
              <w:tc>
                <w:tcPr>
                  <w:tcW w:w="758" w:type="dxa"/>
                  <w:vAlign w:val="center"/>
                </w:tcPr>
                <w:p w14:paraId="637C05D0">
                  <w:pPr>
                    <w:jc w:val="center"/>
                    <w:rPr>
                      <w:kern w:val="0"/>
                      <w:szCs w:val="21"/>
                    </w:rPr>
                  </w:pPr>
                  <w:r>
                    <w:rPr>
                      <w:rFonts w:hint="eastAsia"/>
                      <w:kern w:val="0"/>
                      <w:szCs w:val="21"/>
                    </w:rPr>
                    <w:t>本项目排放量</w:t>
                  </w:r>
                  <w:r>
                    <w:rPr>
                      <w:kern w:val="0"/>
                      <w:szCs w:val="21"/>
                    </w:rPr>
                    <w:t>t/a</w:t>
                  </w:r>
                </w:p>
              </w:tc>
              <w:tc>
                <w:tcPr>
                  <w:tcW w:w="821" w:type="dxa"/>
                  <w:vAlign w:val="center"/>
                </w:tcPr>
                <w:p w14:paraId="27F7F340">
                  <w:pPr>
                    <w:jc w:val="center"/>
                    <w:rPr>
                      <w:kern w:val="0"/>
                      <w:szCs w:val="21"/>
                    </w:rPr>
                  </w:pPr>
                  <w:r>
                    <w:rPr>
                      <w:rFonts w:hint="eastAsia"/>
                      <w:kern w:val="0"/>
                      <w:szCs w:val="21"/>
                    </w:rPr>
                    <w:t>以新带老削减量</w:t>
                  </w:r>
                  <w:r>
                    <w:rPr>
                      <w:kern w:val="0"/>
                      <w:szCs w:val="21"/>
                    </w:rPr>
                    <w:t>t/a</w:t>
                  </w:r>
                </w:p>
              </w:tc>
              <w:tc>
                <w:tcPr>
                  <w:tcW w:w="984" w:type="dxa"/>
                  <w:vAlign w:val="center"/>
                </w:tcPr>
                <w:p w14:paraId="6E3BAD4C">
                  <w:pPr>
                    <w:jc w:val="center"/>
                    <w:rPr>
                      <w:kern w:val="0"/>
                      <w:szCs w:val="21"/>
                    </w:rPr>
                  </w:pPr>
                  <w:r>
                    <w:rPr>
                      <w:rFonts w:hint="eastAsia"/>
                      <w:kern w:val="0"/>
                      <w:szCs w:val="21"/>
                    </w:rPr>
                    <w:t>本项目建成后全厂排放量</w:t>
                  </w:r>
                  <w:r>
                    <w:rPr>
                      <w:kern w:val="0"/>
                      <w:szCs w:val="21"/>
                    </w:rPr>
                    <w:t>t/a</w:t>
                  </w:r>
                </w:p>
              </w:tc>
              <w:tc>
                <w:tcPr>
                  <w:tcW w:w="944" w:type="dxa"/>
                  <w:vAlign w:val="center"/>
                </w:tcPr>
                <w:p w14:paraId="78D50765">
                  <w:pPr>
                    <w:jc w:val="center"/>
                    <w:rPr>
                      <w:kern w:val="0"/>
                      <w:szCs w:val="21"/>
                    </w:rPr>
                  </w:pPr>
                  <w:r>
                    <w:rPr>
                      <w:rFonts w:hint="eastAsia"/>
                      <w:kern w:val="0"/>
                      <w:szCs w:val="21"/>
                    </w:rPr>
                    <w:t>变化量</w:t>
                  </w:r>
                  <w:r>
                    <w:rPr>
                      <w:kern w:val="0"/>
                      <w:szCs w:val="21"/>
                    </w:rPr>
                    <w:t>t/a</w:t>
                  </w:r>
                </w:p>
              </w:tc>
            </w:tr>
            <w:tr w14:paraId="10FCE0A3">
              <w:tblPrEx>
                <w:tblBorders>
                  <w:top w:val="single" w:color="auto" w:sz="12" w:space="0"/>
                  <w:left w:val="none" w:color="auto" w:sz="0"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44" w:type="dxa"/>
                  <w:vAlign w:val="center"/>
                </w:tcPr>
                <w:p w14:paraId="563EE567">
                  <w:pPr>
                    <w:jc w:val="center"/>
                    <w:rPr>
                      <w:kern w:val="0"/>
                      <w:szCs w:val="21"/>
                    </w:rPr>
                  </w:pPr>
                  <w:r>
                    <w:rPr>
                      <w:rFonts w:hint="eastAsia"/>
                      <w:kern w:val="0"/>
                      <w:szCs w:val="21"/>
                    </w:rPr>
                    <w:t>SO</w:t>
                  </w:r>
                  <w:r>
                    <w:rPr>
                      <w:rFonts w:hint="eastAsia"/>
                      <w:kern w:val="0"/>
                      <w:szCs w:val="21"/>
                      <w:vertAlign w:val="subscript"/>
                    </w:rPr>
                    <w:t>2</w:t>
                  </w:r>
                </w:p>
              </w:tc>
              <w:tc>
                <w:tcPr>
                  <w:tcW w:w="1418" w:type="dxa"/>
                  <w:vAlign w:val="center"/>
                </w:tcPr>
                <w:p w14:paraId="3E2E81D4">
                  <w:pPr>
                    <w:jc w:val="center"/>
                    <w:rPr>
                      <w:kern w:val="0"/>
                      <w:szCs w:val="21"/>
                    </w:rPr>
                  </w:pPr>
                  <w:r>
                    <w:rPr>
                      <w:rFonts w:hint="eastAsia"/>
                      <w:snapToGrid w:val="0"/>
                      <w:spacing w:val="-6"/>
                      <w:kern w:val="21"/>
                      <w:szCs w:val="21"/>
                    </w:rPr>
                    <w:t>96.9</w:t>
                  </w:r>
                </w:p>
              </w:tc>
              <w:tc>
                <w:tcPr>
                  <w:tcW w:w="1418" w:type="dxa"/>
                  <w:vAlign w:val="center"/>
                </w:tcPr>
                <w:p w14:paraId="19376E99">
                  <w:pPr>
                    <w:jc w:val="center"/>
                    <w:rPr>
                      <w:kern w:val="0"/>
                      <w:szCs w:val="21"/>
                    </w:rPr>
                  </w:pPr>
                  <w:r>
                    <w:rPr>
                      <w:rFonts w:hint="eastAsia"/>
                      <w:snapToGrid w:val="0"/>
                      <w:spacing w:val="-6"/>
                      <w:kern w:val="21"/>
                      <w:szCs w:val="21"/>
                    </w:rPr>
                    <w:t>145.1</w:t>
                  </w:r>
                </w:p>
              </w:tc>
              <w:tc>
                <w:tcPr>
                  <w:tcW w:w="812" w:type="dxa"/>
                  <w:vAlign w:val="center"/>
                </w:tcPr>
                <w:p w14:paraId="7E9AA01F">
                  <w:pPr>
                    <w:jc w:val="center"/>
                    <w:rPr>
                      <w:kern w:val="0"/>
                      <w:szCs w:val="21"/>
                    </w:rPr>
                  </w:pPr>
                </w:p>
              </w:tc>
              <w:tc>
                <w:tcPr>
                  <w:tcW w:w="758" w:type="dxa"/>
                  <w:vAlign w:val="center"/>
                </w:tcPr>
                <w:p w14:paraId="0CFDBC7A">
                  <w:pPr>
                    <w:jc w:val="center"/>
                    <w:rPr>
                      <w:kern w:val="0"/>
                      <w:szCs w:val="21"/>
                    </w:rPr>
                  </w:pPr>
                  <w:r>
                    <w:rPr>
                      <w:rFonts w:hint="eastAsia"/>
                      <w:snapToGrid w:val="0"/>
                      <w:spacing w:val="-6"/>
                      <w:kern w:val="21"/>
                      <w:szCs w:val="21"/>
                    </w:rPr>
                    <w:t>21.879</w:t>
                  </w:r>
                </w:p>
              </w:tc>
              <w:tc>
                <w:tcPr>
                  <w:tcW w:w="821" w:type="dxa"/>
                  <w:vAlign w:val="center"/>
                </w:tcPr>
                <w:p w14:paraId="7D34477E">
                  <w:pPr>
                    <w:jc w:val="center"/>
                    <w:rPr>
                      <w:kern w:val="0"/>
                      <w:szCs w:val="21"/>
                    </w:rPr>
                  </w:pPr>
                  <w:r>
                    <w:rPr>
                      <w:rFonts w:hint="eastAsia"/>
                      <w:snapToGrid w:val="0"/>
                      <w:spacing w:val="-16"/>
                      <w:kern w:val="21"/>
                      <w:szCs w:val="21"/>
                    </w:rPr>
                    <w:t>73.6</w:t>
                  </w:r>
                </w:p>
              </w:tc>
              <w:tc>
                <w:tcPr>
                  <w:tcW w:w="984" w:type="dxa"/>
                  <w:vAlign w:val="center"/>
                </w:tcPr>
                <w:p w14:paraId="59A7AF4C">
                  <w:pPr>
                    <w:jc w:val="center"/>
                    <w:rPr>
                      <w:kern w:val="0"/>
                      <w:szCs w:val="21"/>
                    </w:rPr>
                  </w:pPr>
                  <w:r>
                    <w:rPr>
                      <w:rFonts w:hint="eastAsia"/>
                      <w:snapToGrid w:val="0"/>
                      <w:spacing w:val="-6"/>
                      <w:kern w:val="21"/>
                      <w:szCs w:val="21"/>
                    </w:rPr>
                    <w:t>45.179</w:t>
                  </w:r>
                </w:p>
              </w:tc>
              <w:tc>
                <w:tcPr>
                  <w:tcW w:w="944" w:type="dxa"/>
                  <w:vAlign w:val="center"/>
                </w:tcPr>
                <w:p w14:paraId="7C4EE50F">
                  <w:pPr>
                    <w:jc w:val="center"/>
                    <w:rPr>
                      <w:kern w:val="0"/>
                      <w:szCs w:val="21"/>
                    </w:rPr>
                  </w:pPr>
                  <w:r>
                    <w:rPr>
                      <w:rFonts w:hint="eastAsia"/>
                      <w:snapToGrid w:val="0"/>
                      <w:spacing w:val="-6"/>
                      <w:kern w:val="21"/>
                      <w:szCs w:val="21"/>
                    </w:rPr>
                    <w:t>-51.721</w:t>
                  </w:r>
                </w:p>
              </w:tc>
            </w:tr>
            <w:tr w14:paraId="3CBAAB3B">
              <w:tblPrEx>
                <w:tblBorders>
                  <w:top w:val="single" w:color="auto" w:sz="12" w:space="0"/>
                  <w:left w:val="none" w:color="auto" w:sz="0"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644" w:type="dxa"/>
                  <w:vAlign w:val="center"/>
                </w:tcPr>
                <w:p w14:paraId="2A411528">
                  <w:pPr>
                    <w:jc w:val="center"/>
                    <w:rPr>
                      <w:kern w:val="0"/>
                      <w:szCs w:val="21"/>
                    </w:rPr>
                  </w:pPr>
                  <w:r>
                    <w:rPr>
                      <w:rFonts w:hint="eastAsia"/>
                      <w:kern w:val="0"/>
                      <w:szCs w:val="21"/>
                    </w:rPr>
                    <w:t>NOx</w:t>
                  </w:r>
                </w:p>
              </w:tc>
              <w:tc>
                <w:tcPr>
                  <w:tcW w:w="1418" w:type="dxa"/>
                  <w:vAlign w:val="center"/>
                </w:tcPr>
                <w:p w14:paraId="50428184">
                  <w:pPr>
                    <w:jc w:val="center"/>
                    <w:rPr>
                      <w:kern w:val="0"/>
                      <w:szCs w:val="21"/>
                    </w:rPr>
                  </w:pPr>
                  <w:r>
                    <w:rPr>
                      <w:rFonts w:hint="eastAsia"/>
                      <w:snapToGrid w:val="0"/>
                      <w:spacing w:val="-6"/>
                      <w:kern w:val="21"/>
                      <w:szCs w:val="21"/>
                    </w:rPr>
                    <w:t>99.0</w:t>
                  </w:r>
                </w:p>
              </w:tc>
              <w:tc>
                <w:tcPr>
                  <w:tcW w:w="1418" w:type="dxa"/>
                  <w:vAlign w:val="center"/>
                </w:tcPr>
                <w:p w14:paraId="226F768D">
                  <w:pPr>
                    <w:jc w:val="center"/>
                    <w:rPr>
                      <w:kern w:val="0"/>
                      <w:szCs w:val="21"/>
                    </w:rPr>
                  </w:pPr>
                  <w:r>
                    <w:rPr>
                      <w:rFonts w:hint="eastAsia"/>
                      <w:snapToGrid w:val="0"/>
                      <w:spacing w:val="-6"/>
                      <w:kern w:val="21"/>
                      <w:szCs w:val="21"/>
                    </w:rPr>
                    <w:t>99.0</w:t>
                  </w:r>
                </w:p>
              </w:tc>
              <w:tc>
                <w:tcPr>
                  <w:tcW w:w="812" w:type="dxa"/>
                  <w:vAlign w:val="center"/>
                </w:tcPr>
                <w:p w14:paraId="2923D1A5">
                  <w:pPr>
                    <w:jc w:val="center"/>
                    <w:rPr>
                      <w:kern w:val="0"/>
                      <w:szCs w:val="21"/>
                    </w:rPr>
                  </w:pPr>
                </w:p>
              </w:tc>
              <w:tc>
                <w:tcPr>
                  <w:tcW w:w="758" w:type="dxa"/>
                  <w:vAlign w:val="center"/>
                </w:tcPr>
                <w:p w14:paraId="5E2E7949">
                  <w:pPr>
                    <w:jc w:val="center"/>
                    <w:rPr>
                      <w:kern w:val="0"/>
                      <w:szCs w:val="21"/>
                    </w:rPr>
                  </w:pPr>
                  <w:r>
                    <w:rPr>
                      <w:rFonts w:hint="eastAsia"/>
                      <w:snapToGrid w:val="0"/>
                      <w:spacing w:val="-6"/>
                      <w:kern w:val="21"/>
                      <w:szCs w:val="21"/>
                    </w:rPr>
                    <w:t>60.713</w:t>
                  </w:r>
                </w:p>
              </w:tc>
              <w:tc>
                <w:tcPr>
                  <w:tcW w:w="821" w:type="dxa"/>
                  <w:vAlign w:val="center"/>
                </w:tcPr>
                <w:p w14:paraId="37EFD743">
                  <w:pPr>
                    <w:jc w:val="center"/>
                    <w:rPr>
                      <w:kern w:val="0"/>
                      <w:szCs w:val="21"/>
                    </w:rPr>
                  </w:pPr>
                  <w:r>
                    <w:rPr>
                      <w:rFonts w:hint="eastAsia"/>
                      <w:snapToGrid w:val="0"/>
                      <w:spacing w:val="-16"/>
                      <w:kern w:val="21"/>
                      <w:szCs w:val="21"/>
                    </w:rPr>
                    <w:t>51.957</w:t>
                  </w:r>
                </w:p>
              </w:tc>
              <w:tc>
                <w:tcPr>
                  <w:tcW w:w="984" w:type="dxa"/>
                  <w:vAlign w:val="center"/>
                </w:tcPr>
                <w:p w14:paraId="0721F4D8">
                  <w:pPr>
                    <w:jc w:val="center"/>
                    <w:rPr>
                      <w:kern w:val="0"/>
                      <w:szCs w:val="21"/>
                    </w:rPr>
                  </w:pPr>
                  <w:r>
                    <w:rPr>
                      <w:rFonts w:hint="eastAsia"/>
                      <w:snapToGrid w:val="0"/>
                      <w:spacing w:val="-6"/>
                      <w:kern w:val="21"/>
                      <w:szCs w:val="21"/>
                    </w:rPr>
                    <w:t>107.756</w:t>
                  </w:r>
                </w:p>
              </w:tc>
              <w:tc>
                <w:tcPr>
                  <w:tcW w:w="944" w:type="dxa"/>
                  <w:vAlign w:val="center"/>
                </w:tcPr>
                <w:p w14:paraId="68F2527B">
                  <w:pPr>
                    <w:jc w:val="center"/>
                    <w:rPr>
                      <w:kern w:val="0"/>
                      <w:szCs w:val="21"/>
                    </w:rPr>
                  </w:pPr>
                  <w:r>
                    <w:rPr>
                      <w:rFonts w:hint="eastAsia"/>
                      <w:snapToGrid w:val="0"/>
                      <w:spacing w:val="-6"/>
                      <w:kern w:val="21"/>
                      <w:szCs w:val="21"/>
                    </w:rPr>
                    <w:t>+8.756</w:t>
                  </w:r>
                </w:p>
              </w:tc>
            </w:tr>
          </w:tbl>
          <w:p w14:paraId="37703669">
            <w:pPr>
              <w:spacing w:line="360" w:lineRule="auto"/>
              <w:ind w:firstLine="480"/>
              <w:rPr>
                <w:kern w:val="0"/>
                <w:sz w:val="24"/>
              </w:rPr>
            </w:pPr>
          </w:p>
        </w:tc>
      </w:tr>
    </w:tbl>
    <w:p w14:paraId="5A2FAD4A">
      <w:pPr>
        <w:pStyle w:val="27"/>
        <w:jc w:val="center"/>
        <w:outlineLvl w:val="0"/>
        <w:rPr>
          <w:rFonts w:hint="eastAsia" w:ascii="黑体" w:hAnsi="黑体" w:eastAsia="黑体"/>
          <w:snapToGrid w:val="0"/>
          <w:sz w:val="30"/>
          <w:szCs w:val="30"/>
        </w:rPr>
      </w:pPr>
      <w:r>
        <w:rPr>
          <w:rFonts w:ascii="黑体" w:hAnsi="黑体" w:eastAsia="黑体"/>
          <w:snapToGrid w:val="0"/>
          <w:sz w:val="36"/>
          <w:szCs w:val="36"/>
        </w:rPr>
        <w:br w:type="page"/>
      </w:r>
      <w:bookmarkStart w:id="28" w:name="_Toc173761973"/>
      <w:bookmarkStart w:id="29" w:name="_Toc172642152"/>
      <w:r>
        <w:rPr>
          <w:rFonts w:hint="eastAsia" w:ascii="黑体" w:hAnsi="黑体" w:eastAsia="黑体"/>
          <w:snapToGrid w:val="0"/>
          <w:sz w:val="30"/>
          <w:szCs w:val="30"/>
        </w:rPr>
        <w:t>四、主要环境影响和保护措施</w:t>
      </w:r>
      <w:bookmarkEnd w:id="28"/>
      <w:bookmarkEnd w:id="29"/>
    </w:p>
    <w:tbl>
      <w:tblPr>
        <w:tblStyle w:val="31"/>
        <w:tblW w:w="890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0D342C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49" w:hRule="atLeast"/>
          <w:jc w:val="center"/>
        </w:trPr>
        <w:tc>
          <w:tcPr>
            <w:tcW w:w="746" w:type="dxa"/>
            <w:tcMar>
              <w:left w:w="28" w:type="dxa"/>
              <w:right w:w="28" w:type="dxa"/>
            </w:tcMar>
            <w:vAlign w:val="center"/>
          </w:tcPr>
          <w:p w14:paraId="7217D02A">
            <w:pPr>
              <w:pStyle w:val="27"/>
              <w:adjustRightInd w:val="0"/>
              <w:snapToGrid w:val="0"/>
              <w:spacing w:before="0" w:beforeAutospacing="0" w:after="0" w:afterAutospacing="0"/>
              <w:jc w:val="center"/>
              <w:rPr>
                <w:rFonts w:hint="eastAsia" w:cs="宋体"/>
                <w:szCs w:val="24"/>
              </w:rPr>
            </w:pPr>
            <w:r>
              <w:rPr>
                <w:rFonts w:hint="eastAsia" w:cs="宋体"/>
                <w:szCs w:val="24"/>
              </w:rPr>
              <w:t>施工</w:t>
            </w:r>
          </w:p>
          <w:p w14:paraId="1699C4C2">
            <w:pPr>
              <w:pStyle w:val="27"/>
              <w:adjustRightInd w:val="0"/>
              <w:snapToGrid w:val="0"/>
              <w:spacing w:before="0" w:beforeAutospacing="0" w:after="0" w:afterAutospacing="0"/>
              <w:jc w:val="center"/>
              <w:rPr>
                <w:rFonts w:hint="eastAsia" w:cs="宋体"/>
                <w:szCs w:val="24"/>
              </w:rPr>
            </w:pPr>
            <w:r>
              <w:rPr>
                <w:rFonts w:hint="eastAsia" w:cs="宋体"/>
                <w:szCs w:val="24"/>
              </w:rPr>
              <w:t>期环</w:t>
            </w:r>
          </w:p>
          <w:p w14:paraId="241E16BA">
            <w:pPr>
              <w:pStyle w:val="27"/>
              <w:adjustRightInd w:val="0"/>
              <w:snapToGrid w:val="0"/>
              <w:spacing w:before="0" w:beforeAutospacing="0" w:after="0" w:afterAutospacing="0"/>
              <w:jc w:val="center"/>
              <w:rPr>
                <w:rFonts w:hint="eastAsia" w:cs="宋体"/>
                <w:szCs w:val="24"/>
              </w:rPr>
            </w:pPr>
            <w:r>
              <w:rPr>
                <w:rFonts w:hint="eastAsia" w:cs="宋体"/>
                <w:szCs w:val="24"/>
              </w:rPr>
              <w:t>境保</w:t>
            </w:r>
          </w:p>
          <w:p w14:paraId="315AA5A7">
            <w:pPr>
              <w:pStyle w:val="27"/>
              <w:adjustRightInd w:val="0"/>
              <w:snapToGrid w:val="0"/>
              <w:spacing w:before="0" w:beforeAutospacing="0" w:after="0" w:afterAutospacing="0"/>
              <w:jc w:val="center"/>
              <w:rPr>
                <w:rFonts w:hint="eastAsia" w:cs="宋体"/>
                <w:szCs w:val="24"/>
              </w:rPr>
            </w:pPr>
            <w:r>
              <w:rPr>
                <w:rFonts w:hint="eastAsia" w:cs="宋体"/>
                <w:szCs w:val="24"/>
              </w:rPr>
              <w:t>护措</w:t>
            </w:r>
          </w:p>
          <w:p w14:paraId="7D91C777">
            <w:pPr>
              <w:pStyle w:val="27"/>
              <w:adjustRightInd w:val="0"/>
              <w:snapToGrid w:val="0"/>
              <w:spacing w:before="0" w:beforeAutospacing="0" w:after="0" w:afterAutospacing="0"/>
              <w:jc w:val="center"/>
              <w:rPr>
                <w:rFonts w:hint="eastAsia" w:cs="宋体"/>
                <w:bCs/>
                <w:szCs w:val="24"/>
              </w:rPr>
            </w:pPr>
            <w:r>
              <w:rPr>
                <w:rFonts w:hint="eastAsia" w:cs="宋体"/>
                <w:szCs w:val="24"/>
              </w:rPr>
              <w:t>施</w:t>
            </w:r>
          </w:p>
        </w:tc>
        <w:tc>
          <w:tcPr>
            <w:tcW w:w="8162" w:type="dxa"/>
            <w:vAlign w:val="center"/>
          </w:tcPr>
          <w:p w14:paraId="5C9E0B3A">
            <w:pPr>
              <w:snapToGrid w:val="0"/>
              <w:spacing w:before="120" w:beforeLines="50" w:line="360" w:lineRule="auto"/>
              <w:ind w:firstLine="482" w:firstLineChars="200"/>
              <w:rPr>
                <w:rFonts w:hint="eastAsia" w:hAnsi="宋体"/>
                <w:b/>
                <w:sz w:val="24"/>
              </w:rPr>
            </w:pPr>
            <w:r>
              <w:rPr>
                <w:rFonts w:hint="eastAsia" w:hAnsi="宋体"/>
                <w:b/>
                <w:sz w:val="24"/>
              </w:rPr>
              <w:t>一、施工期环境影响分析</w:t>
            </w:r>
          </w:p>
          <w:p w14:paraId="36219899">
            <w:pPr>
              <w:snapToGrid w:val="0"/>
              <w:spacing w:line="360" w:lineRule="auto"/>
              <w:ind w:firstLine="480" w:firstLineChars="200"/>
              <w:rPr>
                <w:rFonts w:hint="eastAsia" w:hAnsi="宋体"/>
                <w:bCs/>
                <w:sz w:val="24"/>
              </w:rPr>
            </w:pPr>
            <w:r>
              <w:rPr>
                <w:rFonts w:hint="eastAsia" w:hAnsi="宋体"/>
                <w:bCs/>
                <w:sz w:val="24"/>
              </w:rPr>
              <w:t>项目建设期施工活动主要包括土建施工和设备安装等，施工影响范围主要为厂址及邻近区域。施工过程中产生的污染都是暂时的，随着施工过程的结束，影响也将在短期内消失。施工期环境影响主要从大气环境影响、水环境影响、声环境影响、固体废物环境影响、生态环境影响进行分析。</w:t>
            </w:r>
          </w:p>
          <w:p w14:paraId="41E7E7F8">
            <w:pPr>
              <w:snapToGrid w:val="0"/>
              <w:spacing w:before="120" w:beforeLines="50" w:line="360" w:lineRule="auto"/>
              <w:ind w:firstLine="482" w:firstLineChars="200"/>
              <w:rPr>
                <w:rFonts w:hint="eastAsia" w:hAnsi="宋体"/>
                <w:b/>
                <w:sz w:val="24"/>
              </w:rPr>
            </w:pPr>
            <w:r>
              <w:rPr>
                <w:rFonts w:hint="eastAsia" w:hAnsi="宋体"/>
                <w:b/>
                <w:sz w:val="24"/>
              </w:rPr>
              <w:t>1、施工期大气污染防治措施</w:t>
            </w:r>
          </w:p>
          <w:p w14:paraId="78BAEC62">
            <w:pPr>
              <w:snapToGrid w:val="0"/>
              <w:spacing w:line="360" w:lineRule="auto"/>
              <w:ind w:firstLine="465" w:firstLineChars="194"/>
              <w:rPr>
                <w:rFonts w:hint="eastAsia" w:hAnsi="宋体"/>
                <w:sz w:val="24"/>
              </w:rPr>
            </w:pPr>
            <w:r>
              <w:rPr>
                <w:rFonts w:hint="eastAsia" w:hAnsi="宋体"/>
                <w:sz w:val="24"/>
              </w:rPr>
              <w:t>施工过程中产生的主要大气污染源是扬尘以及施工机械、运输车辆废气。</w:t>
            </w:r>
          </w:p>
          <w:p w14:paraId="360B5CE5">
            <w:pPr>
              <w:snapToGrid w:val="0"/>
              <w:spacing w:line="360" w:lineRule="auto"/>
              <w:ind w:firstLine="465" w:firstLineChars="194"/>
              <w:rPr>
                <w:rFonts w:hint="eastAsia" w:hAnsi="宋体"/>
                <w:sz w:val="24"/>
              </w:rPr>
            </w:pPr>
            <w:r>
              <w:rPr>
                <w:rFonts w:hAnsi="宋体"/>
                <w:sz w:val="24"/>
              </w:rPr>
              <w:t>（1）施工期粉尘防治措施分析</w:t>
            </w:r>
          </w:p>
          <w:p w14:paraId="6CF7893E">
            <w:pPr>
              <w:snapToGrid w:val="0"/>
              <w:spacing w:line="360" w:lineRule="auto"/>
              <w:ind w:firstLine="465" w:firstLineChars="194"/>
              <w:rPr>
                <w:rFonts w:hint="eastAsia" w:hAnsi="宋体"/>
                <w:sz w:val="24"/>
              </w:rPr>
            </w:pPr>
            <w:r>
              <w:rPr>
                <w:rFonts w:hAnsi="宋体"/>
                <w:sz w:val="24"/>
              </w:rPr>
              <w:t>施工场地四周设置围栏，当起风时，可使影响距离缩短；基础开挖等过程，应洒水使作业面保持一定的湿度；对施工场地内松散、干涸的表土，经常洒水防止扬尘；施工单位必须加强施工区域的管理，建筑材料的堆场应定点定位，不宜设在居住区的上风向，根据风速，采取相应的防尘措施，对散料堆场采用水喷淋防尘，或用蓬布遮盖散料堆</w:t>
            </w:r>
            <w:r>
              <w:rPr>
                <w:rFonts w:hint="eastAsia" w:hAnsi="宋体"/>
                <w:sz w:val="24"/>
              </w:rPr>
              <w:t>。</w:t>
            </w:r>
          </w:p>
          <w:p w14:paraId="6F58F75F">
            <w:pPr>
              <w:snapToGrid w:val="0"/>
              <w:spacing w:line="360" w:lineRule="auto"/>
              <w:ind w:firstLine="465" w:firstLineChars="194"/>
              <w:rPr>
                <w:rFonts w:hint="eastAsia" w:hAnsi="宋体"/>
                <w:sz w:val="24"/>
              </w:rPr>
            </w:pPr>
            <w:r>
              <w:rPr>
                <w:rFonts w:hAnsi="宋体"/>
                <w:sz w:val="24"/>
              </w:rPr>
              <w:t>（2）施工机械及车辆废气防治措施分析</w:t>
            </w:r>
          </w:p>
          <w:p w14:paraId="4316EE6C">
            <w:pPr>
              <w:snapToGrid w:val="0"/>
              <w:spacing w:line="360" w:lineRule="auto"/>
              <w:ind w:firstLine="465" w:firstLineChars="194"/>
              <w:rPr>
                <w:sz w:val="24"/>
              </w:rPr>
            </w:pPr>
            <w:r>
              <w:rPr>
                <w:rFonts w:hAnsi="宋体"/>
                <w:sz w:val="24"/>
              </w:rPr>
              <w:t>加强对施工机械及车辆的检修和维护，严禁使用超期服役和尾气超标的施工机械及车辆。对施工期间进出施工现场车流量进行合理安排，防止施工现场车流量过大。尽可能使用耗油低，排气小的施工车辆，选用优质燃油，减少机械和车辆的有害废气排放。</w:t>
            </w:r>
          </w:p>
          <w:p w14:paraId="61C58943">
            <w:pPr>
              <w:snapToGrid w:val="0"/>
              <w:spacing w:before="120" w:beforeLines="50" w:line="360" w:lineRule="auto"/>
              <w:ind w:firstLine="482" w:firstLineChars="200"/>
              <w:rPr>
                <w:rFonts w:hint="eastAsia" w:hAnsi="宋体"/>
                <w:b/>
                <w:sz w:val="24"/>
              </w:rPr>
            </w:pPr>
            <w:r>
              <w:rPr>
                <w:rFonts w:hAnsi="宋体"/>
                <w:b/>
                <w:sz w:val="24"/>
              </w:rPr>
              <w:t>2、</w:t>
            </w:r>
            <w:r>
              <w:rPr>
                <w:rFonts w:hint="eastAsia" w:hAnsi="宋体"/>
                <w:b/>
                <w:sz w:val="24"/>
              </w:rPr>
              <w:t>施工期</w:t>
            </w:r>
            <w:r>
              <w:rPr>
                <w:rFonts w:hAnsi="宋体"/>
                <w:b/>
                <w:sz w:val="24"/>
              </w:rPr>
              <w:t>水</w:t>
            </w:r>
            <w:r>
              <w:rPr>
                <w:rFonts w:hint="eastAsia" w:hAnsi="宋体"/>
                <w:b/>
                <w:sz w:val="24"/>
              </w:rPr>
              <w:t>污染</w:t>
            </w:r>
            <w:r>
              <w:rPr>
                <w:rFonts w:hAnsi="宋体"/>
                <w:b/>
                <w:sz w:val="24"/>
              </w:rPr>
              <w:t>防治措施</w:t>
            </w:r>
          </w:p>
          <w:p w14:paraId="722FBBFC">
            <w:pPr>
              <w:snapToGrid w:val="0"/>
              <w:spacing w:line="360" w:lineRule="auto"/>
              <w:ind w:firstLine="480" w:firstLineChars="200"/>
              <w:rPr>
                <w:rFonts w:hint="eastAsia" w:hAnsi="宋体"/>
                <w:sz w:val="24"/>
              </w:rPr>
            </w:pPr>
            <w:r>
              <w:rPr>
                <w:rFonts w:hAnsi="宋体"/>
                <w:sz w:val="24"/>
              </w:rPr>
              <w:t>场地设沉淀池，将场地施工废水收集沉淀处理后全部回用于砂石骨料加工、周围区域道路降尘用水，禁止排入地表水体系内污染水体。对施工流动机械的冲洗设固定场所，冲洗水进入沉淀池处理后全部回用于周围区域绿化及道路降尘用水，禁止排入地表水体系内污染水体。施工过程中产生的生活污水</w:t>
            </w:r>
            <w:r>
              <w:rPr>
                <w:rFonts w:hint="eastAsia" w:hAnsi="宋体"/>
                <w:sz w:val="24"/>
              </w:rPr>
              <w:t>排入工业场地生活污水处理站中，</w:t>
            </w:r>
            <w:r>
              <w:rPr>
                <w:rFonts w:hint="eastAsia" w:hAnsi="宋体"/>
                <w:bCs/>
                <w:sz w:val="24"/>
              </w:rPr>
              <w:t>由工业场地生活污水处理站处理后回用</w:t>
            </w:r>
            <w:r>
              <w:rPr>
                <w:rFonts w:hAnsi="宋体"/>
                <w:sz w:val="24"/>
              </w:rPr>
              <w:t>。施工单位对施工场地用水应严格管理，贯彻“一水多用、重复利用、节约用水”的原则，尽量减少废水的排放量，减轻废水排放对周围环境的影响。</w:t>
            </w:r>
          </w:p>
          <w:p w14:paraId="2C4B9AEC">
            <w:pPr>
              <w:spacing w:line="360" w:lineRule="auto"/>
              <w:ind w:firstLine="482" w:firstLineChars="200"/>
              <w:rPr>
                <w:rFonts w:hint="eastAsia" w:hAnsi="宋体"/>
                <w:b/>
                <w:sz w:val="24"/>
              </w:rPr>
            </w:pPr>
            <w:r>
              <w:rPr>
                <w:b/>
                <w:sz w:val="24"/>
              </w:rPr>
              <w:t>3</w:t>
            </w:r>
            <w:r>
              <w:rPr>
                <w:rFonts w:hAnsi="宋体"/>
                <w:b/>
                <w:sz w:val="24"/>
              </w:rPr>
              <w:t>、</w:t>
            </w:r>
            <w:r>
              <w:rPr>
                <w:rFonts w:hint="eastAsia" w:hAnsi="宋体"/>
                <w:b/>
                <w:sz w:val="24"/>
              </w:rPr>
              <w:t>施工期</w:t>
            </w:r>
            <w:r>
              <w:rPr>
                <w:rFonts w:hAnsi="宋体"/>
                <w:b/>
                <w:sz w:val="24"/>
              </w:rPr>
              <w:t>噪声</w:t>
            </w:r>
            <w:r>
              <w:rPr>
                <w:rFonts w:hint="eastAsia" w:hAnsi="宋体"/>
                <w:b/>
                <w:sz w:val="24"/>
              </w:rPr>
              <w:t>污染</w:t>
            </w:r>
            <w:r>
              <w:rPr>
                <w:rFonts w:hAnsi="宋体"/>
                <w:b/>
                <w:sz w:val="24"/>
              </w:rPr>
              <w:t>防治措施</w:t>
            </w:r>
          </w:p>
          <w:p w14:paraId="6B832A9F">
            <w:pPr>
              <w:snapToGrid w:val="0"/>
              <w:spacing w:line="360" w:lineRule="auto"/>
              <w:ind w:firstLine="465" w:firstLineChars="194"/>
              <w:rPr>
                <w:rFonts w:hint="eastAsia" w:hAnsi="宋体"/>
                <w:sz w:val="24"/>
              </w:rPr>
            </w:pPr>
            <w:r>
              <w:rPr>
                <w:rFonts w:hint="eastAsia" w:hAnsi="宋体"/>
                <w:sz w:val="24"/>
              </w:rPr>
              <w:t>合理布置施工场地；选用机械噪声较低的设备，减少高噪声设备的使用；严格操作规程，加强施工机械管理，规范建筑物料、土石方清运车辆进出工地高速行驶、鸣笛等，降低人为噪声影响；对位置相对固定的施工机械，如切割机、电锯等，将其设置在专门的工棚内，同时选用低噪声设备，并采取一定的吸音、隔声、降噪措施，控制施工机械噪声符合《建筑施工场界环境噪声排放标准》（</w:t>
            </w:r>
            <w:r>
              <w:rPr>
                <w:rFonts w:hAnsi="宋体"/>
                <w:sz w:val="24"/>
              </w:rPr>
              <w:t>GB 12523-2011</w:t>
            </w:r>
            <w:r>
              <w:rPr>
                <w:rFonts w:hint="eastAsia" w:hAnsi="宋体"/>
                <w:sz w:val="24"/>
              </w:rPr>
              <w:t>），做到施工场界噪声达标排放。</w:t>
            </w:r>
          </w:p>
          <w:p w14:paraId="2206FC44">
            <w:pPr>
              <w:tabs>
                <w:tab w:val="left" w:pos="0"/>
              </w:tabs>
              <w:spacing w:before="120" w:beforeLines="50" w:line="360" w:lineRule="auto"/>
              <w:ind w:firstLine="482" w:firstLineChars="200"/>
              <w:rPr>
                <w:b/>
                <w:sz w:val="24"/>
              </w:rPr>
            </w:pPr>
            <w:r>
              <w:rPr>
                <w:b/>
                <w:sz w:val="24"/>
              </w:rPr>
              <w:t>4</w:t>
            </w:r>
            <w:r>
              <w:rPr>
                <w:rFonts w:hint="eastAsia"/>
                <w:b/>
                <w:sz w:val="24"/>
              </w:rPr>
              <w:t>、</w:t>
            </w:r>
            <w:r>
              <w:rPr>
                <w:rFonts w:hint="eastAsia" w:hAnsi="宋体"/>
                <w:b/>
                <w:sz w:val="24"/>
              </w:rPr>
              <w:t>施工期</w:t>
            </w:r>
            <w:r>
              <w:rPr>
                <w:rFonts w:hint="eastAsia"/>
                <w:b/>
                <w:sz w:val="24"/>
              </w:rPr>
              <w:t>固体废物环境影响分析</w:t>
            </w:r>
          </w:p>
          <w:p w14:paraId="010882C4">
            <w:pPr>
              <w:snapToGrid w:val="0"/>
              <w:spacing w:line="360" w:lineRule="auto"/>
              <w:ind w:firstLine="465" w:firstLineChars="194"/>
              <w:rPr>
                <w:rFonts w:hint="eastAsia" w:hAnsi="宋体"/>
                <w:sz w:val="24"/>
              </w:rPr>
            </w:pPr>
            <w:r>
              <w:rPr>
                <w:rFonts w:hint="eastAsia" w:hAnsi="宋体"/>
                <w:sz w:val="24"/>
              </w:rPr>
              <w:t>施工期的固体废弃物主要包括建筑垃圾和生活垃圾。主要处理措施：地基处理、开挖产生土石方及其他建筑垃圾，包装袋、包装箱、碎木块、废水泥等，首先对其中可回收利用部分进行回收，施工过程中产生的弃土用于回填、铺路、绿化等。建设单位在施工生活区设置垃圾箱（桶），生活垃圾固定地点堆放，分类收集，定期由当地环卫部门运往指定垃圾场进行卫生填埋处理。施工期建筑垃圾与生活垃圾分类收集、分别处置。</w:t>
            </w:r>
          </w:p>
          <w:p w14:paraId="3E8D464F">
            <w:pPr>
              <w:tabs>
                <w:tab w:val="left" w:pos="0"/>
              </w:tabs>
              <w:spacing w:before="120" w:beforeLines="50" w:line="360" w:lineRule="auto"/>
              <w:ind w:firstLine="482" w:firstLineChars="200"/>
              <w:rPr>
                <w:b/>
                <w:sz w:val="24"/>
              </w:rPr>
            </w:pPr>
            <w:r>
              <w:rPr>
                <w:rFonts w:hint="eastAsia"/>
                <w:b/>
                <w:sz w:val="24"/>
              </w:rPr>
              <w:t>5、</w:t>
            </w:r>
            <w:r>
              <w:rPr>
                <w:rFonts w:hint="eastAsia" w:hAnsi="宋体"/>
                <w:b/>
                <w:sz w:val="24"/>
              </w:rPr>
              <w:t>施工期</w:t>
            </w:r>
            <w:r>
              <w:rPr>
                <w:rFonts w:hint="eastAsia"/>
                <w:b/>
                <w:sz w:val="24"/>
              </w:rPr>
              <w:t>生态防护措施</w:t>
            </w:r>
          </w:p>
          <w:p w14:paraId="4CCF2BE0">
            <w:pPr>
              <w:autoSpaceDE w:val="0"/>
              <w:autoSpaceDN w:val="0"/>
              <w:adjustRightInd w:val="0"/>
              <w:spacing w:line="360" w:lineRule="auto"/>
              <w:ind w:firstLine="480" w:firstLineChars="200"/>
              <w:rPr>
                <w:sz w:val="24"/>
              </w:rPr>
            </w:pPr>
            <w:r>
              <w:rPr>
                <w:sz w:val="24"/>
              </w:rPr>
              <w:t>应采取如下措施减小对植被的破坏：</w:t>
            </w:r>
          </w:p>
          <w:p w14:paraId="42D31A40">
            <w:pPr>
              <w:autoSpaceDE w:val="0"/>
              <w:autoSpaceDN w:val="0"/>
              <w:adjustRightInd w:val="0"/>
              <w:spacing w:line="360" w:lineRule="auto"/>
              <w:ind w:firstLine="480" w:firstLineChars="200"/>
              <w:rPr>
                <w:sz w:val="24"/>
              </w:rPr>
            </w:pPr>
            <w:r>
              <w:rPr>
                <w:rFonts w:hint="eastAsia"/>
                <w:sz w:val="24"/>
              </w:rPr>
              <w:t>①</w:t>
            </w:r>
            <w:r>
              <w:rPr>
                <w:sz w:val="24"/>
              </w:rPr>
              <w:t>合理选择施工时间，避开雨季和大风天气。</w:t>
            </w:r>
          </w:p>
          <w:p w14:paraId="37A2D5FA">
            <w:pPr>
              <w:autoSpaceDE w:val="0"/>
              <w:autoSpaceDN w:val="0"/>
              <w:adjustRightInd w:val="0"/>
              <w:spacing w:line="360" w:lineRule="auto"/>
              <w:ind w:firstLine="480" w:firstLineChars="200"/>
              <w:rPr>
                <w:sz w:val="24"/>
              </w:rPr>
            </w:pPr>
            <w:r>
              <w:rPr>
                <w:rFonts w:hint="eastAsia"/>
                <w:sz w:val="24"/>
              </w:rPr>
              <w:t>②</w:t>
            </w:r>
            <w:r>
              <w:rPr>
                <w:sz w:val="24"/>
              </w:rPr>
              <w:t>项目组应该制定详细的施工方案，项目施工负责人应做好施工队伍的思想教育工作，规范操作。</w:t>
            </w:r>
          </w:p>
          <w:p w14:paraId="7CF7B1A8">
            <w:pPr>
              <w:autoSpaceDE w:val="0"/>
              <w:autoSpaceDN w:val="0"/>
              <w:adjustRightInd w:val="0"/>
              <w:spacing w:line="360" w:lineRule="auto"/>
              <w:ind w:firstLine="480" w:firstLineChars="200"/>
              <w:rPr>
                <w:sz w:val="24"/>
              </w:rPr>
            </w:pPr>
            <w:r>
              <w:rPr>
                <w:rFonts w:hint="eastAsia"/>
                <w:sz w:val="24"/>
              </w:rPr>
              <w:t>③</w:t>
            </w:r>
            <w:r>
              <w:rPr>
                <w:sz w:val="24"/>
              </w:rPr>
              <w:t>采用不同的施工方案，尽量缩短施工时间；</w:t>
            </w:r>
          </w:p>
          <w:p w14:paraId="45677211">
            <w:pPr>
              <w:autoSpaceDE w:val="0"/>
              <w:autoSpaceDN w:val="0"/>
              <w:adjustRightInd w:val="0"/>
              <w:spacing w:line="360" w:lineRule="auto"/>
              <w:ind w:firstLine="480" w:firstLineChars="200"/>
              <w:rPr>
                <w:sz w:val="24"/>
              </w:rPr>
            </w:pPr>
            <w:r>
              <w:rPr>
                <w:rFonts w:hint="eastAsia"/>
                <w:sz w:val="24"/>
              </w:rPr>
              <w:t>④</w:t>
            </w:r>
            <w:r>
              <w:rPr>
                <w:bCs/>
                <w:sz w:val="24"/>
              </w:rPr>
              <w:t>在施工过程中应严格控制施工作业</w:t>
            </w:r>
            <w:r>
              <w:rPr>
                <w:rFonts w:hint="eastAsia"/>
                <w:bCs/>
                <w:sz w:val="24"/>
              </w:rPr>
              <w:t>范围</w:t>
            </w:r>
            <w:r>
              <w:rPr>
                <w:sz w:val="24"/>
              </w:rPr>
              <w:t>。</w:t>
            </w:r>
          </w:p>
          <w:p w14:paraId="2C8FCFB7">
            <w:pPr>
              <w:autoSpaceDE w:val="0"/>
              <w:autoSpaceDN w:val="0"/>
              <w:adjustRightInd w:val="0"/>
              <w:spacing w:line="360" w:lineRule="auto"/>
              <w:ind w:firstLine="480" w:firstLineChars="200"/>
              <w:rPr>
                <w:sz w:val="24"/>
              </w:rPr>
            </w:pPr>
            <w:r>
              <w:rPr>
                <w:rFonts w:hint="eastAsia"/>
                <w:sz w:val="24"/>
              </w:rPr>
              <w:t>⑤施工结束后，不得有裸露地面，均应采取硬化或绿化措施。</w:t>
            </w:r>
          </w:p>
          <w:p w14:paraId="24207BA5">
            <w:pPr>
              <w:autoSpaceDE w:val="0"/>
              <w:autoSpaceDN w:val="0"/>
              <w:adjustRightInd w:val="0"/>
              <w:spacing w:line="360" w:lineRule="auto"/>
              <w:ind w:firstLine="480" w:firstLineChars="200"/>
              <w:rPr>
                <w:sz w:val="24"/>
              </w:rPr>
            </w:pPr>
            <w:r>
              <w:rPr>
                <w:sz w:val="24"/>
              </w:rPr>
              <w:t>采取以上措施后，可很大程度上降低对植被的破坏</w:t>
            </w:r>
            <w:r>
              <w:rPr>
                <w:rFonts w:hint="eastAsia"/>
                <w:sz w:val="24"/>
              </w:rPr>
              <w:t>，</w:t>
            </w:r>
            <w:r>
              <w:rPr>
                <w:sz w:val="24"/>
              </w:rPr>
              <w:t>对生态环境影响不大。</w:t>
            </w:r>
          </w:p>
        </w:tc>
      </w:tr>
    </w:tbl>
    <w:p w14:paraId="259A2ADE">
      <w:pPr>
        <w:adjustRightInd w:val="0"/>
        <w:snapToGrid w:val="0"/>
        <w:jc w:val="center"/>
        <w:rPr>
          <w:rFonts w:hint="eastAsia" w:ascii="宋体" w:hAnsi="宋体" w:cs="宋体"/>
          <w:bCs/>
          <w:sz w:val="24"/>
        </w:rPr>
        <w:sectPr>
          <w:pgSz w:w="11907" w:h="16840"/>
          <w:pgMar w:top="1701" w:right="1531" w:bottom="2127" w:left="1531" w:header="851" w:footer="851" w:gutter="0"/>
          <w:cols w:space="720" w:num="1"/>
          <w:docGrid w:linePitch="312" w:charSpace="0"/>
        </w:sectPr>
      </w:pPr>
    </w:p>
    <w:p w14:paraId="266B607D">
      <w:pPr>
        <w:widowControl/>
        <w:jc w:val="left"/>
      </w:pPr>
    </w:p>
    <w:p w14:paraId="00616D16"/>
    <w:tbl>
      <w:tblPr>
        <w:tblStyle w:val="31"/>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708"/>
        <w:gridCol w:w="8273"/>
      </w:tblGrid>
      <w:tr w14:paraId="161DD89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394" w:type="pct"/>
            <w:tcMar>
              <w:left w:w="28" w:type="dxa"/>
              <w:right w:w="28" w:type="dxa"/>
            </w:tcMar>
            <w:vAlign w:val="center"/>
          </w:tcPr>
          <w:p w14:paraId="34A29805">
            <w:pPr>
              <w:adjustRightInd w:val="0"/>
              <w:snapToGrid w:val="0"/>
              <w:jc w:val="center"/>
              <w:rPr>
                <w:rFonts w:hint="eastAsia" w:ascii="宋体" w:hAnsi="宋体" w:cs="宋体"/>
                <w:bCs/>
                <w:sz w:val="24"/>
              </w:rPr>
            </w:pPr>
            <w:r>
              <w:br w:type="page"/>
            </w:r>
            <w:r>
              <w:rPr>
                <w:rFonts w:hint="eastAsia" w:ascii="宋体" w:hAnsi="宋体" w:cs="宋体"/>
                <w:bCs/>
                <w:sz w:val="24"/>
              </w:rPr>
              <w:t>运营</w:t>
            </w:r>
          </w:p>
          <w:p w14:paraId="5CAEC60B">
            <w:pPr>
              <w:adjustRightInd w:val="0"/>
              <w:snapToGrid w:val="0"/>
              <w:jc w:val="center"/>
              <w:rPr>
                <w:rFonts w:hint="eastAsia" w:ascii="宋体" w:hAnsi="宋体" w:cs="宋体"/>
                <w:bCs/>
                <w:sz w:val="24"/>
              </w:rPr>
            </w:pPr>
            <w:r>
              <w:rPr>
                <w:rFonts w:hint="eastAsia" w:ascii="宋体" w:hAnsi="宋体" w:cs="宋体"/>
                <w:bCs/>
                <w:sz w:val="24"/>
              </w:rPr>
              <w:t>期环</w:t>
            </w:r>
          </w:p>
          <w:p w14:paraId="37F06E23">
            <w:pPr>
              <w:adjustRightInd w:val="0"/>
              <w:snapToGrid w:val="0"/>
              <w:jc w:val="center"/>
              <w:rPr>
                <w:rFonts w:hint="eastAsia" w:ascii="宋体" w:hAnsi="宋体" w:cs="宋体"/>
                <w:bCs/>
                <w:sz w:val="24"/>
              </w:rPr>
            </w:pPr>
            <w:r>
              <w:rPr>
                <w:rFonts w:hint="eastAsia" w:ascii="宋体" w:hAnsi="宋体" w:cs="宋体"/>
                <w:bCs/>
                <w:sz w:val="24"/>
              </w:rPr>
              <w:t>境影</w:t>
            </w:r>
          </w:p>
          <w:p w14:paraId="1DBDFBE6">
            <w:pPr>
              <w:adjustRightInd w:val="0"/>
              <w:snapToGrid w:val="0"/>
              <w:jc w:val="center"/>
              <w:rPr>
                <w:rFonts w:hint="eastAsia" w:ascii="宋体" w:hAnsi="宋体" w:cs="宋体"/>
                <w:bCs/>
                <w:sz w:val="24"/>
              </w:rPr>
            </w:pPr>
            <w:r>
              <w:rPr>
                <w:rFonts w:hint="eastAsia" w:ascii="宋体" w:hAnsi="宋体" w:cs="宋体"/>
                <w:bCs/>
                <w:sz w:val="24"/>
              </w:rPr>
              <w:t>响和</w:t>
            </w:r>
          </w:p>
          <w:p w14:paraId="1C756F76">
            <w:pPr>
              <w:adjustRightInd w:val="0"/>
              <w:snapToGrid w:val="0"/>
              <w:jc w:val="center"/>
              <w:rPr>
                <w:rFonts w:hint="eastAsia" w:ascii="宋体" w:hAnsi="宋体" w:cs="宋体"/>
                <w:bCs/>
                <w:sz w:val="24"/>
              </w:rPr>
            </w:pPr>
            <w:r>
              <w:rPr>
                <w:rFonts w:hint="eastAsia" w:ascii="宋体" w:hAnsi="宋体" w:cs="宋体"/>
                <w:bCs/>
                <w:sz w:val="24"/>
              </w:rPr>
              <w:t>保护</w:t>
            </w:r>
          </w:p>
          <w:p w14:paraId="6041D197">
            <w:pPr>
              <w:adjustRightInd w:val="0"/>
              <w:snapToGrid w:val="0"/>
              <w:jc w:val="center"/>
              <w:rPr>
                <w:rFonts w:hint="eastAsia" w:ascii="宋体" w:hAnsi="宋体" w:cs="宋体"/>
                <w:bCs/>
                <w:sz w:val="24"/>
              </w:rPr>
            </w:pPr>
            <w:r>
              <w:rPr>
                <w:rFonts w:hint="eastAsia" w:ascii="宋体" w:hAnsi="宋体" w:cs="宋体"/>
                <w:bCs/>
                <w:sz w:val="24"/>
              </w:rPr>
              <w:t>措施</w:t>
            </w:r>
          </w:p>
        </w:tc>
        <w:tc>
          <w:tcPr>
            <w:tcW w:w="4606" w:type="pct"/>
            <w:vAlign w:val="center"/>
          </w:tcPr>
          <w:p w14:paraId="581271E2">
            <w:pPr>
              <w:snapToGrid w:val="0"/>
              <w:spacing w:before="120" w:beforeLines="50" w:line="360" w:lineRule="auto"/>
              <w:ind w:firstLine="482" w:firstLineChars="200"/>
              <w:rPr>
                <w:b/>
                <w:sz w:val="24"/>
              </w:rPr>
            </w:pPr>
            <w:r>
              <w:rPr>
                <w:rFonts w:hint="eastAsia"/>
                <w:b/>
                <w:sz w:val="24"/>
              </w:rPr>
              <w:t>二、</w:t>
            </w:r>
            <w:r>
              <w:rPr>
                <w:b/>
                <w:sz w:val="24"/>
              </w:rPr>
              <w:t>运营期环境影响分析</w:t>
            </w:r>
          </w:p>
          <w:p w14:paraId="000CA2C4">
            <w:pPr>
              <w:adjustRightInd w:val="0"/>
              <w:snapToGrid w:val="0"/>
              <w:spacing w:before="120" w:beforeLines="50" w:line="360" w:lineRule="auto"/>
              <w:ind w:firstLine="482" w:firstLineChars="200"/>
              <w:rPr>
                <w:b/>
                <w:sz w:val="24"/>
              </w:rPr>
            </w:pPr>
            <w:r>
              <w:rPr>
                <w:b/>
                <w:sz w:val="24"/>
              </w:rPr>
              <w:t>1、大气环境影响分析</w:t>
            </w:r>
          </w:p>
          <w:p w14:paraId="7FCCEDA6">
            <w:pPr>
              <w:adjustRightInd w:val="0"/>
              <w:snapToGrid w:val="0"/>
              <w:spacing w:line="360" w:lineRule="auto"/>
              <w:ind w:firstLine="480" w:firstLineChars="200"/>
              <w:rPr>
                <w:bCs/>
                <w:sz w:val="24"/>
              </w:rPr>
            </w:pPr>
            <w:r>
              <w:rPr>
                <w:rFonts w:hint="eastAsia"/>
                <w:bCs/>
                <w:sz w:val="24"/>
              </w:rPr>
              <w:t>本项目废气主要为锅炉烟气、煤仓、渣仓无组织废气，污染物主要为二氧化硫、氮氧化物、颗粒物、氨逃逸。</w:t>
            </w:r>
          </w:p>
          <w:p w14:paraId="73C5FF33">
            <w:pPr>
              <w:tabs>
                <w:tab w:val="left" w:pos="0"/>
              </w:tabs>
              <w:adjustRightInd w:val="0"/>
              <w:snapToGrid w:val="0"/>
              <w:spacing w:before="120" w:beforeLines="50" w:line="360" w:lineRule="auto"/>
              <w:ind w:firstLine="482" w:firstLineChars="200"/>
              <w:rPr>
                <w:b/>
                <w:sz w:val="24"/>
              </w:rPr>
            </w:pPr>
            <w:r>
              <w:rPr>
                <w:rFonts w:hint="eastAsia"/>
                <w:b/>
                <w:sz w:val="24"/>
              </w:rPr>
              <w:t>（1）大气污染源源强核算</w:t>
            </w:r>
          </w:p>
          <w:p w14:paraId="0DDC45C9">
            <w:pPr>
              <w:adjustRightInd w:val="0"/>
              <w:snapToGrid w:val="0"/>
              <w:spacing w:line="360" w:lineRule="auto"/>
              <w:ind w:firstLine="482" w:firstLineChars="200"/>
              <w:rPr>
                <w:b/>
                <w:sz w:val="24"/>
              </w:rPr>
            </w:pPr>
            <w:r>
              <w:rPr>
                <w:b/>
                <w:sz w:val="24"/>
              </w:rPr>
              <w:t>1）</w:t>
            </w:r>
            <w:r>
              <w:rPr>
                <w:rFonts w:hint="eastAsia"/>
                <w:b/>
                <w:bCs/>
                <w:sz w:val="24"/>
              </w:rPr>
              <w:t>锅炉烟气</w:t>
            </w:r>
          </w:p>
          <w:p w14:paraId="32995261">
            <w:pPr>
              <w:adjustRightInd w:val="0"/>
              <w:snapToGrid w:val="0"/>
              <w:spacing w:line="360" w:lineRule="auto"/>
              <w:ind w:firstLine="480" w:firstLineChars="200"/>
              <w:rPr>
                <w:bCs/>
                <w:sz w:val="24"/>
              </w:rPr>
            </w:pPr>
            <w:r>
              <w:rPr>
                <w:bCs/>
                <w:sz w:val="24"/>
              </w:rPr>
              <w:t>A、锅炉烟气排放量核算</w:t>
            </w:r>
          </w:p>
          <w:p w14:paraId="3EFA1F11">
            <w:pPr>
              <w:adjustRightInd w:val="0"/>
              <w:snapToGrid w:val="0"/>
              <w:spacing w:line="360" w:lineRule="auto"/>
              <w:ind w:firstLine="480" w:firstLineChars="200"/>
              <w:rPr>
                <w:bCs/>
                <w:sz w:val="24"/>
              </w:rPr>
            </w:pPr>
            <w:r>
              <w:rPr>
                <w:bCs/>
                <w:sz w:val="24"/>
              </w:rPr>
              <w:t>锅炉的湿烟气排放量Vs（m</w:t>
            </w:r>
            <w:r>
              <w:rPr>
                <w:rFonts w:hint="eastAsia"/>
                <w:bCs/>
                <w:sz w:val="24"/>
                <w:vertAlign w:val="superscript"/>
              </w:rPr>
              <w:t>3</w:t>
            </w:r>
            <w:r>
              <w:rPr>
                <w:bCs/>
                <w:sz w:val="24"/>
              </w:rPr>
              <w:t>/kg）</w:t>
            </w:r>
          </w:p>
          <w:p w14:paraId="1C86A220">
            <w:pPr>
              <w:adjustRightInd w:val="0"/>
              <w:snapToGrid w:val="0"/>
              <w:spacing w:line="360" w:lineRule="auto"/>
              <w:jc w:val="center"/>
              <w:rPr>
                <w:bCs/>
                <w:sz w:val="24"/>
              </w:rPr>
            </w:pPr>
            <w:r>
              <w:rPr>
                <w:bCs/>
                <w:sz w:val="24"/>
              </w:rPr>
              <w:drawing>
                <wp:inline distT="0" distB="0" distL="0" distR="0">
                  <wp:extent cx="3486150" cy="981075"/>
                  <wp:effectExtent l="0" t="0" r="0" b="9525"/>
                  <wp:docPr id="2136091673"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091673" name="图片 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3486150" cy="981075"/>
                          </a:xfrm>
                          <a:prstGeom prst="rect">
                            <a:avLst/>
                          </a:prstGeom>
                          <a:noFill/>
                          <a:ln>
                            <a:noFill/>
                          </a:ln>
                        </pic:spPr>
                      </pic:pic>
                    </a:graphicData>
                  </a:graphic>
                </wp:inline>
              </w:drawing>
            </w:r>
          </w:p>
          <w:p w14:paraId="74065C05">
            <w:pPr>
              <w:adjustRightInd w:val="0"/>
              <w:snapToGrid w:val="0"/>
              <w:spacing w:line="360" w:lineRule="auto"/>
              <w:ind w:firstLine="480" w:firstLineChars="200"/>
              <w:rPr>
                <w:bCs/>
                <w:sz w:val="24"/>
              </w:rPr>
            </w:pPr>
            <w:r>
              <w:rPr>
                <w:bCs/>
                <w:sz w:val="24"/>
              </w:rPr>
              <w:t>式中：V</w:t>
            </w:r>
            <w:r>
              <w:rPr>
                <w:bCs/>
                <w:sz w:val="24"/>
                <w:vertAlign w:val="subscript"/>
              </w:rPr>
              <w:t>daf</w:t>
            </w:r>
            <w:r>
              <w:rPr>
                <w:bCs/>
                <w:sz w:val="24"/>
              </w:rPr>
              <w:t>——干燥无灰基挥发分质量分数，%</w:t>
            </w:r>
            <w:r>
              <w:rPr>
                <w:rFonts w:hint="eastAsia"/>
                <w:bCs/>
                <w:sz w:val="24"/>
              </w:rPr>
              <w:t>，根据煤质分析为35.82%</w:t>
            </w:r>
            <w:r>
              <w:rPr>
                <w:bCs/>
                <w:sz w:val="24"/>
              </w:rPr>
              <w:t>；</w:t>
            </w:r>
          </w:p>
          <w:p w14:paraId="33052713">
            <w:pPr>
              <w:adjustRightInd w:val="0"/>
              <w:snapToGrid w:val="0"/>
              <w:spacing w:line="360" w:lineRule="auto"/>
              <w:ind w:firstLine="480" w:firstLineChars="200"/>
              <w:rPr>
                <w:bCs/>
                <w:sz w:val="24"/>
              </w:rPr>
            </w:pPr>
            <w:r>
              <w:rPr>
                <w:bCs/>
                <w:sz w:val="24"/>
              </w:rPr>
              <w:t>V</w:t>
            </w:r>
            <w:r>
              <w:rPr>
                <w:bCs/>
                <w:sz w:val="24"/>
                <w:vertAlign w:val="subscript"/>
              </w:rPr>
              <w:t>0</w:t>
            </w:r>
            <w:r>
              <w:rPr>
                <w:bCs/>
                <w:sz w:val="24"/>
              </w:rPr>
              <w:t>——理论空气量，m</w:t>
            </w:r>
            <w:r>
              <w:rPr>
                <w:rFonts w:hint="eastAsia"/>
                <w:bCs/>
                <w:sz w:val="24"/>
                <w:vertAlign w:val="superscript"/>
              </w:rPr>
              <w:t>3</w:t>
            </w:r>
            <w:r>
              <w:rPr>
                <w:bCs/>
                <w:sz w:val="24"/>
              </w:rPr>
              <w:t>/kg</w:t>
            </w:r>
            <w:r>
              <w:rPr>
                <w:rFonts w:hint="eastAsia"/>
                <w:bCs/>
                <w:sz w:val="24"/>
              </w:rPr>
              <w:t>，根据计算为5.395</w:t>
            </w:r>
            <w:r>
              <w:rPr>
                <w:bCs/>
                <w:sz w:val="24"/>
              </w:rPr>
              <w:t xml:space="preserve"> m</w:t>
            </w:r>
            <w:r>
              <w:rPr>
                <w:rFonts w:hint="eastAsia"/>
                <w:bCs/>
                <w:sz w:val="24"/>
                <w:vertAlign w:val="superscript"/>
              </w:rPr>
              <w:t>3</w:t>
            </w:r>
            <w:r>
              <w:rPr>
                <w:bCs/>
                <w:sz w:val="24"/>
              </w:rPr>
              <w:t>/kg；</w:t>
            </w:r>
          </w:p>
          <w:p w14:paraId="67B8D619">
            <w:pPr>
              <w:adjustRightInd w:val="0"/>
              <w:snapToGrid w:val="0"/>
              <w:spacing w:line="360" w:lineRule="auto"/>
              <w:ind w:firstLine="480" w:firstLineChars="200"/>
              <w:rPr>
                <w:bCs/>
                <w:sz w:val="24"/>
              </w:rPr>
            </w:pPr>
            <w:r>
              <w:rPr>
                <w:bCs/>
                <w:sz w:val="24"/>
              </w:rPr>
              <w:t>Q</w:t>
            </w:r>
            <w:r>
              <w:rPr>
                <w:bCs/>
                <w:sz w:val="24"/>
                <w:vertAlign w:val="subscript"/>
              </w:rPr>
              <w:t>net.ar</w:t>
            </w:r>
            <w:r>
              <w:rPr>
                <w:bCs/>
                <w:sz w:val="24"/>
              </w:rPr>
              <w:t>——固体燃料收到基低位发热量，kJ/kg</w:t>
            </w:r>
            <w:r>
              <w:rPr>
                <w:rFonts w:hint="eastAsia"/>
                <w:bCs/>
                <w:sz w:val="24"/>
              </w:rPr>
              <w:t>，根据煤质分析为</w:t>
            </w:r>
            <w:r>
              <w:rPr>
                <w:bCs/>
                <w:sz w:val="24"/>
              </w:rPr>
              <w:t>23798.59kJ/kg；</w:t>
            </w:r>
          </w:p>
          <w:p w14:paraId="38FA60E3">
            <w:pPr>
              <w:adjustRightInd w:val="0"/>
              <w:snapToGrid w:val="0"/>
              <w:spacing w:line="360" w:lineRule="auto"/>
              <w:ind w:firstLine="480" w:firstLineChars="200"/>
              <w:rPr>
                <w:bCs/>
                <w:sz w:val="24"/>
              </w:rPr>
            </w:pPr>
            <w:r>
              <w:rPr>
                <w:bCs/>
                <w:sz w:val="24"/>
              </w:rPr>
              <w:t>V</w:t>
            </w:r>
            <w:r>
              <w:rPr>
                <w:bCs/>
                <w:sz w:val="24"/>
                <w:vertAlign w:val="subscript"/>
              </w:rPr>
              <w:t>s</w:t>
            </w:r>
            <w:r>
              <w:rPr>
                <w:bCs/>
                <w:sz w:val="24"/>
              </w:rPr>
              <w:t>——湿烟气排放量，m</w:t>
            </w:r>
            <w:r>
              <w:rPr>
                <w:rFonts w:hint="eastAsia"/>
                <w:bCs/>
                <w:sz w:val="24"/>
                <w:vertAlign w:val="superscript"/>
              </w:rPr>
              <w:t>3</w:t>
            </w:r>
            <w:r>
              <w:rPr>
                <w:bCs/>
                <w:sz w:val="24"/>
              </w:rPr>
              <w:t>/kg</w:t>
            </w:r>
            <w:r>
              <w:rPr>
                <w:rFonts w:hint="eastAsia"/>
                <w:bCs/>
                <w:sz w:val="24"/>
              </w:rPr>
              <w:t>，根据计算为10.783</w:t>
            </w:r>
            <w:r>
              <w:rPr>
                <w:bCs/>
                <w:sz w:val="24"/>
              </w:rPr>
              <w:t>m</w:t>
            </w:r>
            <w:r>
              <w:rPr>
                <w:rFonts w:hint="eastAsia"/>
                <w:bCs/>
                <w:sz w:val="24"/>
                <w:vertAlign w:val="superscript"/>
              </w:rPr>
              <w:t>3</w:t>
            </w:r>
            <w:r>
              <w:rPr>
                <w:bCs/>
                <w:sz w:val="24"/>
              </w:rPr>
              <w:t>/kg；</w:t>
            </w:r>
          </w:p>
          <w:p w14:paraId="7863BC34">
            <w:pPr>
              <w:adjustRightInd w:val="0"/>
              <w:snapToGrid w:val="0"/>
              <w:spacing w:line="360" w:lineRule="auto"/>
              <w:ind w:firstLine="480" w:firstLineChars="200"/>
              <w:rPr>
                <w:bCs/>
                <w:sz w:val="24"/>
              </w:rPr>
            </w:pPr>
            <w:r>
              <w:rPr>
                <w:bCs/>
                <w:sz w:val="24"/>
              </w:rPr>
              <w:t>α——过量空气系数</w:t>
            </w:r>
            <w:r>
              <w:rPr>
                <w:rFonts w:hint="eastAsia"/>
                <w:bCs/>
                <w:sz w:val="24"/>
              </w:rPr>
              <w:t>，根据《污染源源强核算技术指南 锅炉》（HJ991-2018），燃煤锅炉规定过量空气系数为1.75</w:t>
            </w:r>
            <w:r>
              <w:rPr>
                <w:bCs/>
                <w:sz w:val="24"/>
              </w:rPr>
              <w:t>。</w:t>
            </w:r>
          </w:p>
          <w:p w14:paraId="25380BA2">
            <w:pPr>
              <w:adjustRightInd w:val="0"/>
              <w:snapToGrid w:val="0"/>
              <w:spacing w:line="360" w:lineRule="auto"/>
              <w:ind w:firstLine="480" w:firstLineChars="200"/>
              <w:rPr>
                <w:bCs/>
                <w:sz w:val="24"/>
              </w:rPr>
            </w:pPr>
            <w:r>
              <w:rPr>
                <w:bCs/>
                <w:sz w:val="24"/>
              </w:rPr>
              <w:t>B、 颗粒物排放量计算：</w:t>
            </w:r>
          </w:p>
          <w:p w14:paraId="7222F953">
            <w:pPr>
              <w:adjustRightInd w:val="0"/>
              <w:snapToGrid w:val="0"/>
              <w:spacing w:line="360" w:lineRule="auto"/>
              <w:ind w:firstLine="480" w:firstLineChars="200"/>
              <w:jc w:val="center"/>
              <w:rPr>
                <w:bCs/>
                <w:sz w:val="24"/>
              </w:rPr>
            </w:pPr>
            <w:r>
              <w:rPr>
                <w:bCs/>
                <w:sz w:val="24"/>
              </w:rPr>
              <w:drawing>
                <wp:inline distT="0" distB="0" distL="0" distR="0">
                  <wp:extent cx="2009775" cy="962025"/>
                  <wp:effectExtent l="0" t="0" r="9525" b="9525"/>
                  <wp:docPr id="140239164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391649" name="图片 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2009775" cy="962025"/>
                          </a:xfrm>
                          <a:prstGeom prst="rect">
                            <a:avLst/>
                          </a:prstGeom>
                          <a:noFill/>
                          <a:ln>
                            <a:noFill/>
                          </a:ln>
                        </pic:spPr>
                      </pic:pic>
                    </a:graphicData>
                  </a:graphic>
                </wp:inline>
              </w:drawing>
            </w:r>
          </w:p>
          <w:p w14:paraId="42C3DD30">
            <w:pPr>
              <w:adjustRightInd w:val="0"/>
              <w:snapToGrid w:val="0"/>
              <w:spacing w:line="360" w:lineRule="auto"/>
              <w:ind w:firstLine="480" w:firstLineChars="200"/>
              <w:rPr>
                <w:bCs/>
                <w:sz w:val="24"/>
              </w:rPr>
            </w:pPr>
            <w:r>
              <w:rPr>
                <w:bCs/>
                <w:sz w:val="24"/>
              </w:rPr>
              <w:t>式中：E</w:t>
            </w:r>
            <w:r>
              <w:rPr>
                <w:bCs/>
                <w:sz w:val="24"/>
                <w:vertAlign w:val="subscript"/>
              </w:rPr>
              <w:t>A</w:t>
            </w:r>
            <w:r>
              <w:rPr>
                <w:bCs/>
                <w:sz w:val="24"/>
              </w:rPr>
              <w:t xml:space="preserve"> ——核算时段粉尘的排放量，t</w:t>
            </w:r>
            <w:r>
              <w:rPr>
                <w:rFonts w:hint="eastAsia"/>
                <w:bCs/>
                <w:sz w:val="24"/>
              </w:rPr>
              <w:t>，根据计算采暖期为2.946t/a，非采暖期为0.982t/a</w:t>
            </w:r>
            <w:r>
              <w:rPr>
                <w:bCs/>
                <w:sz w:val="24"/>
              </w:rPr>
              <w:t>；</w:t>
            </w:r>
          </w:p>
          <w:p w14:paraId="6F0953F9">
            <w:pPr>
              <w:adjustRightInd w:val="0"/>
              <w:snapToGrid w:val="0"/>
              <w:spacing w:line="360" w:lineRule="auto"/>
              <w:ind w:firstLine="480" w:firstLineChars="200"/>
              <w:rPr>
                <w:bCs/>
                <w:sz w:val="24"/>
              </w:rPr>
            </w:pPr>
            <w:r>
              <w:rPr>
                <w:bCs/>
                <w:sz w:val="24"/>
              </w:rPr>
              <w:t>R——核算时段内锅炉燃料耗量， t或万m</w:t>
            </w:r>
            <w:r>
              <w:rPr>
                <w:rFonts w:hint="eastAsia"/>
                <w:bCs/>
                <w:sz w:val="24"/>
                <w:vertAlign w:val="superscript"/>
              </w:rPr>
              <w:t>3</w:t>
            </w:r>
            <w:r>
              <w:rPr>
                <w:rFonts w:hint="eastAsia"/>
                <w:bCs/>
                <w:sz w:val="24"/>
              </w:rPr>
              <w:t>，采暖期耗煤量28222t/a，非采暖期9408t/a</w:t>
            </w:r>
            <w:r>
              <w:rPr>
                <w:bCs/>
                <w:sz w:val="24"/>
              </w:rPr>
              <w:t>；</w:t>
            </w:r>
          </w:p>
          <w:p w14:paraId="53E779FB">
            <w:pPr>
              <w:adjustRightInd w:val="0"/>
              <w:snapToGrid w:val="0"/>
              <w:spacing w:line="360" w:lineRule="auto"/>
              <w:ind w:firstLine="480" w:firstLineChars="200"/>
              <w:rPr>
                <w:bCs/>
                <w:sz w:val="24"/>
              </w:rPr>
            </w:pPr>
            <w:r>
              <w:rPr>
                <w:bCs/>
                <w:sz w:val="24"/>
              </w:rPr>
              <w:t>A</w:t>
            </w:r>
            <w:r>
              <w:rPr>
                <w:bCs/>
                <w:sz w:val="24"/>
                <w:vertAlign w:val="subscript"/>
              </w:rPr>
              <w:t xml:space="preserve">ar </w:t>
            </w:r>
            <w:r>
              <w:rPr>
                <w:bCs/>
                <w:sz w:val="24"/>
              </w:rPr>
              <w:t>——收到基灰分的质量分数，%</w:t>
            </w:r>
            <w:r>
              <w:rPr>
                <w:rFonts w:hint="eastAsia"/>
                <w:bCs/>
                <w:sz w:val="24"/>
              </w:rPr>
              <w:t>，根据煤质分析为4.54%</w:t>
            </w:r>
            <w:r>
              <w:rPr>
                <w:bCs/>
                <w:sz w:val="24"/>
              </w:rPr>
              <w:t>；</w:t>
            </w:r>
          </w:p>
          <w:p w14:paraId="723F7C34">
            <w:pPr>
              <w:adjustRightInd w:val="0"/>
              <w:snapToGrid w:val="0"/>
              <w:spacing w:line="360" w:lineRule="auto"/>
              <w:ind w:firstLine="480" w:firstLineChars="200"/>
              <w:rPr>
                <w:bCs/>
                <w:sz w:val="24"/>
              </w:rPr>
            </w:pPr>
            <w:r>
              <w:rPr>
                <w:bCs/>
                <w:sz w:val="24"/>
              </w:rPr>
              <w:t>d</w:t>
            </w:r>
            <w:r>
              <w:rPr>
                <w:bCs/>
                <w:sz w:val="24"/>
                <w:vertAlign w:val="subscript"/>
              </w:rPr>
              <w:t>fh</w:t>
            </w:r>
            <w:r>
              <w:rPr>
                <w:bCs/>
                <w:sz w:val="24"/>
              </w:rPr>
              <w:t>——锅炉烟</w:t>
            </w:r>
            <w:r>
              <w:rPr>
                <w:rFonts w:hint="eastAsia"/>
                <w:bCs/>
                <w:sz w:val="24"/>
              </w:rPr>
              <w:t>气</w:t>
            </w:r>
            <w:r>
              <w:rPr>
                <w:bCs/>
                <w:sz w:val="24"/>
              </w:rPr>
              <w:t>带出的飞灰份额，%</w:t>
            </w:r>
            <w:r>
              <w:rPr>
                <w:rFonts w:hint="eastAsia"/>
                <w:bCs/>
                <w:sz w:val="24"/>
              </w:rPr>
              <w:t>，根据《污染源源强核算技术指南 锅炉》（HJ991-2018）附录B表B.2中明确给出链条炉排炉烟气带出飞灰份额一般取值为10%~20%，本项目取20%；</w:t>
            </w:r>
          </w:p>
          <w:p w14:paraId="088CD7EC">
            <w:pPr>
              <w:adjustRightInd w:val="0"/>
              <w:snapToGrid w:val="0"/>
              <w:spacing w:line="360" w:lineRule="auto"/>
              <w:ind w:firstLine="480" w:firstLineChars="200"/>
              <w:rPr>
                <w:bCs/>
                <w:sz w:val="24"/>
              </w:rPr>
            </w:pPr>
            <w:r>
              <w:rPr>
                <w:rFonts w:hint="eastAsia"/>
                <w:bCs/>
                <w:sz w:val="24"/>
              </w:rPr>
              <w:sym w:font="Symbol" w:char="F068"/>
            </w:r>
            <w:r>
              <w:rPr>
                <w:bCs/>
                <w:sz w:val="24"/>
                <w:vertAlign w:val="subscript"/>
              </w:rPr>
              <w:t>c</w:t>
            </w:r>
            <w:r>
              <w:rPr>
                <w:bCs/>
                <w:sz w:val="24"/>
              </w:rPr>
              <w:t xml:space="preserve"> ——综合除尘效率，%</w:t>
            </w:r>
            <w:r>
              <w:rPr>
                <w:rFonts w:hint="eastAsia"/>
                <w:bCs/>
                <w:sz w:val="24"/>
              </w:rPr>
              <w:t>，本项目为99%</w:t>
            </w:r>
            <w:r>
              <w:rPr>
                <w:bCs/>
                <w:sz w:val="24"/>
              </w:rPr>
              <w:t>。</w:t>
            </w:r>
          </w:p>
          <w:p w14:paraId="1E44241F">
            <w:pPr>
              <w:adjustRightInd w:val="0"/>
              <w:snapToGrid w:val="0"/>
              <w:spacing w:line="360" w:lineRule="auto"/>
              <w:ind w:firstLine="480" w:firstLineChars="200"/>
              <w:rPr>
                <w:bCs/>
                <w:sz w:val="24"/>
              </w:rPr>
            </w:pPr>
            <w:r>
              <w:rPr>
                <w:bCs/>
                <w:sz w:val="24"/>
              </w:rPr>
              <w:t>C</w:t>
            </w:r>
            <w:r>
              <w:rPr>
                <w:bCs/>
                <w:sz w:val="24"/>
                <w:vertAlign w:val="subscript"/>
              </w:rPr>
              <w:t>fh</w:t>
            </w:r>
            <w:r>
              <w:rPr>
                <w:bCs/>
                <w:sz w:val="24"/>
              </w:rPr>
              <w:t>——飞灰中的可燃物含量，%</w:t>
            </w:r>
            <w:r>
              <w:rPr>
                <w:rFonts w:hint="eastAsia"/>
                <w:bCs/>
                <w:sz w:val="24"/>
              </w:rPr>
              <w:t>，本项目取13%；</w:t>
            </w:r>
          </w:p>
          <w:p w14:paraId="372A7342">
            <w:pPr>
              <w:adjustRightInd w:val="0"/>
              <w:snapToGrid w:val="0"/>
              <w:spacing w:line="360" w:lineRule="auto"/>
              <w:ind w:firstLine="480" w:firstLineChars="200"/>
              <w:rPr>
                <w:bCs/>
                <w:sz w:val="24"/>
              </w:rPr>
            </w:pPr>
            <w:r>
              <w:rPr>
                <w:bCs/>
                <w:sz w:val="24"/>
              </w:rPr>
              <w:t>C、 二氧化硫排放量计算：</w:t>
            </w:r>
          </w:p>
          <w:p w14:paraId="72947514">
            <w:pPr>
              <w:adjustRightInd w:val="0"/>
              <w:snapToGrid w:val="0"/>
              <w:spacing w:line="360" w:lineRule="auto"/>
              <w:ind w:firstLine="480" w:firstLineChars="200"/>
              <w:jc w:val="center"/>
              <w:rPr>
                <w:bCs/>
                <w:sz w:val="24"/>
              </w:rPr>
            </w:pPr>
            <w:r>
              <w:rPr>
                <w:bCs/>
                <w:sz w:val="24"/>
              </w:rPr>
              <w:drawing>
                <wp:inline distT="0" distB="0" distL="0" distR="0">
                  <wp:extent cx="2752725" cy="590550"/>
                  <wp:effectExtent l="0" t="0" r="9525" b="0"/>
                  <wp:docPr id="1270423960"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423960" name="图片 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752725" cy="590550"/>
                          </a:xfrm>
                          <a:prstGeom prst="rect">
                            <a:avLst/>
                          </a:prstGeom>
                          <a:noFill/>
                          <a:ln>
                            <a:noFill/>
                          </a:ln>
                        </pic:spPr>
                      </pic:pic>
                    </a:graphicData>
                  </a:graphic>
                </wp:inline>
              </w:drawing>
            </w:r>
          </w:p>
          <w:p w14:paraId="445C72C2">
            <w:pPr>
              <w:adjustRightInd w:val="0"/>
              <w:snapToGrid w:val="0"/>
              <w:spacing w:line="360" w:lineRule="auto"/>
              <w:ind w:firstLine="480" w:firstLineChars="200"/>
              <w:rPr>
                <w:bCs/>
                <w:sz w:val="24"/>
              </w:rPr>
            </w:pPr>
            <w:r>
              <w:rPr>
                <w:bCs/>
                <w:sz w:val="24"/>
              </w:rPr>
              <w:t>式中：E</w:t>
            </w:r>
            <w:r>
              <w:rPr>
                <w:bCs/>
                <w:sz w:val="24"/>
                <w:vertAlign w:val="subscript"/>
              </w:rPr>
              <w:t>SO2</w:t>
            </w:r>
            <w:r>
              <w:rPr>
                <w:bCs/>
                <w:sz w:val="24"/>
              </w:rPr>
              <w:t>——核算时段二氧化硫的排放量，t</w:t>
            </w:r>
            <w:r>
              <w:rPr>
                <w:rFonts w:hint="eastAsia"/>
                <w:bCs/>
                <w:sz w:val="24"/>
              </w:rPr>
              <w:t>，根据计算采暖期为16.409t/a，非采暖期为5.470t/a</w:t>
            </w:r>
            <w:r>
              <w:rPr>
                <w:bCs/>
                <w:sz w:val="24"/>
              </w:rPr>
              <w:t>；</w:t>
            </w:r>
          </w:p>
          <w:p w14:paraId="29AB44EF">
            <w:pPr>
              <w:adjustRightInd w:val="0"/>
              <w:snapToGrid w:val="0"/>
              <w:spacing w:line="360" w:lineRule="auto"/>
              <w:ind w:firstLine="480" w:firstLineChars="200"/>
              <w:rPr>
                <w:bCs/>
                <w:sz w:val="24"/>
              </w:rPr>
            </w:pPr>
            <w:r>
              <w:rPr>
                <w:bCs/>
                <w:sz w:val="24"/>
              </w:rPr>
              <w:t>R——核算时段内燃料耗量，t或万m</w:t>
            </w:r>
            <w:r>
              <w:rPr>
                <w:rFonts w:hint="eastAsia"/>
                <w:bCs/>
                <w:sz w:val="24"/>
                <w:vertAlign w:val="superscript"/>
              </w:rPr>
              <w:t>3</w:t>
            </w:r>
            <w:r>
              <w:rPr>
                <w:rFonts w:hint="eastAsia"/>
                <w:bCs/>
                <w:sz w:val="24"/>
              </w:rPr>
              <w:t>，采暖期耗煤量28222t/a，非采暖期9408t/a</w:t>
            </w:r>
            <w:r>
              <w:rPr>
                <w:bCs/>
                <w:sz w:val="24"/>
              </w:rPr>
              <w:t>；</w:t>
            </w:r>
          </w:p>
          <w:p w14:paraId="2A80511A">
            <w:pPr>
              <w:adjustRightInd w:val="0"/>
              <w:snapToGrid w:val="0"/>
              <w:spacing w:line="360" w:lineRule="auto"/>
              <w:ind w:firstLine="480" w:firstLineChars="200"/>
              <w:rPr>
                <w:bCs/>
                <w:sz w:val="24"/>
              </w:rPr>
            </w:pPr>
            <w:r>
              <w:rPr>
                <w:bCs/>
                <w:sz w:val="24"/>
              </w:rPr>
              <w:t>S</w:t>
            </w:r>
            <w:r>
              <w:rPr>
                <w:bCs/>
                <w:sz w:val="24"/>
                <w:vertAlign w:val="subscript"/>
              </w:rPr>
              <w:t>ar</w:t>
            </w:r>
            <w:r>
              <w:rPr>
                <w:bCs/>
                <w:sz w:val="24"/>
              </w:rPr>
              <w:t>——收到基硫的质量分数，%</w:t>
            </w:r>
            <w:r>
              <w:rPr>
                <w:rFonts w:hint="eastAsia"/>
                <w:bCs/>
                <w:sz w:val="24"/>
              </w:rPr>
              <w:t>，根据煤质分析为0.18%</w:t>
            </w:r>
            <w:r>
              <w:rPr>
                <w:bCs/>
                <w:sz w:val="24"/>
              </w:rPr>
              <w:t>；</w:t>
            </w:r>
          </w:p>
          <w:p w14:paraId="17B428D7">
            <w:pPr>
              <w:adjustRightInd w:val="0"/>
              <w:snapToGrid w:val="0"/>
              <w:spacing w:line="360" w:lineRule="auto"/>
              <w:ind w:firstLine="480" w:firstLineChars="200"/>
              <w:rPr>
                <w:bCs/>
                <w:sz w:val="24"/>
              </w:rPr>
            </w:pPr>
            <w:r>
              <w:rPr>
                <w:rFonts w:hint="eastAsia"/>
                <w:bCs/>
                <w:sz w:val="24"/>
              </w:rPr>
              <w:sym w:font="Symbol" w:char="F068"/>
            </w:r>
            <w:r>
              <w:rPr>
                <w:bCs/>
                <w:sz w:val="24"/>
                <w:vertAlign w:val="subscript"/>
              </w:rPr>
              <w:t>s</w:t>
            </w:r>
            <w:r>
              <w:rPr>
                <w:bCs/>
                <w:sz w:val="24"/>
              </w:rPr>
              <w:t xml:space="preserve"> ——脱硫效率，%</w:t>
            </w:r>
            <w:r>
              <w:rPr>
                <w:rFonts w:hint="eastAsia"/>
                <w:bCs/>
                <w:sz w:val="24"/>
              </w:rPr>
              <w:t>，本项目为80%</w:t>
            </w:r>
            <w:r>
              <w:rPr>
                <w:bCs/>
                <w:sz w:val="24"/>
              </w:rPr>
              <w:t>；</w:t>
            </w:r>
          </w:p>
          <w:p w14:paraId="758F8423">
            <w:pPr>
              <w:adjustRightInd w:val="0"/>
              <w:snapToGrid w:val="0"/>
              <w:spacing w:line="360" w:lineRule="auto"/>
              <w:ind w:firstLine="480" w:firstLineChars="200"/>
              <w:rPr>
                <w:bCs/>
                <w:sz w:val="24"/>
              </w:rPr>
            </w:pPr>
            <w:r>
              <w:rPr>
                <w:bCs/>
                <w:sz w:val="24"/>
              </w:rPr>
              <w:t>q</w:t>
            </w:r>
            <w:r>
              <w:rPr>
                <w:bCs/>
                <w:sz w:val="24"/>
                <w:vertAlign w:val="subscript"/>
              </w:rPr>
              <w:t>4</w:t>
            </w:r>
            <w:r>
              <w:rPr>
                <w:bCs/>
                <w:sz w:val="24"/>
              </w:rPr>
              <w:t>——锅炉机械不完全燃烧热损失，%</w:t>
            </w:r>
            <w:r>
              <w:rPr>
                <w:rFonts w:hint="eastAsia"/>
                <w:bCs/>
                <w:sz w:val="24"/>
              </w:rPr>
              <w:t>，本项目为5%</w:t>
            </w:r>
            <w:r>
              <w:rPr>
                <w:bCs/>
                <w:sz w:val="24"/>
              </w:rPr>
              <w:t>；</w:t>
            </w:r>
          </w:p>
          <w:p w14:paraId="1DCD3039">
            <w:pPr>
              <w:adjustRightInd w:val="0"/>
              <w:snapToGrid w:val="0"/>
              <w:spacing w:line="360" w:lineRule="auto"/>
              <w:ind w:firstLine="480" w:firstLineChars="200"/>
              <w:rPr>
                <w:bCs/>
                <w:sz w:val="24"/>
              </w:rPr>
            </w:pPr>
            <w:r>
              <w:rPr>
                <w:bCs/>
                <w:sz w:val="24"/>
              </w:rPr>
              <w:t>K——燃料中的硫燃烧后氧化成二氧化硫的份额，量纲一的量</w:t>
            </w:r>
            <w:r>
              <w:rPr>
                <w:rFonts w:hint="eastAsia"/>
                <w:bCs/>
                <w:sz w:val="24"/>
              </w:rPr>
              <w:t>，本项目为0.85</w:t>
            </w:r>
            <w:r>
              <w:rPr>
                <w:bCs/>
                <w:sz w:val="24"/>
              </w:rPr>
              <w:t>。</w:t>
            </w:r>
          </w:p>
          <w:p w14:paraId="63BFB7C6">
            <w:pPr>
              <w:adjustRightInd w:val="0"/>
              <w:snapToGrid w:val="0"/>
              <w:spacing w:line="360" w:lineRule="auto"/>
              <w:ind w:firstLine="480" w:firstLineChars="200"/>
              <w:rPr>
                <w:bCs/>
                <w:sz w:val="24"/>
              </w:rPr>
            </w:pPr>
            <w:r>
              <w:rPr>
                <w:bCs/>
                <w:sz w:val="24"/>
              </w:rPr>
              <w:t>D、氮氧化物排放量计算</w:t>
            </w:r>
          </w:p>
          <w:p w14:paraId="4CFA0231">
            <w:pPr>
              <w:adjustRightInd w:val="0"/>
              <w:snapToGrid w:val="0"/>
              <w:spacing w:line="360" w:lineRule="auto"/>
              <w:ind w:firstLine="480" w:firstLineChars="200"/>
              <w:jc w:val="center"/>
              <w:rPr>
                <w:bCs/>
                <w:sz w:val="24"/>
              </w:rPr>
            </w:pPr>
            <w:r>
              <w:rPr>
                <w:bCs/>
                <w:sz w:val="24"/>
              </w:rPr>
              <w:drawing>
                <wp:inline distT="0" distB="0" distL="0" distR="0">
                  <wp:extent cx="2390775" cy="666750"/>
                  <wp:effectExtent l="0" t="0" r="9525" b="0"/>
                  <wp:docPr id="85780036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800362" name="图片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2390775" cy="666750"/>
                          </a:xfrm>
                          <a:prstGeom prst="rect">
                            <a:avLst/>
                          </a:prstGeom>
                          <a:noFill/>
                          <a:ln>
                            <a:noFill/>
                          </a:ln>
                        </pic:spPr>
                      </pic:pic>
                    </a:graphicData>
                  </a:graphic>
                </wp:inline>
              </w:drawing>
            </w:r>
          </w:p>
          <w:p w14:paraId="2E32F4C8">
            <w:pPr>
              <w:adjustRightInd w:val="0"/>
              <w:snapToGrid w:val="0"/>
              <w:spacing w:line="360" w:lineRule="auto"/>
              <w:ind w:firstLine="480" w:firstLineChars="200"/>
              <w:rPr>
                <w:bCs/>
                <w:sz w:val="24"/>
              </w:rPr>
            </w:pPr>
            <w:r>
              <w:rPr>
                <w:bCs/>
                <w:sz w:val="24"/>
              </w:rPr>
              <w:t>式中：</w:t>
            </w:r>
            <w:r>
              <w:rPr>
                <w:rFonts w:hint="eastAsia"/>
                <w:bCs/>
                <w:sz w:val="24"/>
              </w:rPr>
              <w:t>E</w:t>
            </w:r>
            <w:r>
              <w:rPr>
                <w:rFonts w:hint="eastAsia"/>
                <w:bCs/>
                <w:sz w:val="24"/>
                <w:vertAlign w:val="subscript"/>
              </w:rPr>
              <w:t>NOx</w:t>
            </w:r>
            <w:r>
              <w:rPr>
                <w:bCs/>
                <w:sz w:val="24"/>
              </w:rPr>
              <w:t>——核算时段内氮氧化物排放量，t</w:t>
            </w:r>
            <w:r>
              <w:rPr>
                <w:rFonts w:hint="eastAsia"/>
                <w:bCs/>
                <w:sz w:val="24"/>
              </w:rPr>
              <w:t>，根据计算采暖期为45.535t/a。非采暖期为15.178t/a</w:t>
            </w:r>
            <w:r>
              <w:rPr>
                <w:bCs/>
                <w:sz w:val="24"/>
              </w:rPr>
              <w:t>；</w:t>
            </w:r>
          </w:p>
          <w:p w14:paraId="73E57478">
            <w:pPr>
              <w:adjustRightInd w:val="0"/>
              <w:snapToGrid w:val="0"/>
              <w:spacing w:line="360" w:lineRule="auto"/>
              <w:ind w:firstLine="480" w:firstLineChars="200"/>
              <w:rPr>
                <w:bCs/>
                <w:sz w:val="24"/>
              </w:rPr>
            </w:pPr>
            <w:r>
              <w:rPr>
                <w:bCs/>
                <w:sz w:val="24"/>
              </w:rPr>
              <w:t>ρ</w:t>
            </w:r>
            <w:r>
              <w:rPr>
                <w:bCs/>
                <w:sz w:val="24"/>
                <w:vertAlign w:val="subscript"/>
              </w:rPr>
              <w:t>NOx</w:t>
            </w:r>
            <w:r>
              <w:rPr>
                <w:bCs/>
                <w:sz w:val="24"/>
              </w:rPr>
              <w:t>——锅炉炉膛出口氮氧化物质量浓度， mg/m</w:t>
            </w:r>
            <w:r>
              <w:rPr>
                <w:rFonts w:hint="eastAsia"/>
                <w:bCs/>
                <w:sz w:val="24"/>
                <w:vertAlign w:val="superscript"/>
              </w:rPr>
              <w:t>3</w:t>
            </w:r>
            <w:r>
              <w:rPr>
                <w:bCs/>
                <w:sz w:val="24"/>
              </w:rPr>
              <w:t>；（根据《污染源源强核算技术指南 锅炉》（HJ991-2018）附录B表</w:t>
            </w:r>
            <w:r>
              <w:rPr>
                <w:rFonts w:hint="eastAsia"/>
                <w:bCs/>
                <w:sz w:val="24"/>
              </w:rPr>
              <w:t>B.</w:t>
            </w:r>
            <w:r>
              <w:rPr>
                <w:bCs/>
                <w:sz w:val="24"/>
              </w:rPr>
              <w:t>4中明确给出</w:t>
            </w:r>
            <w:r>
              <w:rPr>
                <w:rFonts w:hint="eastAsia"/>
                <w:bCs/>
                <w:sz w:val="24"/>
              </w:rPr>
              <w:t>层燃炉</w:t>
            </w:r>
            <w:r>
              <w:rPr>
                <w:bCs/>
                <w:sz w:val="24"/>
              </w:rPr>
              <w:t>炉膛内出口NOx浓度范围为100-600mg/m</w:t>
            </w:r>
            <w:r>
              <w:rPr>
                <w:rFonts w:hint="eastAsia"/>
                <w:bCs/>
                <w:sz w:val="24"/>
                <w:vertAlign w:val="superscript"/>
              </w:rPr>
              <w:t>3</w:t>
            </w:r>
            <w:r>
              <w:rPr>
                <w:bCs/>
                <w:sz w:val="24"/>
              </w:rPr>
              <w:t>，</w:t>
            </w:r>
            <w:r>
              <w:rPr>
                <w:rFonts w:hint="eastAsia"/>
                <w:bCs/>
                <w:sz w:val="24"/>
              </w:rPr>
              <w:t>本项目取平均值，即</w:t>
            </w:r>
            <w:r>
              <w:rPr>
                <w:bCs/>
                <w:sz w:val="24"/>
              </w:rPr>
              <w:t>3</w:t>
            </w:r>
            <w:r>
              <w:rPr>
                <w:rFonts w:hint="eastAsia"/>
                <w:bCs/>
                <w:sz w:val="24"/>
              </w:rPr>
              <w:t>5</w:t>
            </w:r>
            <w:r>
              <w:rPr>
                <w:bCs/>
                <w:sz w:val="24"/>
              </w:rPr>
              <w:t>0mg/m</w:t>
            </w:r>
            <w:r>
              <w:rPr>
                <w:rFonts w:hint="eastAsia"/>
                <w:bCs/>
                <w:sz w:val="24"/>
                <w:vertAlign w:val="superscript"/>
              </w:rPr>
              <w:t>3</w:t>
            </w:r>
            <w:r>
              <w:rPr>
                <w:bCs/>
                <w:sz w:val="24"/>
              </w:rPr>
              <w:t>）；</w:t>
            </w:r>
          </w:p>
          <w:p w14:paraId="44B21B4D">
            <w:pPr>
              <w:adjustRightInd w:val="0"/>
              <w:snapToGrid w:val="0"/>
              <w:spacing w:line="360" w:lineRule="auto"/>
              <w:ind w:firstLine="480" w:firstLineChars="200"/>
              <w:rPr>
                <w:bCs/>
                <w:sz w:val="24"/>
              </w:rPr>
            </w:pPr>
            <w:r>
              <w:rPr>
                <w:bCs/>
                <w:sz w:val="24"/>
              </w:rPr>
              <w:t>Q——核算时段内标态干烟气排放量，m</w:t>
            </w:r>
            <w:r>
              <w:rPr>
                <w:rFonts w:hint="eastAsia"/>
                <w:bCs/>
                <w:sz w:val="24"/>
                <w:vertAlign w:val="superscript"/>
              </w:rPr>
              <w:t>3</w:t>
            </w:r>
            <w:r>
              <w:rPr>
                <w:bCs/>
                <w:sz w:val="24"/>
              </w:rPr>
              <w:t>；</w:t>
            </w:r>
          </w:p>
          <w:p w14:paraId="1C2E85C4">
            <w:pPr>
              <w:adjustRightInd w:val="0"/>
              <w:snapToGrid w:val="0"/>
              <w:spacing w:line="360" w:lineRule="auto"/>
              <w:ind w:firstLine="480" w:firstLineChars="200"/>
              <w:rPr>
                <w:bCs/>
                <w:sz w:val="24"/>
              </w:rPr>
            </w:pPr>
            <w:r>
              <w:rPr>
                <w:rFonts w:hint="eastAsia"/>
                <w:bCs/>
                <w:sz w:val="24"/>
              </w:rPr>
              <w:sym w:font="Symbol" w:char="F068"/>
            </w:r>
            <w:r>
              <w:rPr>
                <w:rFonts w:hint="eastAsia"/>
                <w:bCs/>
                <w:sz w:val="24"/>
                <w:vertAlign w:val="subscript"/>
              </w:rPr>
              <w:t>NOx</w:t>
            </w:r>
            <w:r>
              <w:rPr>
                <w:bCs/>
                <w:sz w:val="24"/>
              </w:rPr>
              <w:t>——脱</w:t>
            </w:r>
            <w:r>
              <w:rPr>
                <w:rFonts w:hint="eastAsia"/>
                <w:bCs/>
                <w:sz w:val="24"/>
              </w:rPr>
              <w:t>硝</w:t>
            </w:r>
            <w:r>
              <w:rPr>
                <w:bCs/>
                <w:sz w:val="24"/>
              </w:rPr>
              <w:t>效率，%；根据《污染源源强核算技术指南 锅炉》（HJ991-2018）附录B表</w:t>
            </w:r>
            <w:r>
              <w:rPr>
                <w:rFonts w:hint="eastAsia"/>
                <w:bCs/>
                <w:sz w:val="24"/>
              </w:rPr>
              <w:t>B.5</w:t>
            </w:r>
            <w:r>
              <w:rPr>
                <w:bCs/>
                <w:sz w:val="24"/>
              </w:rPr>
              <w:t>中明确给出</w:t>
            </w:r>
            <w:r>
              <w:rPr>
                <w:rFonts w:hint="eastAsia"/>
                <w:bCs/>
                <w:sz w:val="24"/>
              </w:rPr>
              <w:t>SNCR+SCR法NOx脱除效率55%~85%，本项目以55%计</w:t>
            </w:r>
            <w:r>
              <w:rPr>
                <w:bCs/>
                <w:sz w:val="24"/>
              </w:rPr>
              <w:t>。</w:t>
            </w:r>
          </w:p>
          <w:p w14:paraId="6B1DC407">
            <w:pPr>
              <w:adjustRightInd w:val="0"/>
              <w:snapToGrid w:val="0"/>
              <w:spacing w:line="360" w:lineRule="auto"/>
              <w:ind w:firstLine="480" w:firstLineChars="200"/>
              <w:rPr>
                <w:bCs/>
                <w:sz w:val="24"/>
              </w:rPr>
            </w:pPr>
            <w:r>
              <w:rPr>
                <w:rFonts w:hint="eastAsia"/>
                <w:bCs/>
                <w:sz w:val="24"/>
              </w:rPr>
              <w:t>E、汞及其化合物</w:t>
            </w:r>
          </w:p>
          <w:p w14:paraId="53B76160">
            <w:pPr>
              <w:adjustRightInd w:val="0"/>
              <w:snapToGrid w:val="0"/>
              <w:jc w:val="center"/>
              <w:rPr>
                <w:bCs/>
                <w:sz w:val="24"/>
              </w:rPr>
            </w:pPr>
            <w:r>
              <w:rPr>
                <w:szCs w:val="21"/>
              </w:rPr>
              <w:drawing>
                <wp:inline distT="0" distB="0" distL="0" distR="0">
                  <wp:extent cx="2428875" cy="495300"/>
                  <wp:effectExtent l="0" t="0" r="9525" b="0"/>
                  <wp:docPr id="1031" name="图片 6"/>
                  <wp:cNvGraphicFramePr/>
                  <a:graphic xmlns:a="http://schemas.openxmlformats.org/drawingml/2006/main">
                    <a:graphicData uri="http://schemas.openxmlformats.org/drawingml/2006/picture">
                      <pic:pic xmlns:pic="http://schemas.openxmlformats.org/drawingml/2006/picture">
                        <pic:nvPicPr>
                          <pic:cNvPr id="1031" name="图片 6"/>
                          <pic:cNvPicPr/>
                        </pic:nvPicPr>
                        <pic:blipFill>
                          <a:blip r:embed="rId29" cstate="print"/>
                          <a:srcRect l="35497" t="13783" r="21405" b="59775"/>
                          <a:stretch>
                            <a:fillRect/>
                          </a:stretch>
                        </pic:blipFill>
                        <pic:spPr>
                          <a:xfrm>
                            <a:off x="0" y="0"/>
                            <a:ext cx="2428875" cy="495300"/>
                          </a:xfrm>
                          <a:prstGeom prst="rect">
                            <a:avLst/>
                          </a:prstGeom>
                          <a:ln>
                            <a:noFill/>
                          </a:ln>
                        </pic:spPr>
                      </pic:pic>
                    </a:graphicData>
                  </a:graphic>
                </wp:inline>
              </w:drawing>
            </w:r>
          </w:p>
          <w:p w14:paraId="765DBFF6">
            <w:pPr>
              <w:adjustRightInd w:val="0"/>
              <w:snapToGrid w:val="0"/>
              <w:spacing w:line="360" w:lineRule="auto"/>
              <w:ind w:firstLine="480" w:firstLineChars="200"/>
              <w:rPr>
                <w:bCs/>
                <w:sz w:val="24"/>
              </w:rPr>
            </w:pPr>
            <w:r>
              <w:rPr>
                <w:bCs/>
                <w:sz w:val="24"/>
              </w:rPr>
              <w:t>式中：E</w:t>
            </w:r>
            <w:r>
              <w:rPr>
                <w:bCs/>
                <w:sz w:val="24"/>
                <w:vertAlign w:val="subscript"/>
              </w:rPr>
              <w:t>Hg</w:t>
            </w:r>
            <w:r>
              <w:rPr>
                <w:bCs/>
                <w:sz w:val="24"/>
              </w:rPr>
              <w:t>——核算时段内汞及其化合物排放量（以汞计）</w:t>
            </w:r>
            <w:r>
              <w:rPr>
                <w:rFonts w:hint="eastAsia"/>
                <w:bCs/>
                <w:sz w:val="24"/>
              </w:rPr>
              <w:t>，根据计算采暖期为0.002t/a，非采暖期为0.001t/a；</w:t>
            </w:r>
          </w:p>
          <w:p w14:paraId="059A2753">
            <w:pPr>
              <w:adjustRightInd w:val="0"/>
              <w:snapToGrid w:val="0"/>
              <w:spacing w:line="360" w:lineRule="auto"/>
              <w:ind w:firstLine="480" w:firstLineChars="200"/>
              <w:rPr>
                <w:bCs/>
                <w:sz w:val="24"/>
              </w:rPr>
            </w:pPr>
            <w:r>
              <w:rPr>
                <w:bCs/>
                <w:sz w:val="24"/>
              </w:rPr>
              <w:t>R——核算时段内锅炉燃料耗量，</w:t>
            </w:r>
            <w:r>
              <w:rPr>
                <w:rFonts w:hint="eastAsia"/>
                <w:bCs/>
                <w:sz w:val="24"/>
              </w:rPr>
              <w:t>采暖期耗煤量2</w:t>
            </w:r>
            <w:r>
              <w:rPr>
                <w:bCs/>
                <w:sz w:val="24"/>
              </w:rPr>
              <w:t>8222</w:t>
            </w:r>
            <w:r>
              <w:rPr>
                <w:rFonts w:hint="eastAsia"/>
                <w:bCs/>
                <w:sz w:val="24"/>
              </w:rPr>
              <w:t>t，非采暖期9</w:t>
            </w:r>
            <w:r>
              <w:rPr>
                <w:bCs/>
                <w:sz w:val="24"/>
              </w:rPr>
              <w:t>408</w:t>
            </w:r>
            <w:r>
              <w:rPr>
                <w:rFonts w:hint="eastAsia"/>
                <w:bCs/>
                <w:sz w:val="24"/>
              </w:rPr>
              <w:t>t，合计37630</w:t>
            </w:r>
            <w:r>
              <w:rPr>
                <w:bCs/>
                <w:sz w:val="24"/>
              </w:rPr>
              <w:t>t；</w:t>
            </w:r>
          </w:p>
          <w:p w14:paraId="0FF78D3D">
            <w:pPr>
              <w:adjustRightInd w:val="0"/>
              <w:snapToGrid w:val="0"/>
              <w:spacing w:line="360" w:lineRule="auto"/>
              <w:ind w:firstLine="480" w:firstLineChars="200"/>
              <w:rPr>
                <w:bCs/>
                <w:sz w:val="24"/>
              </w:rPr>
            </w:pPr>
            <w:r>
              <w:rPr>
                <w:bCs/>
                <w:sz w:val="24"/>
              </w:rPr>
              <w:t>m</w:t>
            </w:r>
            <w:r>
              <w:rPr>
                <w:bCs/>
                <w:sz w:val="24"/>
                <w:vertAlign w:val="subscript"/>
              </w:rPr>
              <w:t>Hgar</w:t>
            </w:r>
            <w:r>
              <w:rPr>
                <w:bCs/>
                <w:sz w:val="24"/>
              </w:rPr>
              <w:t>——收到基汞的含量，根据《煤粉锅炉烟气中汞形态分析的实验研究》，我国煤中汞的平均含量为0.22mg/kg</w:t>
            </w:r>
          </w:p>
          <w:p w14:paraId="2CD57990">
            <w:pPr>
              <w:adjustRightInd w:val="0"/>
              <w:snapToGrid w:val="0"/>
              <w:spacing w:line="360" w:lineRule="auto"/>
              <w:ind w:firstLine="480" w:firstLineChars="200"/>
              <w:rPr>
                <w:bCs/>
                <w:sz w:val="24"/>
              </w:rPr>
            </w:pPr>
            <w:r>
              <w:rPr>
                <w:rFonts w:hint="eastAsia"/>
                <w:bCs/>
                <w:sz w:val="24"/>
              </w:rPr>
              <w:sym w:font="Symbol" w:char="F068"/>
            </w:r>
            <w:r>
              <w:rPr>
                <w:bCs/>
                <w:sz w:val="24"/>
                <w:vertAlign w:val="subscript"/>
              </w:rPr>
              <w:t>s</w:t>
            </w:r>
            <w:r>
              <w:rPr>
                <w:bCs/>
                <w:sz w:val="24"/>
              </w:rPr>
              <w:t>——</w:t>
            </w:r>
            <w:r>
              <w:rPr>
                <w:rFonts w:hint="eastAsia"/>
                <w:bCs/>
                <w:sz w:val="24"/>
              </w:rPr>
              <w:t>汞的协同脱出效率</w:t>
            </w:r>
            <w:r>
              <w:rPr>
                <w:bCs/>
                <w:sz w:val="24"/>
              </w:rPr>
              <w:t>，%</w:t>
            </w:r>
            <w:r>
              <w:rPr>
                <w:rFonts w:hint="eastAsia"/>
                <w:bCs/>
                <w:sz w:val="24"/>
              </w:rPr>
              <w:t>，根据《污染源源强核算技术指南 锅炉》（HJ991-2018）附录B，</w:t>
            </w:r>
            <w:r>
              <w:rPr>
                <w:bCs/>
                <w:sz w:val="24"/>
              </w:rPr>
              <w:t>烟气SCR脱硝、除尘和湿法脱硫</w:t>
            </w:r>
            <w:r>
              <w:rPr>
                <w:rFonts w:hint="eastAsia"/>
                <w:bCs/>
                <w:sz w:val="24"/>
              </w:rPr>
              <w:t>等污染防治设施对汞及其化合物具有协同脱除效果，脱除效率约70%。</w:t>
            </w:r>
            <w:r>
              <w:rPr>
                <w:bCs/>
                <w:sz w:val="24"/>
              </w:rPr>
              <w:t xml:space="preserve"> </w:t>
            </w:r>
          </w:p>
          <w:p w14:paraId="41B0D00C">
            <w:pPr>
              <w:adjustRightInd w:val="0"/>
              <w:snapToGrid w:val="0"/>
              <w:spacing w:line="360" w:lineRule="auto"/>
              <w:ind w:firstLine="480" w:firstLineChars="200"/>
              <w:rPr>
                <w:bCs/>
                <w:sz w:val="24"/>
              </w:rPr>
            </w:pPr>
            <w:r>
              <w:rPr>
                <w:bCs/>
                <w:sz w:val="24"/>
              </w:rPr>
              <w:t>本项目锅炉废气燃烧参数选取见表</w:t>
            </w:r>
            <w:r>
              <w:rPr>
                <w:rFonts w:hint="eastAsia"/>
                <w:bCs/>
                <w:sz w:val="24"/>
              </w:rPr>
              <w:t>4-1</w:t>
            </w:r>
            <w:r>
              <w:rPr>
                <w:bCs/>
                <w:sz w:val="24"/>
              </w:rPr>
              <w:t>。</w:t>
            </w:r>
          </w:p>
          <w:p w14:paraId="372A3932">
            <w:pPr>
              <w:adjustRightInd w:val="0"/>
              <w:snapToGrid w:val="0"/>
              <w:jc w:val="center"/>
              <w:rPr>
                <w:b/>
                <w:bCs/>
                <w:szCs w:val="21"/>
              </w:rPr>
            </w:pPr>
            <w:r>
              <w:rPr>
                <w:b/>
                <w:bCs/>
                <w:szCs w:val="21"/>
              </w:rPr>
              <w:t>表</w:t>
            </w:r>
            <w:r>
              <w:rPr>
                <w:rFonts w:hint="eastAsia"/>
                <w:b/>
                <w:bCs/>
                <w:szCs w:val="21"/>
              </w:rPr>
              <w:t xml:space="preserve">4-1 </w:t>
            </w:r>
            <w:r>
              <w:rPr>
                <w:b/>
                <w:bCs/>
                <w:szCs w:val="21"/>
              </w:rPr>
              <w:t>锅炉废气燃烧选取参数一览表</w:t>
            </w:r>
          </w:p>
          <w:tbl>
            <w:tblPr>
              <w:tblStyle w:val="3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04"/>
              <w:gridCol w:w="3253"/>
            </w:tblGrid>
            <w:tr w14:paraId="784DAA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81" w:type="pct"/>
                  <w:vAlign w:val="center"/>
                </w:tcPr>
                <w:p w14:paraId="69E10F06">
                  <w:pPr>
                    <w:adjustRightInd w:val="0"/>
                    <w:snapToGrid w:val="0"/>
                    <w:jc w:val="center"/>
                    <w:rPr>
                      <w:bCs/>
                      <w:szCs w:val="21"/>
                    </w:rPr>
                  </w:pPr>
                  <w:r>
                    <w:rPr>
                      <w:bCs/>
                      <w:szCs w:val="21"/>
                    </w:rPr>
                    <w:t>参数项目</w:t>
                  </w:r>
                </w:p>
              </w:tc>
              <w:tc>
                <w:tcPr>
                  <w:tcW w:w="2019" w:type="pct"/>
                  <w:vAlign w:val="center"/>
                </w:tcPr>
                <w:p w14:paraId="7A0A4D8A">
                  <w:pPr>
                    <w:adjustRightInd w:val="0"/>
                    <w:snapToGrid w:val="0"/>
                    <w:jc w:val="center"/>
                    <w:rPr>
                      <w:bCs/>
                      <w:szCs w:val="21"/>
                    </w:rPr>
                  </w:pPr>
                  <w:r>
                    <w:rPr>
                      <w:rFonts w:hint="eastAsia"/>
                      <w:bCs/>
                      <w:szCs w:val="21"/>
                    </w:rPr>
                    <w:t>本</w:t>
                  </w:r>
                  <w:r>
                    <w:rPr>
                      <w:bCs/>
                      <w:szCs w:val="21"/>
                    </w:rPr>
                    <w:t>项目取值</w:t>
                  </w:r>
                </w:p>
              </w:tc>
            </w:tr>
            <w:tr w14:paraId="62BBA9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81" w:type="pct"/>
                  <w:vAlign w:val="center"/>
                </w:tcPr>
                <w:p w14:paraId="569ABA18">
                  <w:pPr>
                    <w:adjustRightInd w:val="0"/>
                    <w:snapToGrid w:val="0"/>
                    <w:jc w:val="center"/>
                    <w:rPr>
                      <w:bCs/>
                      <w:szCs w:val="21"/>
                    </w:rPr>
                  </w:pPr>
                  <w:r>
                    <w:rPr>
                      <w:bCs/>
                      <w:szCs w:val="21"/>
                    </w:rPr>
                    <w:t>Q</w:t>
                  </w:r>
                  <w:r>
                    <w:rPr>
                      <w:bCs/>
                      <w:szCs w:val="21"/>
                      <w:vertAlign w:val="subscript"/>
                    </w:rPr>
                    <w:t>net.ar</w:t>
                  </w:r>
                  <w:r>
                    <w:rPr>
                      <w:bCs/>
                      <w:szCs w:val="21"/>
                    </w:rPr>
                    <w:t>固体燃料收到基低位发热量（kJ/kg）</w:t>
                  </w:r>
                </w:p>
              </w:tc>
              <w:tc>
                <w:tcPr>
                  <w:tcW w:w="2019" w:type="pct"/>
                  <w:vAlign w:val="center"/>
                </w:tcPr>
                <w:p w14:paraId="08E20A8E">
                  <w:pPr>
                    <w:adjustRightInd w:val="0"/>
                    <w:snapToGrid w:val="0"/>
                    <w:jc w:val="center"/>
                    <w:rPr>
                      <w:bCs/>
                      <w:szCs w:val="21"/>
                    </w:rPr>
                  </w:pPr>
                  <w:r>
                    <w:rPr>
                      <w:rFonts w:hint="eastAsia"/>
                      <w:bCs/>
                      <w:szCs w:val="21"/>
                    </w:rPr>
                    <w:t>23798.59</w:t>
                  </w:r>
                </w:p>
              </w:tc>
            </w:tr>
            <w:tr w14:paraId="2452DD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81" w:type="pct"/>
                  <w:vAlign w:val="center"/>
                </w:tcPr>
                <w:p w14:paraId="5459CB67">
                  <w:pPr>
                    <w:adjustRightInd w:val="0"/>
                    <w:snapToGrid w:val="0"/>
                    <w:jc w:val="center"/>
                    <w:rPr>
                      <w:bCs/>
                      <w:szCs w:val="21"/>
                    </w:rPr>
                  </w:pPr>
                  <w:r>
                    <w:rPr>
                      <w:bCs/>
                      <w:szCs w:val="21"/>
                    </w:rPr>
                    <w:t>α过量空气系数</w:t>
                  </w:r>
                  <w:r>
                    <w:rPr>
                      <w:rFonts w:hint="eastAsia"/>
                      <w:bCs/>
                      <w:szCs w:val="21"/>
                    </w:rPr>
                    <w:t xml:space="preserve"> </w:t>
                  </w:r>
                </w:p>
              </w:tc>
              <w:tc>
                <w:tcPr>
                  <w:tcW w:w="2019" w:type="pct"/>
                  <w:vAlign w:val="center"/>
                </w:tcPr>
                <w:p w14:paraId="13DD1A9E">
                  <w:pPr>
                    <w:adjustRightInd w:val="0"/>
                    <w:snapToGrid w:val="0"/>
                    <w:jc w:val="center"/>
                    <w:rPr>
                      <w:bCs/>
                      <w:szCs w:val="21"/>
                    </w:rPr>
                  </w:pPr>
                  <w:r>
                    <w:rPr>
                      <w:bCs/>
                      <w:szCs w:val="21"/>
                    </w:rPr>
                    <w:t>1.75</w:t>
                  </w:r>
                </w:p>
              </w:tc>
            </w:tr>
            <w:tr w14:paraId="7748B7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81" w:type="pct"/>
                  <w:vAlign w:val="center"/>
                </w:tcPr>
                <w:p w14:paraId="1A1A19E9">
                  <w:pPr>
                    <w:adjustRightInd w:val="0"/>
                    <w:snapToGrid w:val="0"/>
                    <w:jc w:val="center"/>
                    <w:rPr>
                      <w:bCs/>
                      <w:szCs w:val="21"/>
                    </w:rPr>
                  </w:pPr>
                  <w:r>
                    <w:rPr>
                      <w:bCs/>
                      <w:szCs w:val="21"/>
                    </w:rPr>
                    <w:t>R固体燃料消耗量 t/a</w:t>
                  </w:r>
                  <w:r>
                    <w:rPr>
                      <w:rFonts w:hint="eastAsia"/>
                      <w:bCs/>
                      <w:szCs w:val="21"/>
                    </w:rPr>
                    <w:t xml:space="preserve"> </w:t>
                  </w:r>
                </w:p>
              </w:tc>
              <w:tc>
                <w:tcPr>
                  <w:tcW w:w="2019" w:type="pct"/>
                  <w:vAlign w:val="center"/>
                </w:tcPr>
                <w:p w14:paraId="7660B690">
                  <w:pPr>
                    <w:adjustRightInd w:val="0"/>
                    <w:snapToGrid w:val="0"/>
                    <w:jc w:val="center"/>
                    <w:rPr>
                      <w:bCs/>
                      <w:szCs w:val="21"/>
                    </w:rPr>
                  </w:pPr>
                  <w:r>
                    <w:rPr>
                      <w:bCs/>
                      <w:szCs w:val="21"/>
                    </w:rPr>
                    <w:t>采暖期</w:t>
                  </w:r>
                  <w:r>
                    <w:rPr>
                      <w:rFonts w:hint="eastAsia"/>
                      <w:bCs/>
                      <w:szCs w:val="21"/>
                    </w:rPr>
                    <w:t>耗煤量2</w:t>
                  </w:r>
                  <w:r>
                    <w:rPr>
                      <w:bCs/>
                      <w:szCs w:val="21"/>
                    </w:rPr>
                    <w:t>8222t，非采暖期</w:t>
                  </w:r>
                  <w:r>
                    <w:rPr>
                      <w:rFonts w:hint="eastAsia"/>
                      <w:bCs/>
                      <w:szCs w:val="21"/>
                    </w:rPr>
                    <w:t>9</w:t>
                  </w:r>
                  <w:r>
                    <w:rPr>
                      <w:bCs/>
                      <w:szCs w:val="21"/>
                    </w:rPr>
                    <w:t>408t，合计</w:t>
                  </w:r>
                  <w:r>
                    <w:rPr>
                      <w:rFonts w:hint="eastAsia"/>
                      <w:bCs/>
                      <w:szCs w:val="21"/>
                    </w:rPr>
                    <w:t>37630</w:t>
                  </w:r>
                  <w:r>
                    <w:rPr>
                      <w:bCs/>
                      <w:szCs w:val="21"/>
                    </w:rPr>
                    <w:t>t</w:t>
                  </w:r>
                </w:p>
              </w:tc>
            </w:tr>
            <w:tr w14:paraId="39A196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81" w:type="pct"/>
                  <w:vAlign w:val="center"/>
                </w:tcPr>
                <w:p w14:paraId="3BC71A2F">
                  <w:pPr>
                    <w:adjustRightInd w:val="0"/>
                    <w:snapToGrid w:val="0"/>
                    <w:jc w:val="center"/>
                    <w:rPr>
                      <w:bCs/>
                      <w:szCs w:val="21"/>
                    </w:rPr>
                  </w:pPr>
                  <w:r>
                    <w:rPr>
                      <w:bCs/>
                      <w:szCs w:val="21"/>
                    </w:rPr>
                    <w:t>烟气含湿量， %</w:t>
                  </w:r>
                </w:p>
              </w:tc>
              <w:tc>
                <w:tcPr>
                  <w:tcW w:w="2019" w:type="pct"/>
                  <w:vAlign w:val="center"/>
                </w:tcPr>
                <w:p w14:paraId="60445C9B">
                  <w:pPr>
                    <w:adjustRightInd w:val="0"/>
                    <w:snapToGrid w:val="0"/>
                    <w:jc w:val="center"/>
                    <w:rPr>
                      <w:bCs/>
                      <w:szCs w:val="21"/>
                    </w:rPr>
                  </w:pPr>
                  <w:r>
                    <w:rPr>
                      <w:bCs/>
                      <w:szCs w:val="21"/>
                    </w:rPr>
                    <w:t>5</w:t>
                  </w:r>
                </w:p>
              </w:tc>
            </w:tr>
            <w:tr w14:paraId="711759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81" w:type="pct"/>
                  <w:vAlign w:val="center"/>
                </w:tcPr>
                <w:p w14:paraId="0724FC4B">
                  <w:pPr>
                    <w:adjustRightInd w:val="0"/>
                    <w:snapToGrid w:val="0"/>
                    <w:jc w:val="center"/>
                    <w:rPr>
                      <w:bCs/>
                      <w:szCs w:val="21"/>
                    </w:rPr>
                  </w:pPr>
                  <w:r>
                    <w:rPr>
                      <w:bCs/>
                      <w:szCs w:val="21"/>
                    </w:rPr>
                    <w:t>A</w:t>
                  </w:r>
                  <w:r>
                    <w:rPr>
                      <w:bCs/>
                      <w:szCs w:val="21"/>
                      <w:vertAlign w:val="subscript"/>
                    </w:rPr>
                    <w:t>ar</w:t>
                  </w:r>
                  <w:r>
                    <w:rPr>
                      <w:bCs/>
                      <w:szCs w:val="21"/>
                    </w:rPr>
                    <w:t>收到基灰分的质量分数， %</w:t>
                  </w:r>
                  <w:r>
                    <w:rPr>
                      <w:rFonts w:hint="eastAsia"/>
                      <w:bCs/>
                      <w:szCs w:val="21"/>
                    </w:rPr>
                    <w:t xml:space="preserve"> </w:t>
                  </w:r>
                </w:p>
              </w:tc>
              <w:tc>
                <w:tcPr>
                  <w:tcW w:w="2019" w:type="pct"/>
                  <w:vAlign w:val="center"/>
                </w:tcPr>
                <w:p w14:paraId="30EF8D95">
                  <w:pPr>
                    <w:adjustRightInd w:val="0"/>
                    <w:snapToGrid w:val="0"/>
                    <w:jc w:val="center"/>
                    <w:rPr>
                      <w:bCs/>
                      <w:szCs w:val="21"/>
                    </w:rPr>
                  </w:pPr>
                  <w:r>
                    <w:rPr>
                      <w:rFonts w:hint="eastAsia"/>
                      <w:bCs/>
                      <w:szCs w:val="21"/>
                    </w:rPr>
                    <w:t>4.54</w:t>
                  </w:r>
                </w:p>
              </w:tc>
            </w:tr>
            <w:tr w14:paraId="0E0A9A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81" w:type="pct"/>
                  <w:vAlign w:val="center"/>
                </w:tcPr>
                <w:p w14:paraId="27DC2087">
                  <w:pPr>
                    <w:adjustRightInd w:val="0"/>
                    <w:snapToGrid w:val="0"/>
                    <w:jc w:val="center"/>
                    <w:rPr>
                      <w:bCs/>
                      <w:szCs w:val="21"/>
                    </w:rPr>
                  </w:pPr>
                  <w:r>
                    <w:rPr>
                      <w:bCs/>
                      <w:szCs w:val="21"/>
                    </w:rPr>
                    <w:t>d</w:t>
                  </w:r>
                  <w:r>
                    <w:rPr>
                      <w:bCs/>
                      <w:szCs w:val="21"/>
                      <w:vertAlign w:val="subscript"/>
                    </w:rPr>
                    <w:t>fh</w:t>
                  </w:r>
                  <w:r>
                    <w:rPr>
                      <w:bCs/>
                      <w:szCs w:val="21"/>
                    </w:rPr>
                    <w:t>锅炉烟气带出的飞灰份额， %</w:t>
                  </w:r>
                </w:p>
              </w:tc>
              <w:tc>
                <w:tcPr>
                  <w:tcW w:w="2019" w:type="pct"/>
                  <w:vAlign w:val="center"/>
                </w:tcPr>
                <w:p w14:paraId="42D8B0FC">
                  <w:pPr>
                    <w:adjustRightInd w:val="0"/>
                    <w:snapToGrid w:val="0"/>
                    <w:jc w:val="center"/>
                    <w:rPr>
                      <w:bCs/>
                      <w:szCs w:val="21"/>
                    </w:rPr>
                  </w:pPr>
                  <w:r>
                    <w:rPr>
                      <w:rFonts w:hint="eastAsia"/>
                      <w:bCs/>
                      <w:szCs w:val="21"/>
                    </w:rPr>
                    <w:t>20</w:t>
                  </w:r>
                </w:p>
              </w:tc>
            </w:tr>
            <w:tr w14:paraId="489B2A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81" w:type="pct"/>
                  <w:vAlign w:val="center"/>
                </w:tcPr>
                <w:p w14:paraId="47D5EA01">
                  <w:pPr>
                    <w:adjustRightInd w:val="0"/>
                    <w:snapToGrid w:val="0"/>
                    <w:jc w:val="center"/>
                    <w:rPr>
                      <w:bCs/>
                      <w:szCs w:val="21"/>
                    </w:rPr>
                  </w:pPr>
                  <w:r>
                    <w:rPr>
                      <w:rFonts w:hint="eastAsia"/>
                      <w:bCs/>
                      <w:szCs w:val="21"/>
                    </w:rPr>
                    <w:sym w:font="Symbol" w:char="F068"/>
                  </w:r>
                  <w:r>
                    <w:rPr>
                      <w:bCs/>
                      <w:szCs w:val="21"/>
                      <w:vertAlign w:val="subscript"/>
                    </w:rPr>
                    <w:t>c</w:t>
                  </w:r>
                  <w:r>
                    <w:rPr>
                      <w:bCs/>
                      <w:szCs w:val="21"/>
                    </w:rPr>
                    <w:t>综合除尘效率， %</w:t>
                  </w:r>
                  <w:r>
                    <w:rPr>
                      <w:rFonts w:hint="eastAsia"/>
                      <w:bCs/>
                      <w:szCs w:val="21"/>
                    </w:rPr>
                    <w:t xml:space="preserve"> </w:t>
                  </w:r>
                </w:p>
              </w:tc>
              <w:tc>
                <w:tcPr>
                  <w:tcW w:w="2019" w:type="pct"/>
                  <w:vAlign w:val="center"/>
                </w:tcPr>
                <w:p w14:paraId="747F0978">
                  <w:pPr>
                    <w:adjustRightInd w:val="0"/>
                    <w:snapToGrid w:val="0"/>
                    <w:jc w:val="center"/>
                    <w:rPr>
                      <w:bCs/>
                      <w:szCs w:val="21"/>
                    </w:rPr>
                  </w:pPr>
                  <w:r>
                    <w:rPr>
                      <w:bCs/>
                      <w:szCs w:val="21"/>
                    </w:rPr>
                    <w:t>99</w:t>
                  </w:r>
                </w:p>
              </w:tc>
            </w:tr>
            <w:tr w14:paraId="07A00B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81" w:type="pct"/>
                  <w:vAlign w:val="center"/>
                </w:tcPr>
                <w:p w14:paraId="03A7CB2D">
                  <w:pPr>
                    <w:adjustRightInd w:val="0"/>
                    <w:snapToGrid w:val="0"/>
                    <w:jc w:val="center"/>
                    <w:rPr>
                      <w:bCs/>
                      <w:szCs w:val="21"/>
                    </w:rPr>
                  </w:pPr>
                  <w:r>
                    <w:rPr>
                      <w:bCs/>
                      <w:szCs w:val="21"/>
                    </w:rPr>
                    <w:t>C</w:t>
                  </w:r>
                  <w:r>
                    <w:rPr>
                      <w:bCs/>
                      <w:szCs w:val="21"/>
                      <w:vertAlign w:val="subscript"/>
                    </w:rPr>
                    <w:t>fh</w:t>
                  </w:r>
                  <w:r>
                    <w:rPr>
                      <w:bCs/>
                      <w:szCs w:val="21"/>
                    </w:rPr>
                    <w:t>飞灰中的可燃物含量，%</w:t>
                  </w:r>
                  <w:r>
                    <w:rPr>
                      <w:rFonts w:hint="eastAsia"/>
                      <w:bCs/>
                      <w:szCs w:val="21"/>
                    </w:rPr>
                    <w:t xml:space="preserve"> </w:t>
                  </w:r>
                </w:p>
              </w:tc>
              <w:tc>
                <w:tcPr>
                  <w:tcW w:w="2019" w:type="pct"/>
                  <w:vAlign w:val="center"/>
                </w:tcPr>
                <w:p w14:paraId="572A2A27">
                  <w:pPr>
                    <w:adjustRightInd w:val="0"/>
                    <w:snapToGrid w:val="0"/>
                    <w:jc w:val="center"/>
                    <w:rPr>
                      <w:bCs/>
                      <w:szCs w:val="21"/>
                    </w:rPr>
                  </w:pPr>
                  <w:r>
                    <w:rPr>
                      <w:rFonts w:hint="eastAsia"/>
                      <w:bCs/>
                      <w:szCs w:val="21"/>
                    </w:rPr>
                    <w:t>13</w:t>
                  </w:r>
                </w:p>
              </w:tc>
            </w:tr>
            <w:tr w14:paraId="416030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81" w:type="pct"/>
                  <w:vAlign w:val="center"/>
                </w:tcPr>
                <w:p w14:paraId="21F2D946">
                  <w:pPr>
                    <w:adjustRightInd w:val="0"/>
                    <w:snapToGrid w:val="0"/>
                    <w:jc w:val="center"/>
                    <w:rPr>
                      <w:bCs/>
                      <w:szCs w:val="21"/>
                    </w:rPr>
                  </w:pPr>
                  <w:r>
                    <w:rPr>
                      <w:bCs/>
                      <w:szCs w:val="21"/>
                    </w:rPr>
                    <w:t>S</w:t>
                  </w:r>
                  <w:r>
                    <w:rPr>
                      <w:bCs/>
                      <w:szCs w:val="21"/>
                      <w:vertAlign w:val="subscript"/>
                    </w:rPr>
                    <w:t>ar</w:t>
                  </w:r>
                  <w:r>
                    <w:rPr>
                      <w:bCs/>
                      <w:szCs w:val="21"/>
                    </w:rPr>
                    <w:t>收到基硫的质量分数， %</w:t>
                  </w:r>
                </w:p>
              </w:tc>
              <w:tc>
                <w:tcPr>
                  <w:tcW w:w="2019" w:type="pct"/>
                  <w:vAlign w:val="center"/>
                </w:tcPr>
                <w:p w14:paraId="7C8625AC">
                  <w:pPr>
                    <w:adjustRightInd w:val="0"/>
                    <w:snapToGrid w:val="0"/>
                    <w:jc w:val="center"/>
                    <w:rPr>
                      <w:bCs/>
                      <w:szCs w:val="21"/>
                    </w:rPr>
                  </w:pPr>
                  <w:r>
                    <w:rPr>
                      <w:rFonts w:hint="eastAsia"/>
                      <w:bCs/>
                      <w:szCs w:val="21"/>
                    </w:rPr>
                    <w:t>0.18</w:t>
                  </w:r>
                </w:p>
              </w:tc>
            </w:tr>
            <w:tr w14:paraId="7E1101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81" w:type="pct"/>
                  <w:vAlign w:val="center"/>
                </w:tcPr>
                <w:p w14:paraId="2222D9D3">
                  <w:pPr>
                    <w:adjustRightInd w:val="0"/>
                    <w:snapToGrid w:val="0"/>
                    <w:jc w:val="center"/>
                    <w:rPr>
                      <w:bCs/>
                      <w:szCs w:val="21"/>
                    </w:rPr>
                  </w:pPr>
                  <w:r>
                    <w:rPr>
                      <w:rFonts w:hint="eastAsia"/>
                      <w:bCs/>
                      <w:szCs w:val="21"/>
                    </w:rPr>
                    <w:sym w:font="Symbol" w:char="F068"/>
                  </w:r>
                  <w:r>
                    <w:rPr>
                      <w:bCs/>
                      <w:szCs w:val="21"/>
                      <w:vertAlign w:val="subscript"/>
                    </w:rPr>
                    <w:t>s</w:t>
                  </w:r>
                  <w:r>
                    <w:rPr>
                      <w:bCs/>
                      <w:szCs w:val="21"/>
                    </w:rPr>
                    <w:t>脱硫效率， %</w:t>
                  </w:r>
                </w:p>
              </w:tc>
              <w:tc>
                <w:tcPr>
                  <w:tcW w:w="2019" w:type="pct"/>
                  <w:vAlign w:val="center"/>
                </w:tcPr>
                <w:p w14:paraId="2E0B2ED9">
                  <w:pPr>
                    <w:adjustRightInd w:val="0"/>
                    <w:snapToGrid w:val="0"/>
                    <w:jc w:val="center"/>
                    <w:rPr>
                      <w:bCs/>
                      <w:szCs w:val="21"/>
                    </w:rPr>
                  </w:pPr>
                  <w:r>
                    <w:rPr>
                      <w:rFonts w:hint="eastAsia"/>
                      <w:bCs/>
                      <w:szCs w:val="21"/>
                    </w:rPr>
                    <w:t>8</w:t>
                  </w:r>
                  <w:r>
                    <w:rPr>
                      <w:bCs/>
                      <w:szCs w:val="21"/>
                    </w:rPr>
                    <w:t>0</w:t>
                  </w:r>
                </w:p>
              </w:tc>
            </w:tr>
            <w:tr w14:paraId="6B842E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81" w:type="pct"/>
                  <w:vAlign w:val="center"/>
                </w:tcPr>
                <w:p w14:paraId="6D6D3D85">
                  <w:pPr>
                    <w:adjustRightInd w:val="0"/>
                    <w:snapToGrid w:val="0"/>
                    <w:jc w:val="center"/>
                    <w:rPr>
                      <w:bCs/>
                      <w:szCs w:val="21"/>
                    </w:rPr>
                  </w:pPr>
                  <w:r>
                    <w:rPr>
                      <w:bCs/>
                      <w:szCs w:val="21"/>
                    </w:rPr>
                    <w:t>q</w:t>
                  </w:r>
                  <w:r>
                    <w:rPr>
                      <w:bCs/>
                      <w:szCs w:val="21"/>
                      <w:vertAlign w:val="subscript"/>
                    </w:rPr>
                    <w:t>4</w:t>
                  </w:r>
                  <w:r>
                    <w:rPr>
                      <w:bCs/>
                      <w:szCs w:val="21"/>
                    </w:rPr>
                    <w:t>锅炉机械不完全燃烧热损失， %</w:t>
                  </w:r>
                </w:p>
              </w:tc>
              <w:tc>
                <w:tcPr>
                  <w:tcW w:w="2019" w:type="pct"/>
                  <w:vAlign w:val="center"/>
                </w:tcPr>
                <w:p w14:paraId="12DE0C22">
                  <w:pPr>
                    <w:adjustRightInd w:val="0"/>
                    <w:snapToGrid w:val="0"/>
                    <w:jc w:val="center"/>
                    <w:rPr>
                      <w:bCs/>
                      <w:szCs w:val="21"/>
                    </w:rPr>
                  </w:pPr>
                  <w:r>
                    <w:rPr>
                      <w:rFonts w:hint="eastAsia"/>
                      <w:bCs/>
                      <w:szCs w:val="21"/>
                    </w:rPr>
                    <w:t>5</w:t>
                  </w:r>
                </w:p>
              </w:tc>
            </w:tr>
            <w:tr w14:paraId="220E35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81" w:type="pct"/>
                  <w:vAlign w:val="center"/>
                </w:tcPr>
                <w:p w14:paraId="490135CA">
                  <w:pPr>
                    <w:adjustRightInd w:val="0"/>
                    <w:snapToGrid w:val="0"/>
                    <w:jc w:val="center"/>
                    <w:rPr>
                      <w:bCs/>
                      <w:szCs w:val="21"/>
                    </w:rPr>
                  </w:pPr>
                  <w:r>
                    <w:rPr>
                      <w:bCs/>
                      <w:szCs w:val="21"/>
                    </w:rPr>
                    <w:t>K燃料中的硫燃烧后氧化成二氧化硫的份额</w:t>
                  </w:r>
                </w:p>
              </w:tc>
              <w:tc>
                <w:tcPr>
                  <w:tcW w:w="2019" w:type="pct"/>
                  <w:vAlign w:val="center"/>
                </w:tcPr>
                <w:p w14:paraId="4E79646B">
                  <w:pPr>
                    <w:adjustRightInd w:val="0"/>
                    <w:snapToGrid w:val="0"/>
                    <w:jc w:val="center"/>
                    <w:rPr>
                      <w:bCs/>
                      <w:szCs w:val="21"/>
                    </w:rPr>
                  </w:pPr>
                  <w:r>
                    <w:rPr>
                      <w:bCs/>
                      <w:szCs w:val="21"/>
                    </w:rPr>
                    <w:t>0.</w:t>
                  </w:r>
                  <w:r>
                    <w:rPr>
                      <w:rFonts w:hint="eastAsia"/>
                      <w:bCs/>
                      <w:szCs w:val="21"/>
                    </w:rPr>
                    <w:t>8</w:t>
                  </w:r>
                  <w:r>
                    <w:rPr>
                      <w:bCs/>
                      <w:szCs w:val="21"/>
                    </w:rPr>
                    <w:t>5</w:t>
                  </w:r>
                </w:p>
              </w:tc>
            </w:tr>
            <w:tr w14:paraId="75F1E8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81" w:type="pct"/>
                  <w:vAlign w:val="center"/>
                </w:tcPr>
                <w:p w14:paraId="16195882">
                  <w:pPr>
                    <w:adjustRightInd w:val="0"/>
                    <w:snapToGrid w:val="0"/>
                    <w:jc w:val="center"/>
                    <w:rPr>
                      <w:bCs/>
                      <w:szCs w:val="21"/>
                    </w:rPr>
                  </w:pPr>
                  <w:r>
                    <w:rPr>
                      <w:rFonts w:hint="eastAsia"/>
                      <w:bCs/>
                      <w:szCs w:val="21"/>
                    </w:rPr>
                    <w:sym w:font="Symbol" w:char="F068"/>
                  </w:r>
                  <w:r>
                    <w:rPr>
                      <w:rFonts w:hint="eastAsia"/>
                      <w:bCs/>
                      <w:szCs w:val="21"/>
                      <w:vertAlign w:val="subscript"/>
                    </w:rPr>
                    <w:t>NOx</w:t>
                  </w:r>
                  <w:r>
                    <w:rPr>
                      <w:bCs/>
                      <w:szCs w:val="21"/>
                    </w:rPr>
                    <w:t>脱硝效率， %</w:t>
                  </w:r>
                </w:p>
              </w:tc>
              <w:tc>
                <w:tcPr>
                  <w:tcW w:w="2019" w:type="pct"/>
                  <w:vAlign w:val="center"/>
                </w:tcPr>
                <w:p w14:paraId="65653011">
                  <w:pPr>
                    <w:adjustRightInd w:val="0"/>
                    <w:snapToGrid w:val="0"/>
                    <w:jc w:val="center"/>
                    <w:rPr>
                      <w:bCs/>
                      <w:szCs w:val="21"/>
                    </w:rPr>
                  </w:pPr>
                  <w:r>
                    <w:rPr>
                      <w:rFonts w:hint="eastAsia"/>
                      <w:bCs/>
                      <w:szCs w:val="21"/>
                    </w:rPr>
                    <w:t>55</w:t>
                  </w:r>
                </w:p>
              </w:tc>
            </w:tr>
            <w:tr w14:paraId="4AB830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81" w:type="pct"/>
                  <w:vAlign w:val="center"/>
                </w:tcPr>
                <w:p w14:paraId="1CAC35A8">
                  <w:pPr>
                    <w:adjustRightInd w:val="0"/>
                    <w:snapToGrid w:val="0"/>
                    <w:jc w:val="center"/>
                    <w:rPr>
                      <w:bCs/>
                      <w:szCs w:val="21"/>
                    </w:rPr>
                  </w:pPr>
                  <w:r>
                    <w:rPr>
                      <w:bCs/>
                      <w:szCs w:val="21"/>
                    </w:rPr>
                    <w:t>m</w:t>
                  </w:r>
                  <w:r>
                    <w:rPr>
                      <w:bCs/>
                      <w:szCs w:val="21"/>
                      <w:vertAlign w:val="subscript"/>
                    </w:rPr>
                    <w:t>Hgar</w:t>
                  </w:r>
                  <w:r>
                    <w:rPr>
                      <w:bCs/>
                      <w:szCs w:val="21"/>
                    </w:rPr>
                    <w:t>收到基汞的含量</w:t>
                  </w:r>
                  <w:r>
                    <w:rPr>
                      <w:rFonts w:hint="eastAsia"/>
                      <w:bCs/>
                      <w:szCs w:val="21"/>
                    </w:rPr>
                    <w:t>，</w:t>
                  </w:r>
                  <w:r>
                    <w:rPr>
                      <w:bCs/>
                      <w:szCs w:val="21"/>
                    </w:rPr>
                    <w:t>mg/kg</w:t>
                  </w:r>
                </w:p>
              </w:tc>
              <w:tc>
                <w:tcPr>
                  <w:tcW w:w="2019" w:type="pct"/>
                  <w:vAlign w:val="center"/>
                </w:tcPr>
                <w:p w14:paraId="1593307F">
                  <w:pPr>
                    <w:adjustRightInd w:val="0"/>
                    <w:snapToGrid w:val="0"/>
                    <w:jc w:val="center"/>
                    <w:rPr>
                      <w:bCs/>
                      <w:szCs w:val="21"/>
                    </w:rPr>
                  </w:pPr>
                  <w:r>
                    <w:rPr>
                      <w:rFonts w:hint="eastAsia"/>
                      <w:bCs/>
                      <w:szCs w:val="21"/>
                    </w:rPr>
                    <w:t>0.22</w:t>
                  </w:r>
                </w:p>
              </w:tc>
            </w:tr>
            <w:tr w14:paraId="7B2DEC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81" w:type="pct"/>
                  <w:vAlign w:val="center"/>
                </w:tcPr>
                <w:p w14:paraId="3ED639A1">
                  <w:pPr>
                    <w:adjustRightInd w:val="0"/>
                    <w:snapToGrid w:val="0"/>
                    <w:jc w:val="center"/>
                    <w:rPr>
                      <w:bCs/>
                      <w:szCs w:val="21"/>
                    </w:rPr>
                  </w:pPr>
                  <w:r>
                    <w:rPr>
                      <w:rFonts w:hint="eastAsia"/>
                      <w:bCs/>
                      <w:szCs w:val="21"/>
                    </w:rPr>
                    <w:sym w:font="Symbol" w:char="F068"/>
                  </w:r>
                  <w:r>
                    <w:rPr>
                      <w:bCs/>
                      <w:szCs w:val="21"/>
                      <w:vertAlign w:val="subscript"/>
                    </w:rPr>
                    <w:t>s</w:t>
                  </w:r>
                  <w:r>
                    <w:rPr>
                      <w:rFonts w:hint="eastAsia"/>
                      <w:bCs/>
                      <w:szCs w:val="21"/>
                    </w:rPr>
                    <w:t>除汞</w:t>
                  </w:r>
                  <w:r>
                    <w:rPr>
                      <w:bCs/>
                      <w:szCs w:val="21"/>
                    </w:rPr>
                    <w:t>效率， %</w:t>
                  </w:r>
                </w:p>
              </w:tc>
              <w:tc>
                <w:tcPr>
                  <w:tcW w:w="2019" w:type="pct"/>
                  <w:vAlign w:val="center"/>
                </w:tcPr>
                <w:p w14:paraId="3B6DB7B8">
                  <w:pPr>
                    <w:adjustRightInd w:val="0"/>
                    <w:snapToGrid w:val="0"/>
                    <w:jc w:val="center"/>
                    <w:rPr>
                      <w:bCs/>
                      <w:szCs w:val="21"/>
                    </w:rPr>
                  </w:pPr>
                  <w:r>
                    <w:rPr>
                      <w:rFonts w:hint="eastAsia"/>
                      <w:bCs/>
                      <w:szCs w:val="21"/>
                    </w:rPr>
                    <w:t>70</w:t>
                  </w:r>
                </w:p>
              </w:tc>
            </w:tr>
          </w:tbl>
          <w:p w14:paraId="3AA35B55">
            <w:pPr>
              <w:adjustRightInd w:val="0"/>
              <w:snapToGrid w:val="0"/>
              <w:spacing w:line="360" w:lineRule="auto"/>
              <w:ind w:firstLine="480" w:firstLineChars="200"/>
              <w:rPr>
                <w:bCs/>
                <w:sz w:val="24"/>
              </w:rPr>
            </w:pPr>
            <w:r>
              <w:rPr>
                <w:bCs/>
                <w:sz w:val="24"/>
              </w:rPr>
              <w:t>本项目采用</w:t>
            </w:r>
            <w:r>
              <w:rPr>
                <w:rFonts w:hint="eastAsia"/>
                <w:bCs/>
                <w:sz w:val="24"/>
              </w:rPr>
              <w:t>SNCR+</w:t>
            </w:r>
            <w:r>
              <w:rPr>
                <w:bCs/>
                <w:sz w:val="24"/>
              </w:rPr>
              <w:t>SCR脱硝，以尿素为脱硝还原剂，袋装尿素颗粒由上料机提升至溶解罐内，于溶解罐内搅拌并被水溶解，经过精确地计算制备为一定浓度的尿素浓溶液，之后由输送泵输送进入尿素</w:t>
            </w:r>
            <w:r>
              <w:rPr>
                <w:rFonts w:hint="eastAsia"/>
                <w:bCs/>
                <w:sz w:val="24"/>
              </w:rPr>
              <w:t>溶液</w:t>
            </w:r>
            <w:r>
              <w:rPr>
                <w:bCs/>
                <w:sz w:val="24"/>
              </w:rPr>
              <w:t>储罐以备待用。常温下，尿素水解</w:t>
            </w:r>
            <w:r>
              <w:rPr>
                <w:rFonts w:hint="eastAsia"/>
                <w:bCs/>
                <w:sz w:val="24"/>
              </w:rPr>
              <w:t>生成</w:t>
            </w:r>
            <w:r>
              <w:rPr>
                <w:bCs/>
                <w:sz w:val="24"/>
              </w:rPr>
              <w:t>的氨的量很小，且项目尿素溶液配制罐、储存罐为封闭状，因此无储罐的氨气无组织排放。但脱硝过程中会有氨逃逸，本项目脱硝装置的氨逃逸水平设计最大值为</w:t>
            </w:r>
            <w:r>
              <w:rPr>
                <w:rFonts w:hint="eastAsia"/>
                <w:bCs/>
                <w:sz w:val="24"/>
              </w:rPr>
              <w:t>2.5</w:t>
            </w:r>
            <w:r>
              <w:rPr>
                <w:bCs/>
                <w:sz w:val="24"/>
              </w:rPr>
              <w:t>mg/m</w:t>
            </w:r>
            <w:r>
              <w:rPr>
                <w:bCs/>
                <w:sz w:val="24"/>
                <w:vertAlign w:val="superscript"/>
              </w:rPr>
              <w:t>3</w:t>
            </w:r>
            <w:r>
              <w:rPr>
                <w:bCs/>
                <w:sz w:val="24"/>
              </w:rPr>
              <w:t>。</w:t>
            </w:r>
          </w:p>
          <w:p w14:paraId="27F3A006">
            <w:pPr>
              <w:adjustRightInd w:val="0"/>
              <w:snapToGrid w:val="0"/>
              <w:spacing w:line="360" w:lineRule="auto"/>
              <w:ind w:firstLine="480" w:firstLineChars="200"/>
              <w:rPr>
                <w:bCs/>
                <w:sz w:val="24"/>
              </w:rPr>
            </w:pPr>
            <w:r>
              <w:rPr>
                <w:bCs/>
                <w:sz w:val="24"/>
              </w:rPr>
              <w:t>根据以上参数计算，</w:t>
            </w:r>
            <w:r>
              <w:rPr>
                <w:rFonts w:hint="eastAsia"/>
                <w:bCs/>
                <w:sz w:val="24"/>
              </w:rPr>
              <w:t>锅炉</w:t>
            </w:r>
            <w:r>
              <w:rPr>
                <w:bCs/>
                <w:sz w:val="24"/>
              </w:rPr>
              <w:t>的废气</w:t>
            </w:r>
            <w:r>
              <w:rPr>
                <w:rFonts w:hint="eastAsia"/>
                <w:bCs/>
                <w:sz w:val="24"/>
              </w:rPr>
              <w:t>量、烟尘、S</w:t>
            </w:r>
            <w:r>
              <w:rPr>
                <w:bCs/>
                <w:sz w:val="24"/>
              </w:rPr>
              <w:t>O</w:t>
            </w:r>
            <w:r>
              <w:rPr>
                <w:bCs/>
                <w:sz w:val="24"/>
                <w:vertAlign w:val="subscript"/>
              </w:rPr>
              <w:t>2</w:t>
            </w:r>
            <w:r>
              <w:rPr>
                <w:rFonts w:hint="eastAsia"/>
                <w:bCs/>
                <w:sz w:val="24"/>
              </w:rPr>
              <w:t>、N</w:t>
            </w:r>
            <w:r>
              <w:rPr>
                <w:bCs/>
                <w:sz w:val="24"/>
              </w:rPr>
              <w:t>O</w:t>
            </w:r>
            <w:r>
              <w:rPr>
                <w:bCs/>
                <w:sz w:val="24"/>
                <w:vertAlign w:val="subscript"/>
              </w:rPr>
              <w:t>X</w:t>
            </w:r>
            <w:r>
              <w:rPr>
                <w:rFonts w:hint="eastAsia"/>
                <w:bCs/>
                <w:sz w:val="24"/>
              </w:rPr>
              <w:t>、汞及其化合物</w:t>
            </w:r>
            <w:r>
              <w:rPr>
                <w:bCs/>
                <w:sz w:val="24"/>
              </w:rPr>
              <w:t>产生情况如下</w:t>
            </w:r>
            <w:r>
              <w:rPr>
                <w:rFonts w:hint="eastAsia"/>
                <w:bCs/>
                <w:sz w:val="24"/>
              </w:rPr>
              <w:t>：</w:t>
            </w:r>
          </w:p>
          <w:p w14:paraId="484EDF58">
            <w:pPr>
              <w:adjustRightInd w:val="0"/>
              <w:snapToGrid w:val="0"/>
              <w:jc w:val="center"/>
              <w:rPr>
                <w:b/>
                <w:bCs/>
                <w:szCs w:val="21"/>
              </w:rPr>
            </w:pPr>
            <w:r>
              <w:rPr>
                <w:b/>
                <w:bCs/>
                <w:szCs w:val="21"/>
              </w:rPr>
              <w:t>表</w:t>
            </w:r>
            <w:r>
              <w:rPr>
                <w:rFonts w:hint="eastAsia"/>
                <w:b/>
                <w:bCs/>
                <w:szCs w:val="21"/>
              </w:rPr>
              <w:t>4-2</w:t>
            </w:r>
            <w:r>
              <w:rPr>
                <w:b/>
                <w:bCs/>
                <w:szCs w:val="21"/>
              </w:rPr>
              <w:t xml:space="preserve">  锅炉废气</w:t>
            </w:r>
            <w:r>
              <w:rPr>
                <w:rFonts w:hint="eastAsia"/>
                <w:b/>
                <w:bCs/>
                <w:szCs w:val="21"/>
              </w:rPr>
              <w:t>量、烟尘、S</w:t>
            </w:r>
            <w:r>
              <w:rPr>
                <w:b/>
                <w:bCs/>
                <w:szCs w:val="21"/>
              </w:rPr>
              <w:t>O</w:t>
            </w:r>
            <w:r>
              <w:rPr>
                <w:b/>
                <w:bCs/>
                <w:szCs w:val="21"/>
                <w:vertAlign w:val="subscript"/>
              </w:rPr>
              <w:t>2</w:t>
            </w:r>
            <w:r>
              <w:rPr>
                <w:rFonts w:hint="eastAsia"/>
                <w:b/>
                <w:bCs/>
                <w:szCs w:val="21"/>
              </w:rPr>
              <w:t>、N</w:t>
            </w:r>
            <w:r>
              <w:rPr>
                <w:b/>
                <w:bCs/>
                <w:szCs w:val="21"/>
              </w:rPr>
              <w:t>O</w:t>
            </w:r>
            <w:r>
              <w:rPr>
                <w:b/>
                <w:bCs/>
                <w:szCs w:val="21"/>
                <w:vertAlign w:val="subscript"/>
              </w:rPr>
              <w:t>X</w:t>
            </w:r>
            <w:r>
              <w:rPr>
                <w:b/>
                <w:bCs/>
                <w:szCs w:val="21"/>
              </w:rPr>
              <w:t>产生</w:t>
            </w:r>
            <w:r>
              <w:rPr>
                <w:rFonts w:hint="eastAsia"/>
                <w:b/>
                <w:bCs/>
                <w:szCs w:val="21"/>
              </w:rPr>
              <w:t>排放</w:t>
            </w:r>
            <w:r>
              <w:rPr>
                <w:b/>
                <w:bCs/>
                <w:szCs w:val="21"/>
              </w:rPr>
              <w:t>情况表</w:t>
            </w:r>
            <w:r>
              <w:rPr>
                <w:rFonts w:hint="eastAsia"/>
                <w:b/>
                <w:bCs/>
                <w:szCs w:val="21"/>
              </w:rPr>
              <w:t>（采暖期）</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0"/>
              <w:gridCol w:w="1195"/>
              <w:gridCol w:w="1277"/>
              <w:gridCol w:w="1164"/>
              <w:gridCol w:w="1207"/>
              <w:gridCol w:w="1162"/>
              <w:gridCol w:w="1162"/>
            </w:tblGrid>
            <w:tr w14:paraId="2453A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54" w:type="pct"/>
                  <w:vMerge w:val="restart"/>
                  <w:tcBorders>
                    <w:top w:val="single" w:color="auto" w:sz="12" w:space="0"/>
                    <w:left w:val="nil"/>
                    <w:bottom w:val="single" w:color="auto" w:sz="4" w:space="0"/>
                    <w:right w:val="single" w:color="auto" w:sz="8" w:space="0"/>
                  </w:tcBorders>
                  <w:vAlign w:val="center"/>
                </w:tcPr>
                <w:p w14:paraId="336768C9">
                  <w:pPr>
                    <w:adjustRightInd w:val="0"/>
                    <w:snapToGrid w:val="0"/>
                    <w:jc w:val="center"/>
                    <w:rPr>
                      <w:bCs/>
                      <w:szCs w:val="21"/>
                    </w:rPr>
                  </w:pPr>
                  <w:r>
                    <w:rPr>
                      <w:bCs/>
                      <w:szCs w:val="21"/>
                    </w:rPr>
                    <w:t>污染物名称</w:t>
                  </w:r>
                </w:p>
              </w:tc>
              <w:tc>
                <w:tcPr>
                  <w:tcW w:w="2231" w:type="pct"/>
                  <w:gridSpan w:val="3"/>
                  <w:tcBorders>
                    <w:top w:val="single" w:color="auto" w:sz="12" w:space="0"/>
                    <w:left w:val="single" w:color="auto" w:sz="8" w:space="0"/>
                    <w:bottom w:val="single" w:color="auto" w:sz="4" w:space="0"/>
                    <w:right w:val="nil"/>
                  </w:tcBorders>
                  <w:vAlign w:val="center"/>
                </w:tcPr>
                <w:p w14:paraId="44D02D87">
                  <w:pPr>
                    <w:adjustRightInd w:val="0"/>
                    <w:snapToGrid w:val="0"/>
                    <w:jc w:val="center"/>
                    <w:rPr>
                      <w:bCs/>
                      <w:szCs w:val="21"/>
                    </w:rPr>
                  </w:pPr>
                  <w:r>
                    <w:rPr>
                      <w:rFonts w:hint="eastAsia"/>
                      <w:bCs/>
                      <w:szCs w:val="21"/>
                    </w:rPr>
                    <w:t>锅炉</w:t>
                  </w:r>
                  <w:r>
                    <w:rPr>
                      <w:bCs/>
                      <w:szCs w:val="21"/>
                    </w:rPr>
                    <w:t>处理前污染物产生</w:t>
                  </w:r>
                </w:p>
              </w:tc>
              <w:tc>
                <w:tcPr>
                  <w:tcW w:w="2215" w:type="pct"/>
                  <w:gridSpan w:val="3"/>
                  <w:tcBorders>
                    <w:top w:val="single" w:color="auto" w:sz="12" w:space="0"/>
                    <w:left w:val="single" w:color="auto" w:sz="8" w:space="0"/>
                    <w:bottom w:val="single" w:color="auto" w:sz="4" w:space="0"/>
                    <w:right w:val="nil"/>
                  </w:tcBorders>
                </w:tcPr>
                <w:p w14:paraId="7C83E737">
                  <w:pPr>
                    <w:adjustRightInd w:val="0"/>
                    <w:snapToGrid w:val="0"/>
                    <w:jc w:val="center"/>
                    <w:rPr>
                      <w:bCs/>
                      <w:szCs w:val="21"/>
                    </w:rPr>
                  </w:pPr>
                  <w:r>
                    <w:rPr>
                      <w:rFonts w:hint="eastAsia"/>
                      <w:bCs/>
                      <w:szCs w:val="21"/>
                    </w:rPr>
                    <w:t>锅炉处理后污染物排放</w:t>
                  </w:r>
                </w:p>
              </w:tc>
            </w:tr>
            <w:tr w14:paraId="1622C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54" w:type="pct"/>
                  <w:vMerge w:val="continue"/>
                  <w:tcBorders>
                    <w:top w:val="single" w:color="auto" w:sz="4" w:space="0"/>
                    <w:left w:val="nil"/>
                    <w:bottom w:val="single" w:color="auto" w:sz="4" w:space="0"/>
                    <w:right w:val="single" w:color="auto" w:sz="8" w:space="0"/>
                  </w:tcBorders>
                  <w:vAlign w:val="center"/>
                </w:tcPr>
                <w:p w14:paraId="37B2AB7A">
                  <w:pPr>
                    <w:adjustRightInd w:val="0"/>
                    <w:snapToGrid w:val="0"/>
                    <w:jc w:val="center"/>
                    <w:rPr>
                      <w:bCs/>
                      <w:szCs w:val="21"/>
                    </w:rPr>
                  </w:pPr>
                </w:p>
              </w:tc>
              <w:tc>
                <w:tcPr>
                  <w:tcW w:w="699" w:type="pct"/>
                  <w:tcBorders>
                    <w:top w:val="single" w:color="auto" w:sz="4" w:space="0"/>
                    <w:left w:val="single" w:color="auto" w:sz="8" w:space="0"/>
                    <w:bottom w:val="single" w:color="auto" w:sz="4" w:space="0"/>
                    <w:right w:val="single" w:color="auto" w:sz="8" w:space="0"/>
                  </w:tcBorders>
                  <w:vAlign w:val="center"/>
                </w:tcPr>
                <w:p w14:paraId="5C693758">
                  <w:pPr>
                    <w:adjustRightInd w:val="0"/>
                    <w:snapToGrid w:val="0"/>
                    <w:jc w:val="center"/>
                    <w:rPr>
                      <w:bCs/>
                      <w:szCs w:val="21"/>
                    </w:rPr>
                  </w:pPr>
                  <w:r>
                    <w:rPr>
                      <w:bCs/>
                      <w:szCs w:val="21"/>
                    </w:rPr>
                    <w:t>产生浓度</w:t>
                  </w:r>
                  <w:r>
                    <w:rPr>
                      <w:rFonts w:hint="eastAsia"/>
                      <w:bCs/>
                      <w:szCs w:val="21"/>
                    </w:rPr>
                    <w:t>（m</w:t>
                  </w:r>
                  <w:r>
                    <w:rPr>
                      <w:bCs/>
                      <w:szCs w:val="21"/>
                    </w:rPr>
                    <w:t>g/m</w:t>
                  </w:r>
                  <w:r>
                    <w:rPr>
                      <w:bCs/>
                      <w:szCs w:val="21"/>
                      <w:vertAlign w:val="superscript"/>
                    </w:rPr>
                    <w:t>3</w:t>
                  </w:r>
                  <w:r>
                    <w:rPr>
                      <w:rFonts w:hint="eastAsia"/>
                      <w:bCs/>
                      <w:szCs w:val="21"/>
                    </w:rPr>
                    <w:t>）</w:t>
                  </w:r>
                </w:p>
              </w:tc>
              <w:tc>
                <w:tcPr>
                  <w:tcW w:w="801" w:type="pct"/>
                  <w:tcBorders>
                    <w:top w:val="single" w:color="auto" w:sz="4" w:space="0"/>
                    <w:left w:val="single" w:color="auto" w:sz="8" w:space="0"/>
                    <w:bottom w:val="single" w:color="auto" w:sz="4" w:space="0"/>
                    <w:right w:val="nil"/>
                  </w:tcBorders>
                  <w:vAlign w:val="center"/>
                </w:tcPr>
                <w:p w14:paraId="4B7D0482">
                  <w:pPr>
                    <w:adjustRightInd w:val="0"/>
                    <w:snapToGrid w:val="0"/>
                    <w:jc w:val="center"/>
                    <w:rPr>
                      <w:bCs/>
                      <w:szCs w:val="21"/>
                    </w:rPr>
                  </w:pPr>
                  <w:r>
                    <w:rPr>
                      <w:rFonts w:hint="eastAsia"/>
                      <w:bCs/>
                      <w:szCs w:val="21"/>
                    </w:rPr>
                    <w:t>产生速率（kg/h）</w:t>
                  </w:r>
                </w:p>
              </w:tc>
              <w:tc>
                <w:tcPr>
                  <w:tcW w:w="731" w:type="pct"/>
                  <w:tcBorders>
                    <w:top w:val="single" w:color="auto" w:sz="4" w:space="0"/>
                    <w:left w:val="single" w:color="auto" w:sz="8" w:space="0"/>
                    <w:bottom w:val="single" w:color="auto" w:sz="4" w:space="0"/>
                    <w:right w:val="nil"/>
                  </w:tcBorders>
                  <w:vAlign w:val="center"/>
                </w:tcPr>
                <w:p w14:paraId="2D77EA83">
                  <w:pPr>
                    <w:adjustRightInd w:val="0"/>
                    <w:snapToGrid w:val="0"/>
                    <w:jc w:val="center"/>
                    <w:rPr>
                      <w:bCs/>
                      <w:szCs w:val="21"/>
                    </w:rPr>
                  </w:pPr>
                  <w:r>
                    <w:rPr>
                      <w:bCs/>
                      <w:szCs w:val="21"/>
                    </w:rPr>
                    <w:t>产生量</w:t>
                  </w:r>
                  <w:r>
                    <w:rPr>
                      <w:rFonts w:hint="eastAsia"/>
                      <w:bCs/>
                      <w:szCs w:val="21"/>
                    </w:rPr>
                    <w:t>（t</w:t>
                  </w:r>
                  <w:r>
                    <w:rPr>
                      <w:bCs/>
                      <w:szCs w:val="21"/>
                    </w:rPr>
                    <w:t>/a</w:t>
                  </w:r>
                  <w:r>
                    <w:rPr>
                      <w:rFonts w:hint="eastAsia"/>
                      <w:bCs/>
                      <w:szCs w:val="21"/>
                    </w:rPr>
                    <w:t>）</w:t>
                  </w:r>
                </w:p>
              </w:tc>
              <w:tc>
                <w:tcPr>
                  <w:tcW w:w="757" w:type="pct"/>
                  <w:tcBorders>
                    <w:top w:val="single" w:color="auto" w:sz="4" w:space="0"/>
                    <w:left w:val="single" w:color="auto" w:sz="8" w:space="0"/>
                    <w:bottom w:val="single" w:color="auto" w:sz="4" w:space="0"/>
                    <w:right w:val="nil"/>
                  </w:tcBorders>
                  <w:vAlign w:val="center"/>
                </w:tcPr>
                <w:p w14:paraId="36E9657D">
                  <w:pPr>
                    <w:adjustRightInd w:val="0"/>
                    <w:snapToGrid w:val="0"/>
                    <w:jc w:val="center"/>
                    <w:rPr>
                      <w:bCs/>
                      <w:szCs w:val="21"/>
                    </w:rPr>
                  </w:pPr>
                  <w:r>
                    <w:rPr>
                      <w:rFonts w:hint="eastAsia"/>
                      <w:bCs/>
                      <w:szCs w:val="21"/>
                    </w:rPr>
                    <w:t>排放</w:t>
                  </w:r>
                  <w:r>
                    <w:rPr>
                      <w:bCs/>
                      <w:szCs w:val="21"/>
                    </w:rPr>
                    <w:t>浓度</w:t>
                  </w:r>
                  <w:r>
                    <w:rPr>
                      <w:rFonts w:hint="eastAsia"/>
                      <w:bCs/>
                      <w:szCs w:val="21"/>
                    </w:rPr>
                    <w:t>（m</w:t>
                  </w:r>
                  <w:r>
                    <w:rPr>
                      <w:bCs/>
                      <w:szCs w:val="21"/>
                    </w:rPr>
                    <w:t>g/m</w:t>
                  </w:r>
                  <w:r>
                    <w:rPr>
                      <w:bCs/>
                      <w:szCs w:val="21"/>
                      <w:vertAlign w:val="superscript"/>
                    </w:rPr>
                    <w:t>3</w:t>
                  </w:r>
                  <w:r>
                    <w:rPr>
                      <w:rFonts w:hint="eastAsia"/>
                      <w:bCs/>
                      <w:szCs w:val="21"/>
                    </w:rPr>
                    <w:t>）</w:t>
                  </w:r>
                </w:p>
              </w:tc>
              <w:tc>
                <w:tcPr>
                  <w:tcW w:w="729" w:type="pct"/>
                  <w:tcBorders>
                    <w:top w:val="single" w:color="auto" w:sz="4" w:space="0"/>
                    <w:left w:val="single" w:color="auto" w:sz="8" w:space="0"/>
                    <w:bottom w:val="single" w:color="auto" w:sz="4" w:space="0"/>
                    <w:right w:val="nil"/>
                  </w:tcBorders>
                  <w:vAlign w:val="center"/>
                </w:tcPr>
                <w:p w14:paraId="72A61041">
                  <w:pPr>
                    <w:adjustRightInd w:val="0"/>
                    <w:snapToGrid w:val="0"/>
                    <w:jc w:val="center"/>
                    <w:rPr>
                      <w:bCs/>
                      <w:szCs w:val="21"/>
                    </w:rPr>
                  </w:pPr>
                  <w:r>
                    <w:rPr>
                      <w:rFonts w:hint="eastAsia"/>
                      <w:bCs/>
                      <w:szCs w:val="21"/>
                    </w:rPr>
                    <w:t>排放速率（kg/h）</w:t>
                  </w:r>
                </w:p>
              </w:tc>
              <w:tc>
                <w:tcPr>
                  <w:tcW w:w="729" w:type="pct"/>
                  <w:tcBorders>
                    <w:top w:val="single" w:color="auto" w:sz="4" w:space="0"/>
                    <w:left w:val="single" w:color="auto" w:sz="8" w:space="0"/>
                    <w:bottom w:val="single" w:color="auto" w:sz="4" w:space="0"/>
                    <w:right w:val="nil"/>
                  </w:tcBorders>
                  <w:vAlign w:val="center"/>
                </w:tcPr>
                <w:p w14:paraId="15C1D158">
                  <w:pPr>
                    <w:adjustRightInd w:val="0"/>
                    <w:snapToGrid w:val="0"/>
                    <w:jc w:val="center"/>
                    <w:rPr>
                      <w:bCs/>
                      <w:szCs w:val="21"/>
                    </w:rPr>
                  </w:pPr>
                  <w:r>
                    <w:rPr>
                      <w:rFonts w:hint="eastAsia"/>
                      <w:bCs/>
                      <w:szCs w:val="21"/>
                    </w:rPr>
                    <w:t>排放</w:t>
                  </w:r>
                  <w:r>
                    <w:rPr>
                      <w:bCs/>
                      <w:szCs w:val="21"/>
                    </w:rPr>
                    <w:t>量</w:t>
                  </w:r>
                  <w:r>
                    <w:rPr>
                      <w:rFonts w:hint="eastAsia"/>
                      <w:bCs/>
                      <w:szCs w:val="21"/>
                    </w:rPr>
                    <w:t>（t</w:t>
                  </w:r>
                  <w:r>
                    <w:rPr>
                      <w:bCs/>
                      <w:szCs w:val="21"/>
                    </w:rPr>
                    <w:t>/a</w:t>
                  </w:r>
                  <w:r>
                    <w:rPr>
                      <w:rFonts w:hint="eastAsia"/>
                      <w:bCs/>
                      <w:szCs w:val="21"/>
                    </w:rPr>
                    <w:t>）</w:t>
                  </w:r>
                </w:p>
              </w:tc>
            </w:tr>
            <w:tr w14:paraId="24897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20" w:hRule="atLeast"/>
                <w:jc w:val="center"/>
              </w:trPr>
              <w:tc>
                <w:tcPr>
                  <w:tcW w:w="554" w:type="pct"/>
                  <w:tcBorders>
                    <w:top w:val="single" w:color="auto" w:sz="4" w:space="0"/>
                    <w:left w:val="nil"/>
                    <w:bottom w:val="single" w:color="auto" w:sz="4" w:space="0"/>
                    <w:right w:val="single" w:color="auto" w:sz="8" w:space="0"/>
                  </w:tcBorders>
                  <w:vAlign w:val="center"/>
                </w:tcPr>
                <w:p w14:paraId="0B58E7C5">
                  <w:pPr>
                    <w:adjustRightInd w:val="0"/>
                    <w:snapToGrid w:val="0"/>
                    <w:jc w:val="center"/>
                    <w:rPr>
                      <w:bCs/>
                      <w:szCs w:val="21"/>
                    </w:rPr>
                  </w:pPr>
                  <w:r>
                    <w:rPr>
                      <w:rFonts w:hint="eastAsia"/>
                      <w:bCs/>
                      <w:szCs w:val="21"/>
                    </w:rPr>
                    <w:t>理论空气量</w:t>
                  </w:r>
                </w:p>
              </w:tc>
              <w:tc>
                <w:tcPr>
                  <w:tcW w:w="4446" w:type="pct"/>
                  <w:gridSpan w:val="6"/>
                  <w:tcBorders>
                    <w:top w:val="single" w:color="auto" w:sz="4" w:space="0"/>
                    <w:left w:val="single" w:color="auto" w:sz="8" w:space="0"/>
                    <w:bottom w:val="single" w:color="auto" w:sz="4" w:space="0"/>
                    <w:right w:val="nil"/>
                  </w:tcBorders>
                  <w:vAlign w:val="center"/>
                </w:tcPr>
                <w:p w14:paraId="6CC033A0">
                  <w:pPr>
                    <w:adjustRightInd w:val="0"/>
                    <w:snapToGrid w:val="0"/>
                    <w:jc w:val="center"/>
                    <w:rPr>
                      <w:bCs/>
                      <w:szCs w:val="21"/>
                    </w:rPr>
                  </w:pPr>
                  <w:r>
                    <w:rPr>
                      <w:rFonts w:hint="eastAsia"/>
                      <w:bCs/>
                      <w:szCs w:val="21"/>
                    </w:rPr>
                    <w:t>5.395</w:t>
                  </w:r>
                  <w:r>
                    <w:rPr>
                      <w:bCs/>
                      <w:szCs w:val="21"/>
                    </w:rPr>
                    <w:t xml:space="preserve"> m</w:t>
                  </w:r>
                  <w:r>
                    <w:rPr>
                      <w:rFonts w:hint="eastAsia"/>
                      <w:bCs/>
                      <w:szCs w:val="21"/>
                      <w:vertAlign w:val="superscript"/>
                    </w:rPr>
                    <w:t>3</w:t>
                  </w:r>
                  <w:r>
                    <w:rPr>
                      <w:bCs/>
                      <w:szCs w:val="21"/>
                    </w:rPr>
                    <w:t>/kg</w:t>
                  </w:r>
                </w:p>
              </w:tc>
            </w:tr>
            <w:tr w14:paraId="5D312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54" w:type="pct"/>
                  <w:tcBorders>
                    <w:top w:val="single" w:color="auto" w:sz="4" w:space="0"/>
                    <w:left w:val="nil"/>
                    <w:bottom w:val="single" w:color="auto" w:sz="4" w:space="0"/>
                    <w:right w:val="single" w:color="auto" w:sz="8" w:space="0"/>
                  </w:tcBorders>
                  <w:vAlign w:val="center"/>
                </w:tcPr>
                <w:p w14:paraId="4FE17ED6">
                  <w:pPr>
                    <w:adjustRightInd w:val="0"/>
                    <w:snapToGrid w:val="0"/>
                    <w:jc w:val="center"/>
                    <w:rPr>
                      <w:bCs/>
                      <w:szCs w:val="21"/>
                    </w:rPr>
                  </w:pPr>
                  <w:r>
                    <w:rPr>
                      <w:bCs/>
                      <w:szCs w:val="21"/>
                    </w:rPr>
                    <w:t>废气量</w:t>
                  </w:r>
                </w:p>
              </w:tc>
              <w:tc>
                <w:tcPr>
                  <w:tcW w:w="4446" w:type="pct"/>
                  <w:gridSpan w:val="6"/>
                  <w:tcBorders>
                    <w:top w:val="single" w:color="auto" w:sz="4" w:space="0"/>
                    <w:left w:val="single" w:color="auto" w:sz="8" w:space="0"/>
                    <w:bottom w:val="single" w:color="auto" w:sz="4" w:space="0"/>
                    <w:right w:val="nil"/>
                  </w:tcBorders>
                  <w:vAlign w:val="center"/>
                </w:tcPr>
                <w:p w14:paraId="670D72F2">
                  <w:pPr>
                    <w:adjustRightInd w:val="0"/>
                    <w:snapToGrid w:val="0"/>
                    <w:jc w:val="center"/>
                    <w:rPr>
                      <w:bCs/>
                      <w:szCs w:val="21"/>
                    </w:rPr>
                  </w:pPr>
                  <w:r>
                    <w:rPr>
                      <w:bCs/>
                      <w:szCs w:val="21"/>
                    </w:rPr>
                    <w:t>2.89×10</w:t>
                  </w:r>
                  <w:r>
                    <w:rPr>
                      <w:rFonts w:hint="eastAsia"/>
                      <w:bCs/>
                      <w:szCs w:val="21"/>
                      <w:vertAlign w:val="superscript"/>
                    </w:rPr>
                    <w:t>8</w:t>
                  </w:r>
                  <w:r>
                    <w:rPr>
                      <w:bCs/>
                      <w:szCs w:val="21"/>
                    </w:rPr>
                    <w:t>m</w:t>
                  </w:r>
                  <w:r>
                    <w:rPr>
                      <w:bCs/>
                      <w:szCs w:val="21"/>
                      <w:vertAlign w:val="superscript"/>
                    </w:rPr>
                    <w:t>3</w:t>
                  </w:r>
                  <w:r>
                    <w:rPr>
                      <w:bCs/>
                      <w:szCs w:val="21"/>
                    </w:rPr>
                    <w:t>/a</w:t>
                  </w:r>
                </w:p>
              </w:tc>
            </w:tr>
            <w:tr w14:paraId="3F3CDB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54" w:type="pct"/>
                  <w:tcBorders>
                    <w:top w:val="single" w:color="auto" w:sz="4" w:space="0"/>
                    <w:left w:val="nil"/>
                    <w:bottom w:val="single" w:color="auto" w:sz="4" w:space="0"/>
                    <w:right w:val="single" w:color="auto" w:sz="8" w:space="0"/>
                  </w:tcBorders>
                  <w:vAlign w:val="center"/>
                </w:tcPr>
                <w:p w14:paraId="41BA6104">
                  <w:pPr>
                    <w:adjustRightInd w:val="0"/>
                    <w:snapToGrid w:val="0"/>
                    <w:jc w:val="center"/>
                    <w:rPr>
                      <w:bCs/>
                      <w:szCs w:val="21"/>
                    </w:rPr>
                  </w:pPr>
                  <w:r>
                    <w:rPr>
                      <w:bCs/>
                      <w:szCs w:val="21"/>
                    </w:rPr>
                    <w:t>烟尘</w:t>
                  </w:r>
                </w:p>
              </w:tc>
              <w:tc>
                <w:tcPr>
                  <w:tcW w:w="699" w:type="pct"/>
                  <w:tcBorders>
                    <w:top w:val="single" w:color="auto" w:sz="4" w:space="0"/>
                    <w:left w:val="single" w:color="auto" w:sz="8" w:space="0"/>
                    <w:bottom w:val="single" w:color="auto" w:sz="4" w:space="0"/>
                    <w:right w:val="single" w:color="auto" w:sz="4" w:space="0"/>
                  </w:tcBorders>
                  <w:vAlign w:val="center"/>
                </w:tcPr>
                <w:p w14:paraId="2628AFD8">
                  <w:pPr>
                    <w:adjustRightInd w:val="0"/>
                    <w:snapToGrid w:val="0"/>
                    <w:jc w:val="center"/>
                    <w:rPr>
                      <w:bCs/>
                      <w:szCs w:val="21"/>
                    </w:rPr>
                  </w:pPr>
                  <w:r>
                    <w:rPr>
                      <w:rFonts w:hint="eastAsia"/>
                      <w:bCs/>
                      <w:szCs w:val="21"/>
                    </w:rPr>
                    <w:t>1018.81</w:t>
                  </w:r>
                </w:p>
              </w:tc>
              <w:tc>
                <w:tcPr>
                  <w:tcW w:w="801" w:type="pct"/>
                  <w:tcBorders>
                    <w:top w:val="single" w:color="auto" w:sz="4" w:space="0"/>
                    <w:left w:val="single" w:color="auto" w:sz="4" w:space="0"/>
                    <w:bottom w:val="single" w:color="auto" w:sz="4" w:space="0"/>
                    <w:right w:val="nil"/>
                  </w:tcBorders>
                  <w:vAlign w:val="center"/>
                </w:tcPr>
                <w:p w14:paraId="01EEBFB3">
                  <w:pPr>
                    <w:adjustRightInd w:val="0"/>
                    <w:snapToGrid w:val="0"/>
                    <w:jc w:val="center"/>
                    <w:rPr>
                      <w:bCs/>
                      <w:szCs w:val="21"/>
                    </w:rPr>
                  </w:pPr>
                  <w:r>
                    <w:rPr>
                      <w:bCs/>
                      <w:szCs w:val="21"/>
                    </w:rPr>
                    <w:t>87.66</w:t>
                  </w:r>
                </w:p>
              </w:tc>
              <w:tc>
                <w:tcPr>
                  <w:tcW w:w="731" w:type="pct"/>
                  <w:tcBorders>
                    <w:top w:val="single" w:color="auto" w:sz="4" w:space="0"/>
                    <w:left w:val="single" w:color="auto" w:sz="4" w:space="0"/>
                    <w:bottom w:val="single" w:color="auto" w:sz="4" w:space="0"/>
                    <w:right w:val="nil"/>
                  </w:tcBorders>
                  <w:vAlign w:val="center"/>
                </w:tcPr>
                <w:p w14:paraId="6485BD7D">
                  <w:pPr>
                    <w:adjustRightInd w:val="0"/>
                    <w:snapToGrid w:val="0"/>
                    <w:jc w:val="center"/>
                    <w:rPr>
                      <w:bCs/>
                      <w:szCs w:val="21"/>
                    </w:rPr>
                  </w:pPr>
                  <w:r>
                    <w:rPr>
                      <w:bCs/>
                      <w:szCs w:val="21"/>
                    </w:rPr>
                    <w:t>294.552</w:t>
                  </w:r>
                </w:p>
              </w:tc>
              <w:tc>
                <w:tcPr>
                  <w:tcW w:w="757" w:type="pct"/>
                  <w:tcBorders>
                    <w:top w:val="single" w:color="auto" w:sz="4" w:space="0"/>
                    <w:left w:val="single" w:color="auto" w:sz="4" w:space="0"/>
                    <w:bottom w:val="single" w:color="auto" w:sz="4" w:space="0"/>
                    <w:right w:val="nil"/>
                  </w:tcBorders>
                </w:tcPr>
                <w:p w14:paraId="4C049131">
                  <w:pPr>
                    <w:adjustRightInd w:val="0"/>
                    <w:snapToGrid w:val="0"/>
                    <w:jc w:val="center"/>
                    <w:rPr>
                      <w:bCs/>
                      <w:szCs w:val="21"/>
                    </w:rPr>
                  </w:pPr>
                  <w:r>
                    <w:rPr>
                      <w:rFonts w:hint="eastAsia"/>
                      <w:bCs/>
                      <w:szCs w:val="21"/>
                    </w:rPr>
                    <w:t>10.1</w:t>
                  </w:r>
                  <w:r>
                    <w:rPr>
                      <w:bCs/>
                      <w:szCs w:val="21"/>
                    </w:rPr>
                    <w:t>9</w:t>
                  </w:r>
                </w:p>
              </w:tc>
              <w:tc>
                <w:tcPr>
                  <w:tcW w:w="729" w:type="pct"/>
                  <w:tcBorders>
                    <w:top w:val="single" w:color="auto" w:sz="4" w:space="0"/>
                    <w:left w:val="single" w:color="auto" w:sz="4" w:space="0"/>
                    <w:bottom w:val="single" w:color="auto" w:sz="4" w:space="0"/>
                    <w:right w:val="nil"/>
                  </w:tcBorders>
                </w:tcPr>
                <w:p w14:paraId="6135ADAB">
                  <w:pPr>
                    <w:adjustRightInd w:val="0"/>
                    <w:snapToGrid w:val="0"/>
                    <w:jc w:val="center"/>
                    <w:rPr>
                      <w:bCs/>
                      <w:szCs w:val="21"/>
                    </w:rPr>
                  </w:pPr>
                  <w:r>
                    <w:rPr>
                      <w:bCs/>
                      <w:szCs w:val="21"/>
                    </w:rPr>
                    <w:t>0.88</w:t>
                  </w:r>
                </w:p>
              </w:tc>
              <w:tc>
                <w:tcPr>
                  <w:tcW w:w="729" w:type="pct"/>
                  <w:tcBorders>
                    <w:top w:val="single" w:color="auto" w:sz="4" w:space="0"/>
                    <w:left w:val="single" w:color="auto" w:sz="4" w:space="0"/>
                    <w:bottom w:val="single" w:color="auto" w:sz="4" w:space="0"/>
                    <w:right w:val="nil"/>
                  </w:tcBorders>
                  <w:vAlign w:val="center"/>
                </w:tcPr>
                <w:p w14:paraId="2E326451">
                  <w:pPr>
                    <w:adjustRightInd w:val="0"/>
                    <w:snapToGrid w:val="0"/>
                    <w:jc w:val="center"/>
                    <w:rPr>
                      <w:bCs/>
                      <w:szCs w:val="21"/>
                    </w:rPr>
                  </w:pPr>
                  <w:r>
                    <w:rPr>
                      <w:bCs/>
                      <w:szCs w:val="21"/>
                    </w:rPr>
                    <w:t>2.946</w:t>
                  </w:r>
                </w:p>
              </w:tc>
            </w:tr>
            <w:tr w14:paraId="2BF4A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54" w:type="pct"/>
                  <w:tcBorders>
                    <w:top w:val="single" w:color="auto" w:sz="4" w:space="0"/>
                    <w:left w:val="nil"/>
                    <w:bottom w:val="single" w:color="auto" w:sz="4" w:space="0"/>
                    <w:right w:val="single" w:color="auto" w:sz="8" w:space="0"/>
                  </w:tcBorders>
                  <w:vAlign w:val="center"/>
                </w:tcPr>
                <w:p w14:paraId="1CBA63DA">
                  <w:pPr>
                    <w:adjustRightInd w:val="0"/>
                    <w:snapToGrid w:val="0"/>
                    <w:jc w:val="center"/>
                    <w:rPr>
                      <w:bCs/>
                      <w:szCs w:val="21"/>
                    </w:rPr>
                  </w:pPr>
                  <w:r>
                    <w:rPr>
                      <w:bCs/>
                      <w:szCs w:val="21"/>
                    </w:rPr>
                    <w:t>SO</w:t>
                  </w:r>
                  <w:r>
                    <w:rPr>
                      <w:bCs/>
                      <w:szCs w:val="21"/>
                      <w:vertAlign w:val="subscript"/>
                    </w:rPr>
                    <w:t>2</w:t>
                  </w:r>
                </w:p>
              </w:tc>
              <w:tc>
                <w:tcPr>
                  <w:tcW w:w="699" w:type="pct"/>
                  <w:tcBorders>
                    <w:top w:val="single" w:color="auto" w:sz="4" w:space="0"/>
                    <w:left w:val="single" w:color="auto" w:sz="8" w:space="0"/>
                    <w:bottom w:val="single" w:color="auto" w:sz="4" w:space="0"/>
                    <w:right w:val="single" w:color="auto" w:sz="4" w:space="0"/>
                  </w:tcBorders>
                  <w:vAlign w:val="center"/>
                </w:tcPr>
                <w:p w14:paraId="359573B8">
                  <w:pPr>
                    <w:adjustRightInd w:val="0"/>
                    <w:snapToGrid w:val="0"/>
                    <w:jc w:val="center"/>
                    <w:rPr>
                      <w:bCs/>
                      <w:szCs w:val="21"/>
                    </w:rPr>
                  </w:pPr>
                  <w:r>
                    <w:rPr>
                      <w:rFonts w:hint="eastAsia"/>
                      <w:bCs/>
                      <w:szCs w:val="21"/>
                    </w:rPr>
                    <w:t>283.77</w:t>
                  </w:r>
                </w:p>
              </w:tc>
              <w:tc>
                <w:tcPr>
                  <w:tcW w:w="801" w:type="pct"/>
                  <w:tcBorders>
                    <w:top w:val="single" w:color="auto" w:sz="4" w:space="0"/>
                    <w:left w:val="single" w:color="auto" w:sz="4" w:space="0"/>
                    <w:bottom w:val="single" w:color="auto" w:sz="4" w:space="0"/>
                    <w:right w:val="nil"/>
                  </w:tcBorders>
                  <w:vAlign w:val="center"/>
                </w:tcPr>
                <w:p w14:paraId="4185254C">
                  <w:pPr>
                    <w:adjustRightInd w:val="0"/>
                    <w:snapToGrid w:val="0"/>
                    <w:jc w:val="center"/>
                    <w:rPr>
                      <w:bCs/>
                      <w:szCs w:val="21"/>
                    </w:rPr>
                  </w:pPr>
                  <w:r>
                    <w:rPr>
                      <w:bCs/>
                      <w:szCs w:val="21"/>
                    </w:rPr>
                    <w:t>24.42</w:t>
                  </w:r>
                </w:p>
              </w:tc>
              <w:tc>
                <w:tcPr>
                  <w:tcW w:w="731" w:type="pct"/>
                  <w:tcBorders>
                    <w:top w:val="single" w:color="auto" w:sz="4" w:space="0"/>
                    <w:left w:val="single" w:color="auto" w:sz="4" w:space="0"/>
                    <w:bottom w:val="single" w:color="auto" w:sz="4" w:space="0"/>
                    <w:right w:val="nil"/>
                  </w:tcBorders>
                  <w:vAlign w:val="center"/>
                </w:tcPr>
                <w:p w14:paraId="55684A31">
                  <w:pPr>
                    <w:adjustRightInd w:val="0"/>
                    <w:snapToGrid w:val="0"/>
                    <w:jc w:val="center"/>
                    <w:rPr>
                      <w:bCs/>
                      <w:szCs w:val="21"/>
                    </w:rPr>
                  </w:pPr>
                  <w:r>
                    <w:rPr>
                      <w:bCs/>
                      <w:szCs w:val="21"/>
                    </w:rPr>
                    <w:t>82.043</w:t>
                  </w:r>
                </w:p>
              </w:tc>
              <w:tc>
                <w:tcPr>
                  <w:tcW w:w="757" w:type="pct"/>
                  <w:tcBorders>
                    <w:top w:val="single" w:color="auto" w:sz="4" w:space="0"/>
                    <w:left w:val="single" w:color="auto" w:sz="4" w:space="0"/>
                    <w:bottom w:val="single" w:color="auto" w:sz="4" w:space="0"/>
                    <w:right w:val="nil"/>
                  </w:tcBorders>
                </w:tcPr>
                <w:p w14:paraId="2FA8DCA3">
                  <w:pPr>
                    <w:adjustRightInd w:val="0"/>
                    <w:snapToGrid w:val="0"/>
                    <w:jc w:val="center"/>
                    <w:rPr>
                      <w:bCs/>
                      <w:szCs w:val="21"/>
                    </w:rPr>
                  </w:pPr>
                  <w:r>
                    <w:rPr>
                      <w:bCs/>
                      <w:szCs w:val="21"/>
                    </w:rPr>
                    <w:t>56.75</w:t>
                  </w:r>
                </w:p>
              </w:tc>
              <w:tc>
                <w:tcPr>
                  <w:tcW w:w="729" w:type="pct"/>
                  <w:tcBorders>
                    <w:top w:val="single" w:color="auto" w:sz="4" w:space="0"/>
                    <w:left w:val="single" w:color="auto" w:sz="4" w:space="0"/>
                    <w:bottom w:val="single" w:color="auto" w:sz="4" w:space="0"/>
                    <w:right w:val="nil"/>
                  </w:tcBorders>
                </w:tcPr>
                <w:p w14:paraId="370201E4">
                  <w:pPr>
                    <w:adjustRightInd w:val="0"/>
                    <w:snapToGrid w:val="0"/>
                    <w:jc w:val="center"/>
                    <w:rPr>
                      <w:bCs/>
                      <w:szCs w:val="21"/>
                    </w:rPr>
                  </w:pPr>
                  <w:r>
                    <w:rPr>
                      <w:bCs/>
                      <w:szCs w:val="21"/>
                    </w:rPr>
                    <w:t>4.88</w:t>
                  </w:r>
                </w:p>
              </w:tc>
              <w:tc>
                <w:tcPr>
                  <w:tcW w:w="729" w:type="pct"/>
                  <w:tcBorders>
                    <w:top w:val="single" w:color="auto" w:sz="4" w:space="0"/>
                    <w:left w:val="single" w:color="auto" w:sz="4" w:space="0"/>
                    <w:bottom w:val="single" w:color="auto" w:sz="4" w:space="0"/>
                    <w:right w:val="nil"/>
                  </w:tcBorders>
                  <w:vAlign w:val="center"/>
                </w:tcPr>
                <w:p w14:paraId="3C5D038D">
                  <w:pPr>
                    <w:adjustRightInd w:val="0"/>
                    <w:snapToGrid w:val="0"/>
                    <w:jc w:val="center"/>
                    <w:rPr>
                      <w:bCs/>
                      <w:szCs w:val="21"/>
                    </w:rPr>
                  </w:pPr>
                  <w:r>
                    <w:rPr>
                      <w:bCs/>
                      <w:szCs w:val="21"/>
                    </w:rPr>
                    <w:t>16.409</w:t>
                  </w:r>
                </w:p>
              </w:tc>
            </w:tr>
            <w:tr w14:paraId="1AE123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54" w:type="pct"/>
                  <w:tcBorders>
                    <w:top w:val="single" w:color="auto" w:sz="4" w:space="0"/>
                    <w:left w:val="nil"/>
                    <w:bottom w:val="single" w:color="auto" w:sz="4" w:space="0"/>
                    <w:right w:val="single" w:color="auto" w:sz="8" w:space="0"/>
                  </w:tcBorders>
                  <w:vAlign w:val="center"/>
                </w:tcPr>
                <w:p w14:paraId="6453E944">
                  <w:pPr>
                    <w:adjustRightInd w:val="0"/>
                    <w:snapToGrid w:val="0"/>
                    <w:jc w:val="center"/>
                    <w:rPr>
                      <w:bCs/>
                      <w:szCs w:val="21"/>
                    </w:rPr>
                  </w:pPr>
                  <w:r>
                    <w:rPr>
                      <w:bCs/>
                      <w:szCs w:val="21"/>
                    </w:rPr>
                    <w:t>NO</w:t>
                  </w:r>
                  <w:r>
                    <w:rPr>
                      <w:bCs/>
                      <w:szCs w:val="21"/>
                      <w:vertAlign w:val="subscript"/>
                    </w:rPr>
                    <w:t>X</w:t>
                  </w:r>
                </w:p>
              </w:tc>
              <w:tc>
                <w:tcPr>
                  <w:tcW w:w="699" w:type="pct"/>
                  <w:tcBorders>
                    <w:top w:val="single" w:color="auto" w:sz="4" w:space="0"/>
                    <w:left w:val="single" w:color="auto" w:sz="8" w:space="0"/>
                    <w:bottom w:val="single" w:color="auto" w:sz="4" w:space="0"/>
                    <w:right w:val="single" w:color="auto" w:sz="4" w:space="0"/>
                  </w:tcBorders>
                  <w:vAlign w:val="center"/>
                </w:tcPr>
                <w:p w14:paraId="0228CF17">
                  <w:pPr>
                    <w:adjustRightInd w:val="0"/>
                    <w:snapToGrid w:val="0"/>
                    <w:jc w:val="center"/>
                    <w:rPr>
                      <w:bCs/>
                      <w:szCs w:val="21"/>
                    </w:rPr>
                  </w:pPr>
                  <w:r>
                    <w:rPr>
                      <w:rFonts w:hint="eastAsia"/>
                      <w:bCs/>
                      <w:szCs w:val="21"/>
                    </w:rPr>
                    <w:t>350</w:t>
                  </w:r>
                </w:p>
              </w:tc>
              <w:tc>
                <w:tcPr>
                  <w:tcW w:w="801" w:type="pct"/>
                  <w:tcBorders>
                    <w:top w:val="single" w:color="auto" w:sz="4" w:space="0"/>
                    <w:left w:val="single" w:color="auto" w:sz="4" w:space="0"/>
                    <w:bottom w:val="single" w:color="auto" w:sz="4" w:space="0"/>
                    <w:right w:val="nil"/>
                  </w:tcBorders>
                  <w:vAlign w:val="center"/>
                </w:tcPr>
                <w:p w14:paraId="729D62B8">
                  <w:pPr>
                    <w:adjustRightInd w:val="0"/>
                    <w:snapToGrid w:val="0"/>
                    <w:jc w:val="center"/>
                    <w:rPr>
                      <w:bCs/>
                      <w:szCs w:val="21"/>
                    </w:rPr>
                  </w:pPr>
                  <w:r>
                    <w:rPr>
                      <w:bCs/>
                      <w:szCs w:val="21"/>
                    </w:rPr>
                    <w:t>30.11</w:t>
                  </w:r>
                </w:p>
              </w:tc>
              <w:tc>
                <w:tcPr>
                  <w:tcW w:w="731" w:type="pct"/>
                  <w:tcBorders>
                    <w:top w:val="single" w:color="auto" w:sz="4" w:space="0"/>
                    <w:left w:val="single" w:color="auto" w:sz="4" w:space="0"/>
                    <w:bottom w:val="single" w:color="auto" w:sz="4" w:space="0"/>
                    <w:right w:val="nil"/>
                  </w:tcBorders>
                  <w:vAlign w:val="center"/>
                </w:tcPr>
                <w:p w14:paraId="370E2C2E">
                  <w:pPr>
                    <w:adjustRightInd w:val="0"/>
                    <w:snapToGrid w:val="0"/>
                    <w:jc w:val="center"/>
                    <w:rPr>
                      <w:bCs/>
                      <w:szCs w:val="21"/>
                    </w:rPr>
                  </w:pPr>
                  <w:r>
                    <w:rPr>
                      <w:bCs/>
                      <w:szCs w:val="21"/>
                    </w:rPr>
                    <w:t>101.189</w:t>
                  </w:r>
                </w:p>
              </w:tc>
              <w:tc>
                <w:tcPr>
                  <w:tcW w:w="757" w:type="pct"/>
                  <w:tcBorders>
                    <w:top w:val="single" w:color="auto" w:sz="4" w:space="0"/>
                    <w:left w:val="single" w:color="auto" w:sz="4" w:space="0"/>
                    <w:bottom w:val="single" w:color="auto" w:sz="4" w:space="0"/>
                    <w:right w:val="nil"/>
                  </w:tcBorders>
                </w:tcPr>
                <w:p w14:paraId="39471BB7">
                  <w:pPr>
                    <w:adjustRightInd w:val="0"/>
                    <w:snapToGrid w:val="0"/>
                    <w:jc w:val="center"/>
                    <w:rPr>
                      <w:bCs/>
                      <w:szCs w:val="21"/>
                    </w:rPr>
                  </w:pPr>
                  <w:r>
                    <w:rPr>
                      <w:rFonts w:hint="eastAsia"/>
                      <w:bCs/>
                      <w:szCs w:val="21"/>
                    </w:rPr>
                    <w:t>157.5</w:t>
                  </w:r>
                </w:p>
              </w:tc>
              <w:tc>
                <w:tcPr>
                  <w:tcW w:w="729" w:type="pct"/>
                  <w:tcBorders>
                    <w:top w:val="single" w:color="auto" w:sz="4" w:space="0"/>
                    <w:left w:val="single" w:color="auto" w:sz="4" w:space="0"/>
                    <w:bottom w:val="single" w:color="auto" w:sz="4" w:space="0"/>
                    <w:right w:val="nil"/>
                  </w:tcBorders>
                </w:tcPr>
                <w:p w14:paraId="5EC11EB3">
                  <w:pPr>
                    <w:adjustRightInd w:val="0"/>
                    <w:snapToGrid w:val="0"/>
                    <w:jc w:val="center"/>
                    <w:rPr>
                      <w:bCs/>
                      <w:szCs w:val="21"/>
                    </w:rPr>
                  </w:pPr>
                  <w:r>
                    <w:rPr>
                      <w:rFonts w:hint="eastAsia"/>
                      <w:bCs/>
                      <w:szCs w:val="21"/>
                    </w:rPr>
                    <w:t>13.55</w:t>
                  </w:r>
                </w:p>
              </w:tc>
              <w:tc>
                <w:tcPr>
                  <w:tcW w:w="729" w:type="pct"/>
                  <w:tcBorders>
                    <w:top w:val="single" w:color="auto" w:sz="4" w:space="0"/>
                    <w:left w:val="single" w:color="auto" w:sz="4" w:space="0"/>
                    <w:bottom w:val="single" w:color="auto" w:sz="4" w:space="0"/>
                    <w:right w:val="nil"/>
                  </w:tcBorders>
                  <w:vAlign w:val="center"/>
                </w:tcPr>
                <w:p w14:paraId="4D72124C">
                  <w:pPr>
                    <w:adjustRightInd w:val="0"/>
                    <w:snapToGrid w:val="0"/>
                    <w:jc w:val="center"/>
                    <w:rPr>
                      <w:bCs/>
                      <w:szCs w:val="21"/>
                    </w:rPr>
                  </w:pPr>
                  <w:r>
                    <w:rPr>
                      <w:rFonts w:hint="eastAsia"/>
                      <w:bCs/>
                      <w:szCs w:val="21"/>
                    </w:rPr>
                    <w:t>45.535</w:t>
                  </w:r>
                </w:p>
              </w:tc>
            </w:tr>
            <w:tr w14:paraId="4B808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54" w:type="pct"/>
                  <w:tcBorders>
                    <w:top w:val="single" w:color="auto" w:sz="4" w:space="0"/>
                    <w:left w:val="nil"/>
                    <w:bottom w:val="single" w:color="auto" w:sz="4" w:space="0"/>
                    <w:right w:val="single" w:color="auto" w:sz="8" w:space="0"/>
                  </w:tcBorders>
                  <w:vAlign w:val="center"/>
                </w:tcPr>
                <w:p w14:paraId="68AA6CBE">
                  <w:pPr>
                    <w:adjustRightInd w:val="0"/>
                    <w:snapToGrid w:val="0"/>
                    <w:jc w:val="center"/>
                    <w:rPr>
                      <w:bCs/>
                      <w:szCs w:val="21"/>
                    </w:rPr>
                  </w:pPr>
                  <w:r>
                    <w:rPr>
                      <w:rFonts w:hint="eastAsia"/>
                      <w:bCs/>
                      <w:szCs w:val="21"/>
                    </w:rPr>
                    <w:t>汞及其化合物</w:t>
                  </w:r>
                </w:p>
              </w:tc>
              <w:tc>
                <w:tcPr>
                  <w:tcW w:w="699" w:type="pct"/>
                  <w:tcBorders>
                    <w:top w:val="single" w:color="auto" w:sz="4" w:space="0"/>
                    <w:left w:val="single" w:color="auto" w:sz="8" w:space="0"/>
                    <w:bottom w:val="single" w:color="auto" w:sz="4" w:space="0"/>
                    <w:right w:val="single" w:color="auto" w:sz="4" w:space="0"/>
                  </w:tcBorders>
                  <w:vAlign w:val="center"/>
                </w:tcPr>
                <w:p w14:paraId="6D1AB1ED">
                  <w:pPr>
                    <w:adjustRightInd w:val="0"/>
                    <w:snapToGrid w:val="0"/>
                    <w:jc w:val="center"/>
                    <w:rPr>
                      <w:bCs/>
                      <w:szCs w:val="21"/>
                    </w:rPr>
                  </w:pPr>
                  <w:r>
                    <w:rPr>
                      <w:rFonts w:hint="eastAsia"/>
                      <w:bCs/>
                      <w:szCs w:val="21"/>
                    </w:rPr>
                    <w:t>0.02</w:t>
                  </w:r>
                </w:p>
              </w:tc>
              <w:tc>
                <w:tcPr>
                  <w:tcW w:w="801" w:type="pct"/>
                  <w:tcBorders>
                    <w:top w:val="single" w:color="auto" w:sz="4" w:space="0"/>
                    <w:left w:val="single" w:color="auto" w:sz="4" w:space="0"/>
                    <w:bottom w:val="single" w:color="auto" w:sz="4" w:space="0"/>
                    <w:right w:val="nil"/>
                  </w:tcBorders>
                  <w:vAlign w:val="center"/>
                </w:tcPr>
                <w:p w14:paraId="3428C96F">
                  <w:pPr>
                    <w:adjustRightInd w:val="0"/>
                    <w:snapToGrid w:val="0"/>
                    <w:jc w:val="center"/>
                    <w:rPr>
                      <w:bCs/>
                      <w:szCs w:val="21"/>
                    </w:rPr>
                  </w:pPr>
                  <w:r>
                    <w:rPr>
                      <w:rFonts w:hint="eastAsia"/>
                      <w:bCs/>
                      <w:szCs w:val="21"/>
                    </w:rPr>
                    <w:t>0.002</w:t>
                  </w:r>
                </w:p>
              </w:tc>
              <w:tc>
                <w:tcPr>
                  <w:tcW w:w="731" w:type="pct"/>
                  <w:tcBorders>
                    <w:top w:val="single" w:color="auto" w:sz="4" w:space="0"/>
                    <w:left w:val="single" w:color="auto" w:sz="4" w:space="0"/>
                    <w:bottom w:val="single" w:color="auto" w:sz="4" w:space="0"/>
                    <w:right w:val="nil"/>
                  </w:tcBorders>
                  <w:vAlign w:val="center"/>
                </w:tcPr>
                <w:p w14:paraId="1BC47660">
                  <w:pPr>
                    <w:adjustRightInd w:val="0"/>
                    <w:snapToGrid w:val="0"/>
                    <w:jc w:val="center"/>
                    <w:rPr>
                      <w:bCs/>
                      <w:szCs w:val="21"/>
                    </w:rPr>
                  </w:pPr>
                  <w:r>
                    <w:rPr>
                      <w:rFonts w:hint="eastAsia"/>
                      <w:bCs/>
                      <w:szCs w:val="21"/>
                    </w:rPr>
                    <w:t>0.00</w:t>
                  </w:r>
                  <w:r>
                    <w:rPr>
                      <w:bCs/>
                      <w:szCs w:val="21"/>
                    </w:rPr>
                    <w:t>6</w:t>
                  </w:r>
                </w:p>
              </w:tc>
              <w:tc>
                <w:tcPr>
                  <w:tcW w:w="757" w:type="pct"/>
                  <w:tcBorders>
                    <w:top w:val="single" w:color="auto" w:sz="4" w:space="0"/>
                    <w:left w:val="single" w:color="auto" w:sz="4" w:space="0"/>
                    <w:bottom w:val="single" w:color="auto" w:sz="4" w:space="0"/>
                    <w:right w:val="nil"/>
                  </w:tcBorders>
                  <w:vAlign w:val="center"/>
                </w:tcPr>
                <w:p w14:paraId="5AFE0C8D">
                  <w:pPr>
                    <w:adjustRightInd w:val="0"/>
                    <w:snapToGrid w:val="0"/>
                    <w:jc w:val="center"/>
                    <w:rPr>
                      <w:bCs/>
                      <w:szCs w:val="21"/>
                    </w:rPr>
                  </w:pPr>
                  <w:r>
                    <w:rPr>
                      <w:rFonts w:hint="eastAsia"/>
                      <w:bCs/>
                      <w:szCs w:val="21"/>
                    </w:rPr>
                    <w:t>0.006</w:t>
                  </w:r>
                </w:p>
              </w:tc>
              <w:tc>
                <w:tcPr>
                  <w:tcW w:w="729" w:type="pct"/>
                  <w:tcBorders>
                    <w:top w:val="single" w:color="auto" w:sz="4" w:space="0"/>
                    <w:left w:val="single" w:color="auto" w:sz="4" w:space="0"/>
                    <w:bottom w:val="single" w:color="auto" w:sz="4" w:space="0"/>
                    <w:right w:val="nil"/>
                  </w:tcBorders>
                  <w:vAlign w:val="center"/>
                </w:tcPr>
                <w:p w14:paraId="5F346898">
                  <w:pPr>
                    <w:adjustRightInd w:val="0"/>
                    <w:snapToGrid w:val="0"/>
                    <w:jc w:val="center"/>
                    <w:rPr>
                      <w:bCs/>
                      <w:szCs w:val="21"/>
                    </w:rPr>
                  </w:pPr>
                  <w:r>
                    <w:rPr>
                      <w:rFonts w:hint="eastAsia"/>
                      <w:bCs/>
                      <w:szCs w:val="21"/>
                    </w:rPr>
                    <w:t>0.001</w:t>
                  </w:r>
                </w:p>
              </w:tc>
              <w:tc>
                <w:tcPr>
                  <w:tcW w:w="729" w:type="pct"/>
                  <w:tcBorders>
                    <w:top w:val="single" w:color="auto" w:sz="4" w:space="0"/>
                    <w:left w:val="single" w:color="auto" w:sz="4" w:space="0"/>
                    <w:bottom w:val="single" w:color="auto" w:sz="4" w:space="0"/>
                    <w:right w:val="nil"/>
                  </w:tcBorders>
                  <w:vAlign w:val="center"/>
                </w:tcPr>
                <w:p w14:paraId="789D7438">
                  <w:pPr>
                    <w:adjustRightInd w:val="0"/>
                    <w:snapToGrid w:val="0"/>
                    <w:jc w:val="center"/>
                    <w:rPr>
                      <w:bCs/>
                      <w:szCs w:val="21"/>
                    </w:rPr>
                  </w:pPr>
                  <w:r>
                    <w:rPr>
                      <w:rFonts w:hint="eastAsia"/>
                      <w:bCs/>
                      <w:szCs w:val="21"/>
                    </w:rPr>
                    <w:t>0.002</w:t>
                  </w:r>
                </w:p>
              </w:tc>
            </w:tr>
            <w:tr w14:paraId="48949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554" w:type="pct"/>
                  <w:tcBorders>
                    <w:top w:val="single" w:color="auto" w:sz="4" w:space="0"/>
                    <w:left w:val="nil"/>
                    <w:bottom w:val="single" w:color="auto" w:sz="12" w:space="0"/>
                    <w:right w:val="single" w:color="auto" w:sz="8" w:space="0"/>
                  </w:tcBorders>
                  <w:vAlign w:val="center"/>
                </w:tcPr>
                <w:p w14:paraId="4A2E3DC2">
                  <w:pPr>
                    <w:adjustRightInd w:val="0"/>
                    <w:snapToGrid w:val="0"/>
                    <w:jc w:val="center"/>
                    <w:rPr>
                      <w:bCs/>
                      <w:szCs w:val="21"/>
                    </w:rPr>
                  </w:pPr>
                  <w:r>
                    <w:rPr>
                      <w:bCs/>
                      <w:szCs w:val="21"/>
                    </w:rPr>
                    <w:t>氨逃逸</w:t>
                  </w:r>
                </w:p>
              </w:tc>
              <w:tc>
                <w:tcPr>
                  <w:tcW w:w="699" w:type="pct"/>
                  <w:tcBorders>
                    <w:top w:val="single" w:color="auto" w:sz="4" w:space="0"/>
                    <w:left w:val="single" w:color="auto" w:sz="8" w:space="0"/>
                    <w:bottom w:val="single" w:color="auto" w:sz="12" w:space="0"/>
                    <w:right w:val="single" w:color="auto" w:sz="4" w:space="0"/>
                  </w:tcBorders>
                  <w:vAlign w:val="center"/>
                </w:tcPr>
                <w:p w14:paraId="6B0412B1">
                  <w:pPr>
                    <w:adjustRightInd w:val="0"/>
                    <w:snapToGrid w:val="0"/>
                    <w:jc w:val="center"/>
                    <w:rPr>
                      <w:bCs/>
                      <w:szCs w:val="21"/>
                    </w:rPr>
                  </w:pPr>
                  <w:r>
                    <w:rPr>
                      <w:rFonts w:hint="eastAsia"/>
                      <w:bCs/>
                      <w:szCs w:val="21"/>
                    </w:rPr>
                    <w:t>2.5</w:t>
                  </w:r>
                </w:p>
              </w:tc>
              <w:tc>
                <w:tcPr>
                  <w:tcW w:w="801" w:type="pct"/>
                  <w:tcBorders>
                    <w:top w:val="single" w:color="auto" w:sz="4" w:space="0"/>
                    <w:left w:val="single" w:color="auto" w:sz="4" w:space="0"/>
                    <w:bottom w:val="single" w:color="auto" w:sz="12" w:space="0"/>
                    <w:right w:val="nil"/>
                  </w:tcBorders>
                  <w:vAlign w:val="center"/>
                </w:tcPr>
                <w:p w14:paraId="164DFAA0">
                  <w:pPr>
                    <w:adjustRightInd w:val="0"/>
                    <w:snapToGrid w:val="0"/>
                    <w:jc w:val="center"/>
                    <w:rPr>
                      <w:bCs/>
                      <w:szCs w:val="21"/>
                    </w:rPr>
                  </w:pPr>
                  <w:r>
                    <w:rPr>
                      <w:bCs/>
                      <w:szCs w:val="21"/>
                    </w:rPr>
                    <w:t>0.22</w:t>
                  </w:r>
                </w:p>
              </w:tc>
              <w:tc>
                <w:tcPr>
                  <w:tcW w:w="731" w:type="pct"/>
                  <w:tcBorders>
                    <w:top w:val="single" w:color="auto" w:sz="4" w:space="0"/>
                    <w:left w:val="single" w:color="auto" w:sz="4" w:space="0"/>
                    <w:bottom w:val="single" w:color="auto" w:sz="12" w:space="0"/>
                    <w:right w:val="nil"/>
                  </w:tcBorders>
                  <w:vAlign w:val="center"/>
                </w:tcPr>
                <w:p w14:paraId="605E7016">
                  <w:pPr>
                    <w:adjustRightInd w:val="0"/>
                    <w:snapToGrid w:val="0"/>
                    <w:jc w:val="center"/>
                    <w:rPr>
                      <w:bCs/>
                      <w:szCs w:val="21"/>
                    </w:rPr>
                  </w:pPr>
                  <w:r>
                    <w:rPr>
                      <w:bCs/>
                      <w:szCs w:val="21"/>
                    </w:rPr>
                    <w:t>0.723</w:t>
                  </w:r>
                </w:p>
              </w:tc>
              <w:tc>
                <w:tcPr>
                  <w:tcW w:w="757" w:type="pct"/>
                  <w:tcBorders>
                    <w:top w:val="single" w:color="auto" w:sz="4" w:space="0"/>
                    <w:left w:val="single" w:color="auto" w:sz="4" w:space="0"/>
                    <w:bottom w:val="single" w:color="auto" w:sz="12" w:space="0"/>
                    <w:right w:val="nil"/>
                  </w:tcBorders>
                  <w:vAlign w:val="center"/>
                </w:tcPr>
                <w:p w14:paraId="1162EB22">
                  <w:pPr>
                    <w:adjustRightInd w:val="0"/>
                    <w:snapToGrid w:val="0"/>
                    <w:jc w:val="center"/>
                    <w:rPr>
                      <w:bCs/>
                      <w:szCs w:val="21"/>
                    </w:rPr>
                  </w:pPr>
                  <w:r>
                    <w:rPr>
                      <w:rFonts w:hint="eastAsia"/>
                      <w:bCs/>
                      <w:szCs w:val="21"/>
                    </w:rPr>
                    <w:t>2.5</w:t>
                  </w:r>
                </w:p>
              </w:tc>
              <w:tc>
                <w:tcPr>
                  <w:tcW w:w="729" w:type="pct"/>
                  <w:tcBorders>
                    <w:top w:val="single" w:color="auto" w:sz="4" w:space="0"/>
                    <w:left w:val="single" w:color="auto" w:sz="4" w:space="0"/>
                    <w:bottom w:val="single" w:color="auto" w:sz="12" w:space="0"/>
                    <w:right w:val="nil"/>
                  </w:tcBorders>
                  <w:vAlign w:val="center"/>
                </w:tcPr>
                <w:p w14:paraId="380E3300">
                  <w:pPr>
                    <w:adjustRightInd w:val="0"/>
                    <w:snapToGrid w:val="0"/>
                    <w:jc w:val="center"/>
                    <w:rPr>
                      <w:bCs/>
                      <w:szCs w:val="21"/>
                    </w:rPr>
                  </w:pPr>
                  <w:r>
                    <w:rPr>
                      <w:bCs/>
                      <w:szCs w:val="21"/>
                    </w:rPr>
                    <w:t>0.22</w:t>
                  </w:r>
                </w:p>
              </w:tc>
              <w:tc>
                <w:tcPr>
                  <w:tcW w:w="729" w:type="pct"/>
                  <w:tcBorders>
                    <w:top w:val="single" w:color="auto" w:sz="4" w:space="0"/>
                    <w:left w:val="single" w:color="auto" w:sz="4" w:space="0"/>
                    <w:bottom w:val="single" w:color="auto" w:sz="12" w:space="0"/>
                    <w:right w:val="nil"/>
                  </w:tcBorders>
                  <w:vAlign w:val="center"/>
                </w:tcPr>
                <w:p w14:paraId="7F8F5B8D">
                  <w:pPr>
                    <w:adjustRightInd w:val="0"/>
                    <w:snapToGrid w:val="0"/>
                    <w:jc w:val="center"/>
                    <w:rPr>
                      <w:bCs/>
                      <w:szCs w:val="21"/>
                    </w:rPr>
                  </w:pPr>
                  <w:r>
                    <w:rPr>
                      <w:bCs/>
                      <w:szCs w:val="21"/>
                    </w:rPr>
                    <w:t>0.723</w:t>
                  </w:r>
                </w:p>
              </w:tc>
            </w:tr>
          </w:tbl>
          <w:p w14:paraId="15A8C3DC">
            <w:pPr>
              <w:adjustRightInd w:val="0"/>
              <w:snapToGrid w:val="0"/>
              <w:jc w:val="center"/>
              <w:rPr>
                <w:b/>
                <w:bCs/>
                <w:szCs w:val="21"/>
              </w:rPr>
            </w:pPr>
            <w:r>
              <w:rPr>
                <w:b/>
                <w:bCs/>
                <w:szCs w:val="21"/>
              </w:rPr>
              <w:t>表</w:t>
            </w:r>
            <w:r>
              <w:rPr>
                <w:rFonts w:hint="eastAsia"/>
                <w:b/>
                <w:bCs/>
                <w:szCs w:val="21"/>
              </w:rPr>
              <w:t>4-3</w:t>
            </w:r>
            <w:r>
              <w:rPr>
                <w:b/>
                <w:bCs/>
                <w:szCs w:val="21"/>
              </w:rPr>
              <w:t xml:space="preserve">  锅炉废气</w:t>
            </w:r>
            <w:r>
              <w:rPr>
                <w:rFonts w:hint="eastAsia"/>
                <w:b/>
                <w:bCs/>
                <w:szCs w:val="21"/>
              </w:rPr>
              <w:t>量、烟尘、S</w:t>
            </w:r>
            <w:r>
              <w:rPr>
                <w:b/>
                <w:bCs/>
                <w:szCs w:val="21"/>
              </w:rPr>
              <w:t>O</w:t>
            </w:r>
            <w:r>
              <w:rPr>
                <w:b/>
                <w:bCs/>
                <w:szCs w:val="21"/>
                <w:vertAlign w:val="subscript"/>
              </w:rPr>
              <w:t>2</w:t>
            </w:r>
            <w:r>
              <w:rPr>
                <w:rFonts w:hint="eastAsia"/>
                <w:b/>
                <w:bCs/>
                <w:szCs w:val="21"/>
              </w:rPr>
              <w:t>、N</w:t>
            </w:r>
            <w:r>
              <w:rPr>
                <w:b/>
                <w:bCs/>
                <w:szCs w:val="21"/>
              </w:rPr>
              <w:t>O</w:t>
            </w:r>
            <w:r>
              <w:rPr>
                <w:b/>
                <w:bCs/>
                <w:szCs w:val="21"/>
                <w:vertAlign w:val="subscript"/>
              </w:rPr>
              <w:t>X</w:t>
            </w:r>
            <w:r>
              <w:rPr>
                <w:b/>
                <w:bCs/>
                <w:szCs w:val="21"/>
              </w:rPr>
              <w:t>产生</w:t>
            </w:r>
            <w:r>
              <w:rPr>
                <w:rFonts w:hint="eastAsia"/>
                <w:b/>
                <w:bCs/>
                <w:szCs w:val="21"/>
              </w:rPr>
              <w:t>排放</w:t>
            </w:r>
            <w:r>
              <w:rPr>
                <w:b/>
                <w:bCs/>
                <w:szCs w:val="21"/>
              </w:rPr>
              <w:t>情况表</w:t>
            </w:r>
            <w:r>
              <w:rPr>
                <w:rFonts w:hint="eastAsia"/>
                <w:b/>
                <w:bCs/>
                <w:szCs w:val="21"/>
              </w:rPr>
              <w:t>（非采暖期）</w:t>
            </w:r>
          </w:p>
          <w:tbl>
            <w:tblPr>
              <w:tblStyle w:val="3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8"/>
              <w:gridCol w:w="1268"/>
              <w:gridCol w:w="1289"/>
              <w:gridCol w:w="1176"/>
              <w:gridCol w:w="1218"/>
              <w:gridCol w:w="1174"/>
              <w:gridCol w:w="1174"/>
            </w:tblGrid>
            <w:tr w14:paraId="0577B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65" w:type="pct"/>
                  <w:vMerge w:val="restart"/>
                  <w:tcBorders>
                    <w:top w:val="single" w:color="auto" w:sz="12" w:space="0"/>
                    <w:left w:val="nil"/>
                    <w:bottom w:val="single" w:color="auto" w:sz="4" w:space="0"/>
                    <w:right w:val="single" w:color="auto" w:sz="8" w:space="0"/>
                  </w:tcBorders>
                  <w:vAlign w:val="center"/>
                </w:tcPr>
                <w:p w14:paraId="066E968F">
                  <w:pPr>
                    <w:adjustRightInd w:val="0"/>
                    <w:snapToGrid w:val="0"/>
                    <w:jc w:val="center"/>
                    <w:rPr>
                      <w:bCs/>
                      <w:szCs w:val="21"/>
                    </w:rPr>
                  </w:pPr>
                  <w:r>
                    <w:rPr>
                      <w:bCs/>
                      <w:szCs w:val="21"/>
                    </w:rPr>
                    <w:t>污染物名称</w:t>
                  </w:r>
                </w:p>
              </w:tc>
              <w:tc>
                <w:tcPr>
                  <w:tcW w:w="2320" w:type="pct"/>
                  <w:gridSpan w:val="3"/>
                  <w:tcBorders>
                    <w:top w:val="single" w:color="auto" w:sz="12" w:space="0"/>
                    <w:left w:val="single" w:color="auto" w:sz="8" w:space="0"/>
                    <w:bottom w:val="single" w:color="auto" w:sz="4" w:space="0"/>
                    <w:right w:val="nil"/>
                  </w:tcBorders>
                  <w:vAlign w:val="center"/>
                </w:tcPr>
                <w:p w14:paraId="5B9291F0">
                  <w:pPr>
                    <w:adjustRightInd w:val="0"/>
                    <w:snapToGrid w:val="0"/>
                    <w:jc w:val="center"/>
                    <w:rPr>
                      <w:bCs/>
                      <w:szCs w:val="21"/>
                    </w:rPr>
                  </w:pPr>
                  <w:r>
                    <w:rPr>
                      <w:rFonts w:hint="eastAsia"/>
                      <w:bCs/>
                      <w:szCs w:val="21"/>
                    </w:rPr>
                    <w:t>锅炉</w:t>
                  </w:r>
                  <w:r>
                    <w:rPr>
                      <w:bCs/>
                      <w:szCs w:val="21"/>
                    </w:rPr>
                    <w:t>处理前污染物产生</w:t>
                  </w:r>
                </w:p>
              </w:tc>
              <w:tc>
                <w:tcPr>
                  <w:tcW w:w="2215" w:type="pct"/>
                  <w:gridSpan w:val="3"/>
                  <w:tcBorders>
                    <w:top w:val="single" w:color="auto" w:sz="12" w:space="0"/>
                    <w:left w:val="single" w:color="auto" w:sz="8" w:space="0"/>
                    <w:bottom w:val="single" w:color="auto" w:sz="4" w:space="0"/>
                    <w:right w:val="nil"/>
                  </w:tcBorders>
                </w:tcPr>
                <w:p w14:paraId="20F5818D">
                  <w:pPr>
                    <w:adjustRightInd w:val="0"/>
                    <w:snapToGrid w:val="0"/>
                    <w:jc w:val="center"/>
                    <w:rPr>
                      <w:bCs/>
                      <w:szCs w:val="21"/>
                    </w:rPr>
                  </w:pPr>
                  <w:r>
                    <w:rPr>
                      <w:rFonts w:hint="eastAsia"/>
                      <w:bCs/>
                      <w:szCs w:val="21"/>
                    </w:rPr>
                    <w:t>锅炉处理后污染物排放</w:t>
                  </w:r>
                </w:p>
              </w:tc>
            </w:tr>
            <w:tr w14:paraId="2004EC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65" w:type="pct"/>
                  <w:vMerge w:val="continue"/>
                  <w:tcBorders>
                    <w:top w:val="single" w:color="auto" w:sz="4" w:space="0"/>
                    <w:left w:val="nil"/>
                    <w:bottom w:val="single" w:color="auto" w:sz="4" w:space="0"/>
                    <w:right w:val="single" w:color="auto" w:sz="8" w:space="0"/>
                  </w:tcBorders>
                  <w:vAlign w:val="center"/>
                </w:tcPr>
                <w:p w14:paraId="5DC61C3B">
                  <w:pPr>
                    <w:adjustRightInd w:val="0"/>
                    <w:snapToGrid w:val="0"/>
                    <w:jc w:val="center"/>
                    <w:rPr>
                      <w:bCs/>
                      <w:szCs w:val="21"/>
                    </w:rPr>
                  </w:pPr>
                </w:p>
              </w:tc>
              <w:tc>
                <w:tcPr>
                  <w:tcW w:w="788" w:type="pct"/>
                  <w:tcBorders>
                    <w:top w:val="single" w:color="auto" w:sz="4" w:space="0"/>
                    <w:left w:val="single" w:color="auto" w:sz="8" w:space="0"/>
                    <w:bottom w:val="single" w:color="auto" w:sz="4" w:space="0"/>
                    <w:right w:val="single" w:color="auto" w:sz="8" w:space="0"/>
                  </w:tcBorders>
                  <w:vAlign w:val="center"/>
                </w:tcPr>
                <w:p w14:paraId="1435E345">
                  <w:pPr>
                    <w:adjustRightInd w:val="0"/>
                    <w:snapToGrid w:val="0"/>
                    <w:jc w:val="center"/>
                    <w:rPr>
                      <w:bCs/>
                      <w:szCs w:val="21"/>
                    </w:rPr>
                  </w:pPr>
                  <w:r>
                    <w:rPr>
                      <w:bCs/>
                      <w:szCs w:val="21"/>
                    </w:rPr>
                    <w:t>产生浓度</w:t>
                  </w:r>
                  <w:r>
                    <w:rPr>
                      <w:rFonts w:hint="eastAsia"/>
                      <w:bCs/>
                      <w:szCs w:val="21"/>
                    </w:rPr>
                    <w:t>（m</w:t>
                  </w:r>
                  <w:r>
                    <w:rPr>
                      <w:bCs/>
                      <w:szCs w:val="21"/>
                    </w:rPr>
                    <w:t>g/m</w:t>
                  </w:r>
                  <w:r>
                    <w:rPr>
                      <w:bCs/>
                      <w:szCs w:val="21"/>
                      <w:vertAlign w:val="superscript"/>
                    </w:rPr>
                    <w:t>3</w:t>
                  </w:r>
                  <w:r>
                    <w:rPr>
                      <w:rFonts w:hint="eastAsia"/>
                      <w:bCs/>
                      <w:szCs w:val="21"/>
                    </w:rPr>
                    <w:t>）</w:t>
                  </w:r>
                </w:p>
              </w:tc>
              <w:tc>
                <w:tcPr>
                  <w:tcW w:w="801" w:type="pct"/>
                  <w:tcBorders>
                    <w:top w:val="single" w:color="auto" w:sz="4" w:space="0"/>
                    <w:left w:val="single" w:color="auto" w:sz="8" w:space="0"/>
                    <w:bottom w:val="single" w:color="auto" w:sz="4" w:space="0"/>
                    <w:right w:val="nil"/>
                  </w:tcBorders>
                  <w:vAlign w:val="center"/>
                </w:tcPr>
                <w:p w14:paraId="725C8DC1">
                  <w:pPr>
                    <w:adjustRightInd w:val="0"/>
                    <w:snapToGrid w:val="0"/>
                    <w:jc w:val="center"/>
                    <w:rPr>
                      <w:bCs/>
                      <w:szCs w:val="21"/>
                    </w:rPr>
                  </w:pPr>
                  <w:r>
                    <w:rPr>
                      <w:rFonts w:hint="eastAsia"/>
                      <w:bCs/>
                      <w:szCs w:val="21"/>
                    </w:rPr>
                    <w:t>产生速率（kg/h）</w:t>
                  </w:r>
                </w:p>
              </w:tc>
              <w:tc>
                <w:tcPr>
                  <w:tcW w:w="731" w:type="pct"/>
                  <w:tcBorders>
                    <w:top w:val="single" w:color="auto" w:sz="4" w:space="0"/>
                    <w:left w:val="single" w:color="auto" w:sz="8" w:space="0"/>
                    <w:bottom w:val="single" w:color="auto" w:sz="4" w:space="0"/>
                    <w:right w:val="nil"/>
                  </w:tcBorders>
                  <w:vAlign w:val="center"/>
                </w:tcPr>
                <w:p w14:paraId="63B70E16">
                  <w:pPr>
                    <w:adjustRightInd w:val="0"/>
                    <w:snapToGrid w:val="0"/>
                    <w:jc w:val="center"/>
                    <w:rPr>
                      <w:bCs/>
                      <w:szCs w:val="21"/>
                    </w:rPr>
                  </w:pPr>
                  <w:r>
                    <w:rPr>
                      <w:bCs/>
                      <w:szCs w:val="21"/>
                    </w:rPr>
                    <w:t>产生量</w:t>
                  </w:r>
                  <w:r>
                    <w:rPr>
                      <w:rFonts w:hint="eastAsia"/>
                      <w:bCs/>
                      <w:szCs w:val="21"/>
                    </w:rPr>
                    <w:t>（t</w:t>
                  </w:r>
                  <w:r>
                    <w:rPr>
                      <w:bCs/>
                      <w:szCs w:val="21"/>
                    </w:rPr>
                    <w:t>/a</w:t>
                  </w:r>
                  <w:r>
                    <w:rPr>
                      <w:rFonts w:hint="eastAsia"/>
                      <w:bCs/>
                      <w:szCs w:val="21"/>
                    </w:rPr>
                    <w:t>）</w:t>
                  </w:r>
                </w:p>
              </w:tc>
              <w:tc>
                <w:tcPr>
                  <w:tcW w:w="757" w:type="pct"/>
                  <w:tcBorders>
                    <w:top w:val="single" w:color="auto" w:sz="4" w:space="0"/>
                    <w:left w:val="single" w:color="auto" w:sz="8" w:space="0"/>
                    <w:bottom w:val="single" w:color="auto" w:sz="4" w:space="0"/>
                    <w:right w:val="nil"/>
                  </w:tcBorders>
                  <w:vAlign w:val="center"/>
                </w:tcPr>
                <w:p w14:paraId="00A44E45">
                  <w:pPr>
                    <w:adjustRightInd w:val="0"/>
                    <w:snapToGrid w:val="0"/>
                    <w:jc w:val="center"/>
                    <w:rPr>
                      <w:bCs/>
                      <w:szCs w:val="21"/>
                    </w:rPr>
                  </w:pPr>
                  <w:r>
                    <w:rPr>
                      <w:rFonts w:hint="eastAsia"/>
                      <w:bCs/>
                      <w:szCs w:val="21"/>
                    </w:rPr>
                    <w:t>排放</w:t>
                  </w:r>
                  <w:r>
                    <w:rPr>
                      <w:bCs/>
                      <w:szCs w:val="21"/>
                    </w:rPr>
                    <w:t>浓度</w:t>
                  </w:r>
                  <w:r>
                    <w:rPr>
                      <w:rFonts w:hint="eastAsia"/>
                      <w:bCs/>
                      <w:szCs w:val="21"/>
                    </w:rPr>
                    <w:t>（m</w:t>
                  </w:r>
                  <w:r>
                    <w:rPr>
                      <w:bCs/>
                      <w:szCs w:val="21"/>
                    </w:rPr>
                    <w:t>g/m</w:t>
                  </w:r>
                  <w:r>
                    <w:rPr>
                      <w:bCs/>
                      <w:szCs w:val="21"/>
                      <w:vertAlign w:val="superscript"/>
                    </w:rPr>
                    <w:t>3</w:t>
                  </w:r>
                  <w:r>
                    <w:rPr>
                      <w:rFonts w:hint="eastAsia"/>
                      <w:bCs/>
                      <w:szCs w:val="21"/>
                    </w:rPr>
                    <w:t>）</w:t>
                  </w:r>
                </w:p>
              </w:tc>
              <w:tc>
                <w:tcPr>
                  <w:tcW w:w="729" w:type="pct"/>
                  <w:tcBorders>
                    <w:top w:val="single" w:color="auto" w:sz="4" w:space="0"/>
                    <w:left w:val="single" w:color="auto" w:sz="8" w:space="0"/>
                    <w:bottom w:val="single" w:color="auto" w:sz="4" w:space="0"/>
                    <w:right w:val="nil"/>
                  </w:tcBorders>
                  <w:vAlign w:val="center"/>
                </w:tcPr>
                <w:p w14:paraId="3A5B4C3D">
                  <w:pPr>
                    <w:adjustRightInd w:val="0"/>
                    <w:snapToGrid w:val="0"/>
                    <w:jc w:val="center"/>
                    <w:rPr>
                      <w:bCs/>
                      <w:szCs w:val="21"/>
                    </w:rPr>
                  </w:pPr>
                  <w:r>
                    <w:rPr>
                      <w:rFonts w:hint="eastAsia"/>
                      <w:bCs/>
                      <w:szCs w:val="21"/>
                    </w:rPr>
                    <w:t>排放速率（kg/h）</w:t>
                  </w:r>
                </w:p>
              </w:tc>
              <w:tc>
                <w:tcPr>
                  <w:tcW w:w="729" w:type="pct"/>
                  <w:tcBorders>
                    <w:top w:val="single" w:color="auto" w:sz="4" w:space="0"/>
                    <w:left w:val="single" w:color="auto" w:sz="8" w:space="0"/>
                    <w:bottom w:val="single" w:color="auto" w:sz="4" w:space="0"/>
                    <w:right w:val="nil"/>
                  </w:tcBorders>
                  <w:vAlign w:val="center"/>
                </w:tcPr>
                <w:p w14:paraId="5B888937">
                  <w:pPr>
                    <w:adjustRightInd w:val="0"/>
                    <w:snapToGrid w:val="0"/>
                    <w:jc w:val="center"/>
                    <w:rPr>
                      <w:bCs/>
                      <w:szCs w:val="21"/>
                    </w:rPr>
                  </w:pPr>
                  <w:r>
                    <w:rPr>
                      <w:rFonts w:hint="eastAsia"/>
                      <w:bCs/>
                      <w:szCs w:val="21"/>
                    </w:rPr>
                    <w:t>排放</w:t>
                  </w:r>
                  <w:r>
                    <w:rPr>
                      <w:bCs/>
                      <w:szCs w:val="21"/>
                    </w:rPr>
                    <w:t>量</w:t>
                  </w:r>
                  <w:r>
                    <w:rPr>
                      <w:rFonts w:hint="eastAsia"/>
                      <w:bCs/>
                      <w:szCs w:val="21"/>
                    </w:rPr>
                    <w:t>（t</w:t>
                  </w:r>
                  <w:r>
                    <w:rPr>
                      <w:bCs/>
                      <w:szCs w:val="21"/>
                    </w:rPr>
                    <w:t>/a</w:t>
                  </w:r>
                  <w:r>
                    <w:rPr>
                      <w:rFonts w:hint="eastAsia"/>
                      <w:bCs/>
                      <w:szCs w:val="21"/>
                    </w:rPr>
                    <w:t>）</w:t>
                  </w:r>
                </w:p>
              </w:tc>
            </w:tr>
            <w:tr w14:paraId="3CAF8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65" w:type="pct"/>
                  <w:tcBorders>
                    <w:top w:val="single" w:color="auto" w:sz="4" w:space="0"/>
                    <w:left w:val="nil"/>
                    <w:bottom w:val="single" w:color="auto" w:sz="4" w:space="0"/>
                    <w:right w:val="single" w:color="auto" w:sz="8" w:space="0"/>
                  </w:tcBorders>
                  <w:vAlign w:val="center"/>
                </w:tcPr>
                <w:p w14:paraId="77E29B93">
                  <w:pPr>
                    <w:adjustRightInd w:val="0"/>
                    <w:snapToGrid w:val="0"/>
                    <w:jc w:val="center"/>
                    <w:rPr>
                      <w:bCs/>
                      <w:szCs w:val="21"/>
                    </w:rPr>
                  </w:pPr>
                  <w:r>
                    <w:rPr>
                      <w:bCs/>
                      <w:szCs w:val="21"/>
                    </w:rPr>
                    <w:t>废气量</w:t>
                  </w:r>
                </w:p>
              </w:tc>
              <w:tc>
                <w:tcPr>
                  <w:tcW w:w="4535" w:type="pct"/>
                  <w:gridSpan w:val="6"/>
                  <w:tcBorders>
                    <w:top w:val="single" w:color="auto" w:sz="4" w:space="0"/>
                    <w:left w:val="single" w:color="auto" w:sz="8" w:space="0"/>
                    <w:bottom w:val="single" w:color="auto" w:sz="4" w:space="0"/>
                    <w:right w:val="nil"/>
                  </w:tcBorders>
                  <w:vAlign w:val="center"/>
                </w:tcPr>
                <w:p w14:paraId="4B775974">
                  <w:pPr>
                    <w:adjustRightInd w:val="0"/>
                    <w:snapToGrid w:val="0"/>
                    <w:jc w:val="center"/>
                    <w:rPr>
                      <w:bCs/>
                      <w:szCs w:val="21"/>
                    </w:rPr>
                  </w:pPr>
                  <w:r>
                    <w:rPr>
                      <w:bCs/>
                      <w:szCs w:val="21"/>
                    </w:rPr>
                    <w:t>0.96×10</w:t>
                  </w:r>
                  <w:r>
                    <w:rPr>
                      <w:rFonts w:hint="eastAsia"/>
                      <w:bCs/>
                      <w:szCs w:val="21"/>
                      <w:vertAlign w:val="superscript"/>
                    </w:rPr>
                    <w:t>8</w:t>
                  </w:r>
                  <w:r>
                    <w:rPr>
                      <w:bCs/>
                      <w:szCs w:val="21"/>
                    </w:rPr>
                    <w:t>m</w:t>
                  </w:r>
                  <w:r>
                    <w:rPr>
                      <w:bCs/>
                      <w:szCs w:val="21"/>
                      <w:vertAlign w:val="superscript"/>
                    </w:rPr>
                    <w:t>3</w:t>
                  </w:r>
                  <w:r>
                    <w:rPr>
                      <w:bCs/>
                      <w:szCs w:val="21"/>
                    </w:rPr>
                    <w:t>/a</w:t>
                  </w:r>
                </w:p>
              </w:tc>
            </w:tr>
            <w:tr w14:paraId="7DB5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65" w:type="pct"/>
                  <w:tcBorders>
                    <w:top w:val="single" w:color="auto" w:sz="4" w:space="0"/>
                    <w:left w:val="nil"/>
                    <w:bottom w:val="single" w:color="auto" w:sz="4" w:space="0"/>
                    <w:right w:val="single" w:color="auto" w:sz="8" w:space="0"/>
                  </w:tcBorders>
                  <w:vAlign w:val="center"/>
                </w:tcPr>
                <w:p w14:paraId="3493934A">
                  <w:pPr>
                    <w:adjustRightInd w:val="0"/>
                    <w:snapToGrid w:val="0"/>
                    <w:jc w:val="center"/>
                    <w:rPr>
                      <w:bCs/>
                      <w:szCs w:val="21"/>
                    </w:rPr>
                  </w:pPr>
                  <w:r>
                    <w:rPr>
                      <w:bCs/>
                      <w:szCs w:val="21"/>
                    </w:rPr>
                    <w:t>烟尘</w:t>
                  </w:r>
                </w:p>
              </w:tc>
              <w:tc>
                <w:tcPr>
                  <w:tcW w:w="788" w:type="pct"/>
                  <w:tcBorders>
                    <w:top w:val="single" w:color="auto" w:sz="4" w:space="0"/>
                    <w:left w:val="single" w:color="auto" w:sz="8" w:space="0"/>
                    <w:bottom w:val="single" w:color="auto" w:sz="4" w:space="0"/>
                    <w:right w:val="single" w:color="auto" w:sz="4" w:space="0"/>
                  </w:tcBorders>
                  <w:vAlign w:val="center"/>
                </w:tcPr>
                <w:p w14:paraId="1C86563A">
                  <w:pPr>
                    <w:adjustRightInd w:val="0"/>
                    <w:snapToGrid w:val="0"/>
                    <w:jc w:val="center"/>
                    <w:rPr>
                      <w:bCs/>
                      <w:szCs w:val="21"/>
                    </w:rPr>
                  </w:pPr>
                  <w:r>
                    <w:rPr>
                      <w:rFonts w:hint="eastAsia"/>
                      <w:bCs/>
                      <w:szCs w:val="21"/>
                    </w:rPr>
                    <w:t>1018.81</w:t>
                  </w:r>
                </w:p>
              </w:tc>
              <w:tc>
                <w:tcPr>
                  <w:tcW w:w="801" w:type="pct"/>
                  <w:tcBorders>
                    <w:top w:val="single" w:color="auto" w:sz="4" w:space="0"/>
                    <w:left w:val="single" w:color="auto" w:sz="4" w:space="0"/>
                    <w:bottom w:val="single" w:color="auto" w:sz="4" w:space="0"/>
                    <w:right w:val="nil"/>
                  </w:tcBorders>
                  <w:vAlign w:val="center"/>
                </w:tcPr>
                <w:p w14:paraId="68A6A877">
                  <w:pPr>
                    <w:adjustRightInd w:val="0"/>
                    <w:snapToGrid w:val="0"/>
                    <w:jc w:val="center"/>
                    <w:rPr>
                      <w:bCs/>
                      <w:szCs w:val="21"/>
                    </w:rPr>
                  </w:pPr>
                  <w:r>
                    <w:rPr>
                      <w:bCs/>
                      <w:szCs w:val="21"/>
                    </w:rPr>
                    <w:t>24.92</w:t>
                  </w:r>
                </w:p>
              </w:tc>
              <w:tc>
                <w:tcPr>
                  <w:tcW w:w="731" w:type="pct"/>
                  <w:tcBorders>
                    <w:top w:val="single" w:color="auto" w:sz="4" w:space="0"/>
                    <w:left w:val="single" w:color="auto" w:sz="4" w:space="0"/>
                    <w:bottom w:val="single" w:color="auto" w:sz="4" w:space="0"/>
                    <w:right w:val="nil"/>
                  </w:tcBorders>
                  <w:vAlign w:val="center"/>
                </w:tcPr>
                <w:p w14:paraId="5C99BC50">
                  <w:pPr>
                    <w:adjustRightInd w:val="0"/>
                    <w:snapToGrid w:val="0"/>
                    <w:jc w:val="center"/>
                    <w:rPr>
                      <w:bCs/>
                      <w:szCs w:val="21"/>
                    </w:rPr>
                  </w:pPr>
                  <w:r>
                    <w:rPr>
                      <w:bCs/>
                      <w:szCs w:val="21"/>
                    </w:rPr>
                    <w:t>98.184</w:t>
                  </w:r>
                </w:p>
              </w:tc>
              <w:tc>
                <w:tcPr>
                  <w:tcW w:w="757" w:type="pct"/>
                  <w:tcBorders>
                    <w:top w:val="single" w:color="auto" w:sz="4" w:space="0"/>
                    <w:left w:val="single" w:color="auto" w:sz="4" w:space="0"/>
                    <w:bottom w:val="single" w:color="auto" w:sz="4" w:space="0"/>
                    <w:right w:val="nil"/>
                  </w:tcBorders>
                </w:tcPr>
                <w:p w14:paraId="10DA3629">
                  <w:pPr>
                    <w:adjustRightInd w:val="0"/>
                    <w:snapToGrid w:val="0"/>
                    <w:jc w:val="center"/>
                    <w:rPr>
                      <w:bCs/>
                      <w:szCs w:val="21"/>
                    </w:rPr>
                  </w:pPr>
                  <w:r>
                    <w:rPr>
                      <w:bCs/>
                      <w:szCs w:val="21"/>
                    </w:rPr>
                    <w:t>11.95</w:t>
                  </w:r>
                </w:p>
              </w:tc>
              <w:tc>
                <w:tcPr>
                  <w:tcW w:w="729" w:type="pct"/>
                  <w:tcBorders>
                    <w:top w:val="single" w:color="auto" w:sz="4" w:space="0"/>
                    <w:left w:val="single" w:color="auto" w:sz="4" w:space="0"/>
                    <w:bottom w:val="single" w:color="auto" w:sz="4" w:space="0"/>
                    <w:right w:val="nil"/>
                  </w:tcBorders>
                </w:tcPr>
                <w:p w14:paraId="1E5C885B">
                  <w:pPr>
                    <w:adjustRightInd w:val="0"/>
                    <w:snapToGrid w:val="0"/>
                    <w:jc w:val="center"/>
                    <w:rPr>
                      <w:bCs/>
                      <w:szCs w:val="21"/>
                    </w:rPr>
                  </w:pPr>
                  <w:r>
                    <w:rPr>
                      <w:bCs/>
                      <w:szCs w:val="21"/>
                    </w:rPr>
                    <w:t>0.29</w:t>
                  </w:r>
                </w:p>
              </w:tc>
              <w:tc>
                <w:tcPr>
                  <w:tcW w:w="729" w:type="pct"/>
                  <w:tcBorders>
                    <w:top w:val="single" w:color="auto" w:sz="4" w:space="0"/>
                    <w:left w:val="single" w:color="auto" w:sz="4" w:space="0"/>
                    <w:bottom w:val="single" w:color="auto" w:sz="4" w:space="0"/>
                    <w:right w:val="nil"/>
                  </w:tcBorders>
                </w:tcPr>
                <w:p w14:paraId="5EE7CD25">
                  <w:pPr>
                    <w:adjustRightInd w:val="0"/>
                    <w:snapToGrid w:val="0"/>
                    <w:jc w:val="center"/>
                    <w:rPr>
                      <w:bCs/>
                      <w:szCs w:val="21"/>
                    </w:rPr>
                  </w:pPr>
                  <w:r>
                    <w:rPr>
                      <w:bCs/>
                      <w:szCs w:val="21"/>
                    </w:rPr>
                    <w:t>0.982</w:t>
                  </w:r>
                </w:p>
              </w:tc>
            </w:tr>
            <w:tr w14:paraId="06777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65" w:type="pct"/>
                  <w:tcBorders>
                    <w:top w:val="single" w:color="auto" w:sz="4" w:space="0"/>
                    <w:left w:val="nil"/>
                    <w:bottom w:val="single" w:color="auto" w:sz="4" w:space="0"/>
                    <w:right w:val="single" w:color="auto" w:sz="8" w:space="0"/>
                  </w:tcBorders>
                  <w:vAlign w:val="center"/>
                </w:tcPr>
                <w:p w14:paraId="464DF41F">
                  <w:pPr>
                    <w:adjustRightInd w:val="0"/>
                    <w:snapToGrid w:val="0"/>
                    <w:jc w:val="center"/>
                    <w:rPr>
                      <w:bCs/>
                      <w:szCs w:val="21"/>
                    </w:rPr>
                  </w:pPr>
                  <w:r>
                    <w:rPr>
                      <w:bCs/>
                      <w:szCs w:val="21"/>
                    </w:rPr>
                    <w:t>SO</w:t>
                  </w:r>
                  <w:r>
                    <w:rPr>
                      <w:bCs/>
                      <w:szCs w:val="21"/>
                      <w:vertAlign w:val="subscript"/>
                    </w:rPr>
                    <w:t>2</w:t>
                  </w:r>
                </w:p>
              </w:tc>
              <w:tc>
                <w:tcPr>
                  <w:tcW w:w="788" w:type="pct"/>
                  <w:tcBorders>
                    <w:top w:val="single" w:color="auto" w:sz="4" w:space="0"/>
                    <w:left w:val="single" w:color="auto" w:sz="8" w:space="0"/>
                    <w:bottom w:val="single" w:color="auto" w:sz="4" w:space="0"/>
                    <w:right w:val="single" w:color="auto" w:sz="4" w:space="0"/>
                  </w:tcBorders>
                  <w:vAlign w:val="center"/>
                </w:tcPr>
                <w:p w14:paraId="379B13D1">
                  <w:pPr>
                    <w:adjustRightInd w:val="0"/>
                    <w:snapToGrid w:val="0"/>
                    <w:jc w:val="center"/>
                    <w:rPr>
                      <w:bCs/>
                      <w:szCs w:val="21"/>
                    </w:rPr>
                  </w:pPr>
                  <w:r>
                    <w:rPr>
                      <w:rFonts w:hint="eastAsia"/>
                      <w:bCs/>
                      <w:szCs w:val="21"/>
                    </w:rPr>
                    <w:t>283.77</w:t>
                  </w:r>
                </w:p>
              </w:tc>
              <w:tc>
                <w:tcPr>
                  <w:tcW w:w="801" w:type="pct"/>
                  <w:tcBorders>
                    <w:top w:val="single" w:color="auto" w:sz="4" w:space="0"/>
                    <w:left w:val="single" w:color="auto" w:sz="4" w:space="0"/>
                    <w:bottom w:val="single" w:color="auto" w:sz="4" w:space="0"/>
                    <w:right w:val="nil"/>
                  </w:tcBorders>
                  <w:vAlign w:val="center"/>
                </w:tcPr>
                <w:p w14:paraId="53540880">
                  <w:pPr>
                    <w:adjustRightInd w:val="0"/>
                    <w:snapToGrid w:val="0"/>
                    <w:jc w:val="center"/>
                    <w:rPr>
                      <w:bCs/>
                      <w:szCs w:val="21"/>
                    </w:rPr>
                  </w:pPr>
                  <w:r>
                    <w:rPr>
                      <w:bCs/>
                      <w:szCs w:val="21"/>
                    </w:rPr>
                    <w:t>6.94</w:t>
                  </w:r>
                </w:p>
              </w:tc>
              <w:tc>
                <w:tcPr>
                  <w:tcW w:w="731" w:type="pct"/>
                  <w:tcBorders>
                    <w:top w:val="single" w:color="auto" w:sz="4" w:space="0"/>
                    <w:left w:val="single" w:color="auto" w:sz="4" w:space="0"/>
                    <w:bottom w:val="single" w:color="auto" w:sz="4" w:space="0"/>
                    <w:right w:val="nil"/>
                  </w:tcBorders>
                  <w:vAlign w:val="center"/>
                </w:tcPr>
                <w:p w14:paraId="59D6EC97">
                  <w:pPr>
                    <w:adjustRightInd w:val="0"/>
                    <w:snapToGrid w:val="0"/>
                    <w:jc w:val="center"/>
                    <w:rPr>
                      <w:bCs/>
                      <w:szCs w:val="21"/>
                    </w:rPr>
                  </w:pPr>
                  <w:r>
                    <w:rPr>
                      <w:bCs/>
                      <w:szCs w:val="21"/>
                    </w:rPr>
                    <w:t>27.348</w:t>
                  </w:r>
                </w:p>
              </w:tc>
              <w:tc>
                <w:tcPr>
                  <w:tcW w:w="757" w:type="pct"/>
                  <w:tcBorders>
                    <w:top w:val="single" w:color="auto" w:sz="4" w:space="0"/>
                    <w:left w:val="single" w:color="auto" w:sz="4" w:space="0"/>
                    <w:bottom w:val="single" w:color="auto" w:sz="4" w:space="0"/>
                    <w:right w:val="nil"/>
                  </w:tcBorders>
                </w:tcPr>
                <w:p w14:paraId="253F51BF">
                  <w:pPr>
                    <w:adjustRightInd w:val="0"/>
                    <w:snapToGrid w:val="0"/>
                    <w:jc w:val="center"/>
                    <w:rPr>
                      <w:bCs/>
                      <w:szCs w:val="21"/>
                    </w:rPr>
                  </w:pPr>
                  <w:r>
                    <w:rPr>
                      <w:bCs/>
                      <w:szCs w:val="21"/>
                    </w:rPr>
                    <w:t>56.75</w:t>
                  </w:r>
                </w:p>
              </w:tc>
              <w:tc>
                <w:tcPr>
                  <w:tcW w:w="729" w:type="pct"/>
                  <w:tcBorders>
                    <w:top w:val="single" w:color="auto" w:sz="4" w:space="0"/>
                    <w:left w:val="single" w:color="auto" w:sz="4" w:space="0"/>
                    <w:bottom w:val="single" w:color="auto" w:sz="4" w:space="0"/>
                    <w:right w:val="nil"/>
                  </w:tcBorders>
                </w:tcPr>
                <w:p w14:paraId="092FCDA7">
                  <w:pPr>
                    <w:adjustRightInd w:val="0"/>
                    <w:snapToGrid w:val="0"/>
                    <w:jc w:val="center"/>
                    <w:rPr>
                      <w:bCs/>
                      <w:szCs w:val="21"/>
                    </w:rPr>
                  </w:pPr>
                  <w:r>
                    <w:rPr>
                      <w:bCs/>
                      <w:szCs w:val="21"/>
                    </w:rPr>
                    <w:t>1.39</w:t>
                  </w:r>
                </w:p>
              </w:tc>
              <w:tc>
                <w:tcPr>
                  <w:tcW w:w="729" w:type="pct"/>
                  <w:tcBorders>
                    <w:top w:val="single" w:color="auto" w:sz="4" w:space="0"/>
                    <w:left w:val="single" w:color="auto" w:sz="4" w:space="0"/>
                    <w:bottom w:val="single" w:color="auto" w:sz="4" w:space="0"/>
                    <w:right w:val="nil"/>
                  </w:tcBorders>
                </w:tcPr>
                <w:p w14:paraId="09F13B2A">
                  <w:pPr>
                    <w:adjustRightInd w:val="0"/>
                    <w:snapToGrid w:val="0"/>
                    <w:jc w:val="center"/>
                    <w:rPr>
                      <w:bCs/>
                      <w:szCs w:val="21"/>
                    </w:rPr>
                  </w:pPr>
                  <w:r>
                    <w:rPr>
                      <w:bCs/>
                      <w:szCs w:val="21"/>
                    </w:rPr>
                    <w:t>5.470</w:t>
                  </w:r>
                </w:p>
              </w:tc>
            </w:tr>
            <w:tr w14:paraId="0AC40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65" w:type="pct"/>
                  <w:tcBorders>
                    <w:top w:val="single" w:color="auto" w:sz="4" w:space="0"/>
                    <w:left w:val="nil"/>
                    <w:bottom w:val="single" w:color="auto" w:sz="4" w:space="0"/>
                    <w:right w:val="single" w:color="auto" w:sz="8" w:space="0"/>
                  </w:tcBorders>
                  <w:vAlign w:val="center"/>
                </w:tcPr>
                <w:p w14:paraId="3001483A">
                  <w:pPr>
                    <w:adjustRightInd w:val="0"/>
                    <w:snapToGrid w:val="0"/>
                    <w:jc w:val="center"/>
                    <w:rPr>
                      <w:bCs/>
                      <w:szCs w:val="21"/>
                    </w:rPr>
                  </w:pPr>
                  <w:r>
                    <w:rPr>
                      <w:bCs/>
                      <w:szCs w:val="21"/>
                    </w:rPr>
                    <w:t>NO</w:t>
                  </w:r>
                  <w:r>
                    <w:rPr>
                      <w:bCs/>
                      <w:szCs w:val="21"/>
                      <w:vertAlign w:val="subscript"/>
                    </w:rPr>
                    <w:t>X</w:t>
                  </w:r>
                </w:p>
              </w:tc>
              <w:tc>
                <w:tcPr>
                  <w:tcW w:w="788" w:type="pct"/>
                  <w:tcBorders>
                    <w:top w:val="single" w:color="auto" w:sz="4" w:space="0"/>
                    <w:left w:val="single" w:color="auto" w:sz="8" w:space="0"/>
                    <w:bottom w:val="single" w:color="auto" w:sz="4" w:space="0"/>
                    <w:right w:val="single" w:color="auto" w:sz="4" w:space="0"/>
                  </w:tcBorders>
                  <w:vAlign w:val="center"/>
                </w:tcPr>
                <w:p w14:paraId="3C3CA905">
                  <w:pPr>
                    <w:adjustRightInd w:val="0"/>
                    <w:snapToGrid w:val="0"/>
                    <w:jc w:val="center"/>
                    <w:rPr>
                      <w:bCs/>
                      <w:szCs w:val="21"/>
                    </w:rPr>
                  </w:pPr>
                  <w:r>
                    <w:rPr>
                      <w:rFonts w:hint="eastAsia"/>
                      <w:bCs/>
                      <w:szCs w:val="21"/>
                    </w:rPr>
                    <w:t>350</w:t>
                  </w:r>
                </w:p>
              </w:tc>
              <w:tc>
                <w:tcPr>
                  <w:tcW w:w="801" w:type="pct"/>
                  <w:tcBorders>
                    <w:top w:val="single" w:color="auto" w:sz="4" w:space="0"/>
                    <w:left w:val="single" w:color="auto" w:sz="4" w:space="0"/>
                    <w:bottom w:val="single" w:color="auto" w:sz="4" w:space="0"/>
                    <w:right w:val="nil"/>
                  </w:tcBorders>
                  <w:vAlign w:val="center"/>
                </w:tcPr>
                <w:p w14:paraId="7E2CF762">
                  <w:pPr>
                    <w:adjustRightInd w:val="0"/>
                    <w:snapToGrid w:val="0"/>
                    <w:jc w:val="center"/>
                    <w:rPr>
                      <w:bCs/>
                      <w:szCs w:val="21"/>
                    </w:rPr>
                  </w:pPr>
                  <w:r>
                    <w:rPr>
                      <w:bCs/>
                      <w:szCs w:val="21"/>
                    </w:rPr>
                    <w:t>8.56</w:t>
                  </w:r>
                </w:p>
              </w:tc>
              <w:tc>
                <w:tcPr>
                  <w:tcW w:w="731" w:type="pct"/>
                  <w:tcBorders>
                    <w:top w:val="single" w:color="auto" w:sz="4" w:space="0"/>
                    <w:left w:val="single" w:color="auto" w:sz="4" w:space="0"/>
                    <w:bottom w:val="single" w:color="auto" w:sz="4" w:space="0"/>
                    <w:right w:val="nil"/>
                  </w:tcBorders>
                  <w:vAlign w:val="center"/>
                </w:tcPr>
                <w:p w14:paraId="1E1B7140">
                  <w:pPr>
                    <w:adjustRightInd w:val="0"/>
                    <w:snapToGrid w:val="0"/>
                    <w:jc w:val="center"/>
                    <w:rPr>
                      <w:bCs/>
                      <w:szCs w:val="21"/>
                    </w:rPr>
                  </w:pPr>
                  <w:r>
                    <w:rPr>
                      <w:bCs/>
                      <w:szCs w:val="21"/>
                    </w:rPr>
                    <w:t>33.730</w:t>
                  </w:r>
                </w:p>
              </w:tc>
              <w:tc>
                <w:tcPr>
                  <w:tcW w:w="757" w:type="pct"/>
                  <w:tcBorders>
                    <w:top w:val="single" w:color="auto" w:sz="4" w:space="0"/>
                    <w:left w:val="single" w:color="auto" w:sz="4" w:space="0"/>
                    <w:bottom w:val="single" w:color="auto" w:sz="4" w:space="0"/>
                    <w:right w:val="nil"/>
                  </w:tcBorders>
                </w:tcPr>
                <w:p w14:paraId="1DD46777">
                  <w:pPr>
                    <w:adjustRightInd w:val="0"/>
                    <w:snapToGrid w:val="0"/>
                    <w:jc w:val="center"/>
                    <w:rPr>
                      <w:bCs/>
                      <w:szCs w:val="21"/>
                    </w:rPr>
                  </w:pPr>
                  <w:r>
                    <w:rPr>
                      <w:rFonts w:hint="eastAsia"/>
                      <w:bCs/>
                      <w:szCs w:val="21"/>
                    </w:rPr>
                    <w:t>157.5</w:t>
                  </w:r>
                </w:p>
              </w:tc>
              <w:tc>
                <w:tcPr>
                  <w:tcW w:w="729" w:type="pct"/>
                  <w:tcBorders>
                    <w:top w:val="single" w:color="auto" w:sz="4" w:space="0"/>
                    <w:left w:val="single" w:color="auto" w:sz="4" w:space="0"/>
                    <w:bottom w:val="single" w:color="auto" w:sz="4" w:space="0"/>
                    <w:right w:val="nil"/>
                  </w:tcBorders>
                </w:tcPr>
                <w:p w14:paraId="7891F115">
                  <w:pPr>
                    <w:adjustRightInd w:val="0"/>
                    <w:snapToGrid w:val="0"/>
                    <w:jc w:val="center"/>
                    <w:rPr>
                      <w:bCs/>
                      <w:szCs w:val="21"/>
                    </w:rPr>
                  </w:pPr>
                  <w:r>
                    <w:rPr>
                      <w:rFonts w:hint="eastAsia"/>
                      <w:bCs/>
                      <w:szCs w:val="21"/>
                    </w:rPr>
                    <w:t>3.85</w:t>
                  </w:r>
                </w:p>
              </w:tc>
              <w:tc>
                <w:tcPr>
                  <w:tcW w:w="729" w:type="pct"/>
                  <w:tcBorders>
                    <w:top w:val="single" w:color="auto" w:sz="4" w:space="0"/>
                    <w:left w:val="single" w:color="auto" w:sz="4" w:space="0"/>
                    <w:bottom w:val="single" w:color="auto" w:sz="4" w:space="0"/>
                    <w:right w:val="nil"/>
                  </w:tcBorders>
                </w:tcPr>
                <w:p w14:paraId="11DA9CF5">
                  <w:pPr>
                    <w:adjustRightInd w:val="0"/>
                    <w:snapToGrid w:val="0"/>
                    <w:jc w:val="center"/>
                    <w:rPr>
                      <w:bCs/>
                      <w:szCs w:val="21"/>
                    </w:rPr>
                  </w:pPr>
                  <w:r>
                    <w:rPr>
                      <w:rFonts w:hint="eastAsia"/>
                      <w:bCs/>
                      <w:szCs w:val="21"/>
                    </w:rPr>
                    <w:t>15.178</w:t>
                  </w:r>
                </w:p>
              </w:tc>
            </w:tr>
            <w:tr w14:paraId="2DA4C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65" w:type="pct"/>
                  <w:tcBorders>
                    <w:top w:val="single" w:color="auto" w:sz="4" w:space="0"/>
                    <w:left w:val="nil"/>
                    <w:bottom w:val="single" w:color="auto" w:sz="4" w:space="0"/>
                    <w:right w:val="single" w:color="auto" w:sz="8" w:space="0"/>
                  </w:tcBorders>
                  <w:vAlign w:val="center"/>
                </w:tcPr>
                <w:p w14:paraId="1E2F4EE9">
                  <w:pPr>
                    <w:adjustRightInd w:val="0"/>
                    <w:snapToGrid w:val="0"/>
                    <w:jc w:val="center"/>
                    <w:rPr>
                      <w:bCs/>
                      <w:szCs w:val="21"/>
                    </w:rPr>
                  </w:pPr>
                  <w:r>
                    <w:rPr>
                      <w:rFonts w:hint="eastAsia"/>
                      <w:bCs/>
                      <w:szCs w:val="21"/>
                    </w:rPr>
                    <w:t>汞及其化合物</w:t>
                  </w:r>
                </w:p>
              </w:tc>
              <w:tc>
                <w:tcPr>
                  <w:tcW w:w="788" w:type="pct"/>
                  <w:tcBorders>
                    <w:top w:val="single" w:color="auto" w:sz="4" w:space="0"/>
                    <w:left w:val="single" w:color="auto" w:sz="8" w:space="0"/>
                    <w:bottom w:val="single" w:color="auto" w:sz="4" w:space="0"/>
                    <w:right w:val="single" w:color="auto" w:sz="4" w:space="0"/>
                  </w:tcBorders>
                  <w:vAlign w:val="center"/>
                </w:tcPr>
                <w:p w14:paraId="17F31072">
                  <w:pPr>
                    <w:adjustRightInd w:val="0"/>
                    <w:snapToGrid w:val="0"/>
                    <w:jc w:val="center"/>
                    <w:rPr>
                      <w:bCs/>
                      <w:szCs w:val="21"/>
                    </w:rPr>
                  </w:pPr>
                  <w:r>
                    <w:rPr>
                      <w:rFonts w:hint="eastAsia"/>
                      <w:bCs/>
                      <w:szCs w:val="21"/>
                    </w:rPr>
                    <w:t>0.02</w:t>
                  </w:r>
                </w:p>
              </w:tc>
              <w:tc>
                <w:tcPr>
                  <w:tcW w:w="801" w:type="pct"/>
                  <w:tcBorders>
                    <w:top w:val="single" w:color="auto" w:sz="4" w:space="0"/>
                    <w:left w:val="single" w:color="auto" w:sz="4" w:space="0"/>
                    <w:bottom w:val="single" w:color="auto" w:sz="4" w:space="0"/>
                    <w:right w:val="nil"/>
                  </w:tcBorders>
                  <w:vAlign w:val="center"/>
                </w:tcPr>
                <w:p w14:paraId="62CAAA0C">
                  <w:pPr>
                    <w:adjustRightInd w:val="0"/>
                    <w:snapToGrid w:val="0"/>
                    <w:jc w:val="center"/>
                    <w:rPr>
                      <w:bCs/>
                      <w:szCs w:val="21"/>
                    </w:rPr>
                  </w:pPr>
                  <w:r>
                    <w:rPr>
                      <w:bCs/>
                      <w:szCs w:val="21"/>
                    </w:rPr>
                    <w:t>0.001</w:t>
                  </w:r>
                </w:p>
              </w:tc>
              <w:tc>
                <w:tcPr>
                  <w:tcW w:w="731" w:type="pct"/>
                  <w:tcBorders>
                    <w:top w:val="single" w:color="auto" w:sz="4" w:space="0"/>
                    <w:left w:val="single" w:color="auto" w:sz="4" w:space="0"/>
                    <w:bottom w:val="single" w:color="auto" w:sz="4" w:space="0"/>
                    <w:right w:val="nil"/>
                  </w:tcBorders>
                  <w:vAlign w:val="center"/>
                </w:tcPr>
                <w:p w14:paraId="13EA76E3">
                  <w:pPr>
                    <w:adjustRightInd w:val="0"/>
                    <w:snapToGrid w:val="0"/>
                    <w:jc w:val="center"/>
                    <w:rPr>
                      <w:bCs/>
                      <w:szCs w:val="21"/>
                    </w:rPr>
                  </w:pPr>
                  <w:r>
                    <w:rPr>
                      <w:bCs/>
                      <w:szCs w:val="21"/>
                    </w:rPr>
                    <w:t>0.002</w:t>
                  </w:r>
                </w:p>
              </w:tc>
              <w:tc>
                <w:tcPr>
                  <w:tcW w:w="757" w:type="pct"/>
                  <w:tcBorders>
                    <w:top w:val="single" w:color="auto" w:sz="4" w:space="0"/>
                    <w:left w:val="single" w:color="auto" w:sz="4" w:space="0"/>
                    <w:bottom w:val="single" w:color="auto" w:sz="4" w:space="0"/>
                    <w:right w:val="nil"/>
                  </w:tcBorders>
                  <w:vAlign w:val="center"/>
                </w:tcPr>
                <w:p w14:paraId="24DFA4DA">
                  <w:pPr>
                    <w:adjustRightInd w:val="0"/>
                    <w:snapToGrid w:val="0"/>
                    <w:jc w:val="center"/>
                    <w:rPr>
                      <w:bCs/>
                      <w:szCs w:val="21"/>
                    </w:rPr>
                  </w:pPr>
                  <w:r>
                    <w:rPr>
                      <w:bCs/>
                      <w:szCs w:val="21"/>
                    </w:rPr>
                    <w:t>0.006</w:t>
                  </w:r>
                </w:p>
              </w:tc>
              <w:tc>
                <w:tcPr>
                  <w:tcW w:w="729" w:type="pct"/>
                  <w:tcBorders>
                    <w:top w:val="single" w:color="auto" w:sz="4" w:space="0"/>
                    <w:left w:val="single" w:color="auto" w:sz="4" w:space="0"/>
                    <w:bottom w:val="single" w:color="auto" w:sz="4" w:space="0"/>
                    <w:right w:val="nil"/>
                  </w:tcBorders>
                  <w:vAlign w:val="center"/>
                </w:tcPr>
                <w:p w14:paraId="32C4167D">
                  <w:pPr>
                    <w:adjustRightInd w:val="0"/>
                    <w:snapToGrid w:val="0"/>
                    <w:jc w:val="center"/>
                    <w:rPr>
                      <w:bCs/>
                      <w:szCs w:val="21"/>
                    </w:rPr>
                  </w:pPr>
                  <w:r>
                    <w:rPr>
                      <w:bCs/>
                      <w:szCs w:val="21"/>
                    </w:rPr>
                    <w:t>0.0002</w:t>
                  </w:r>
                </w:p>
              </w:tc>
              <w:tc>
                <w:tcPr>
                  <w:tcW w:w="729" w:type="pct"/>
                  <w:tcBorders>
                    <w:top w:val="single" w:color="auto" w:sz="4" w:space="0"/>
                    <w:left w:val="single" w:color="auto" w:sz="4" w:space="0"/>
                    <w:bottom w:val="single" w:color="auto" w:sz="4" w:space="0"/>
                    <w:right w:val="nil"/>
                  </w:tcBorders>
                  <w:vAlign w:val="center"/>
                </w:tcPr>
                <w:p w14:paraId="279F8457">
                  <w:pPr>
                    <w:adjustRightInd w:val="0"/>
                    <w:snapToGrid w:val="0"/>
                    <w:jc w:val="center"/>
                    <w:rPr>
                      <w:bCs/>
                      <w:szCs w:val="21"/>
                    </w:rPr>
                  </w:pPr>
                  <w:r>
                    <w:rPr>
                      <w:rFonts w:hint="eastAsia"/>
                      <w:bCs/>
                      <w:szCs w:val="21"/>
                    </w:rPr>
                    <w:t>0.00</w:t>
                  </w:r>
                  <w:r>
                    <w:rPr>
                      <w:bCs/>
                      <w:szCs w:val="21"/>
                    </w:rPr>
                    <w:t>1</w:t>
                  </w:r>
                </w:p>
              </w:tc>
            </w:tr>
            <w:tr w14:paraId="6A5B4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0" w:hRule="atLeast"/>
                <w:jc w:val="center"/>
              </w:trPr>
              <w:tc>
                <w:tcPr>
                  <w:tcW w:w="465" w:type="pct"/>
                  <w:tcBorders>
                    <w:top w:val="single" w:color="auto" w:sz="4" w:space="0"/>
                    <w:left w:val="nil"/>
                    <w:bottom w:val="single" w:color="auto" w:sz="12" w:space="0"/>
                    <w:right w:val="single" w:color="auto" w:sz="8" w:space="0"/>
                  </w:tcBorders>
                  <w:vAlign w:val="center"/>
                </w:tcPr>
                <w:p w14:paraId="25D919E2">
                  <w:pPr>
                    <w:adjustRightInd w:val="0"/>
                    <w:snapToGrid w:val="0"/>
                    <w:jc w:val="center"/>
                    <w:rPr>
                      <w:bCs/>
                      <w:szCs w:val="21"/>
                    </w:rPr>
                  </w:pPr>
                  <w:r>
                    <w:rPr>
                      <w:bCs/>
                      <w:szCs w:val="21"/>
                    </w:rPr>
                    <w:t>氨逃逸</w:t>
                  </w:r>
                </w:p>
              </w:tc>
              <w:tc>
                <w:tcPr>
                  <w:tcW w:w="788" w:type="pct"/>
                  <w:tcBorders>
                    <w:top w:val="single" w:color="auto" w:sz="4" w:space="0"/>
                    <w:left w:val="single" w:color="auto" w:sz="8" w:space="0"/>
                    <w:bottom w:val="single" w:color="auto" w:sz="12" w:space="0"/>
                    <w:right w:val="single" w:color="auto" w:sz="4" w:space="0"/>
                  </w:tcBorders>
                  <w:vAlign w:val="center"/>
                </w:tcPr>
                <w:p w14:paraId="14C2C381">
                  <w:pPr>
                    <w:adjustRightInd w:val="0"/>
                    <w:snapToGrid w:val="0"/>
                    <w:jc w:val="center"/>
                    <w:rPr>
                      <w:bCs/>
                      <w:szCs w:val="21"/>
                    </w:rPr>
                  </w:pPr>
                  <w:r>
                    <w:rPr>
                      <w:rFonts w:hint="eastAsia"/>
                      <w:bCs/>
                      <w:szCs w:val="21"/>
                    </w:rPr>
                    <w:t>2.5</w:t>
                  </w:r>
                </w:p>
              </w:tc>
              <w:tc>
                <w:tcPr>
                  <w:tcW w:w="801" w:type="pct"/>
                  <w:tcBorders>
                    <w:top w:val="single" w:color="auto" w:sz="4" w:space="0"/>
                    <w:left w:val="single" w:color="auto" w:sz="4" w:space="0"/>
                    <w:bottom w:val="single" w:color="auto" w:sz="12" w:space="0"/>
                    <w:right w:val="nil"/>
                  </w:tcBorders>
                  <w:vAlign w:val="center"/>
                </w:tcPr>
                <w:p w14:paraId="0ED2DB85">
                  <w:pPr>
                    <w:adjustRightInd w:val="0"/>
                    <w:snapToGrid w:val="0"/>
                    <w:jc w:val="center"/>
                    <w:rPr>
                      <w:bCs/>
                      <w:szCs w:val="21"/>
                    </w:rPr>
                  </w:pPr>
                  <w:r>
                    <w:rPr>
                      <w:bCs/>
                      <w:szCs w:val="21"/>
                    </w:rPr>
                    <w:t>0.06</w:t>
                  </w:r>
                </w:p>
              </w:tc>
              <w:tc>
                <w:tcPr>
                  <w:tcW w:w="731" w:type="pct"/>
                  <w:tcBorders>
                    <w:top w:val="single" w:color="auto" w:sz="4" w:space="0"/>
                    <w:left w:val="single" w:color="auto" w:sz="4" w:space="0"/>
                    <w:bottom w:val="single" w:color="auto" w:sz="12" w:space="0"/>
                    <w:right w:val="nil"/>
                  </w:tcBorders>
                  <w:vAlign w:val="center"/>
                </w:tcPr>
                <w:p w14:paraId="4A3C44DF">
                  <w:pPr>
                    <w:adjustRightInd w:val="0"/>
                    <w:snapToGrid w:val="0"/>
                    <w:jc w:val="center"/>
                    <w:rPr>
                      <w:bCs/>
                      <w:szCs w:val="21"/>
                    </w:rPr>
                  </w:pPr>
                  <w:r>
                    <w:rPr>
                      <w:bCs/>
                      <w:szCs w:val="21"/>
                    </w:rPr>
                    <w:t>0.241</w:t>
                  </w:r>
                </w:p>
              </w:tc>
              <w:tc>
                <w:tcPr>
                  <w:tcW w:w="757" w:type="pct"/>
                  <w:tcBorders>
                    <w:top w:val="single" w:color="auto" w:sz="4" w:space="0"/>
                    <w:left w:val="single" w:color="auto" w:sz="4" w:space="0"/>
                    <w:bottom w:val="single" w:color="auto" w:sz="12" w:space="0"/>
                    <w:right w:val="nil"/>
                  </w:tcBorders>
                  <w:vAlign w:val="center"/>
                </w:tcPr>
                <w:p w14:paraId="052B0AC3">
                  <w:pPr>
                    <w:adjustRightInd w:val="0"/>
                    <w:snapToGrid w:val="0"/>
                    <w:jc w:val="center"/>
                    <w:rPr>
                      <w:bCs/>
                      <w:szCs w:val="21"/>
                    </w:rPr>
                  </w:pPr>
                  <w:r>
                    <w:rPr>
                      <w:rFonts w:hint="eastAsia"/>
                      <w:bCs/>
                      <w:szCs w:val="21"/>
                    </w:rPr>
                    <w:t>2.5</w:t>
                  </w:r>
                </w:p>
              </w:tc>
              <w:tc>
                <w:tcPr>
                  <w:tcW w:w="729" w:type="pct"/>
                  <w:tcBorders>
                    <w:top w:val="single" w:color="auto" w:sz="4" w:space="0"/>
                    <w:left w:val="single" w:color="auto" w:sz="4" w:space="0"/>
                    <w:bottom w:val="single" w:color="auto" w:sz="12" w:space="0"/>
                    <w:right w:val="nil"/>
                  </w:tcBorders>
                  <w:vAlign w:val="center"/>
                </w:tcPr>
                <w:p w14:paraId="5F4895F5">
                  <w:pPr>
                    <w:adjustRightInd w:val="0"/>
                    <w:snapToGrid w:val="0"/>
                    <w:jc w:val="center"/>
                    <w:rPr>
                      <w:bCs/>
                      <w:szCs w:val="21"/>
                    </w:rPr>
                  </w:pPr>
                  <w:r>
                    <w:rPr>
                      <w:bCs/>
                      <w:szCs w:val="21"/>
                    </w:rPr>
                    <w:t>0.06</w:t>
                  </w:r>
                </w:p>
              </w:tc>
              <w:tc>
                <w:tcPr>
                  <w:tcW w:w="729" w:type="pct"/>
                  <w:tcBorders>
                    <w:top w:val="single" w:color="auto" w:sz="4" w:space="0"/>
                    <w:left w:val="single" w:color="auto" w:sz="4" w:space="0"/>
                    <w:bottom w:val="single" w:color="auto" w:sz="12" w:space="0"/>
                    <w:right w:val="nil"/>
                  </w:tcBorders>
                  <w:vAlign w:val="center"/>
                </w:tcPr>
                <w:p w14:paraId="7EADBDE7">
                  <w:pPr>
                    <w:adjustRightInd w:val="0"/>
                    <w:snapToGrid w:val="0"/>
                    <w:jc w:val="center"/>
                    <w:rPr>
                      <w:bCs/>
                      <w:szCs w:val="21"/>
                    </w:rPr>
                  </w:pPr>
                  <w:r>
                    <w:rPr>
                      <w:bCs/>
                      <w:szCs w:val="21"/>
                    </w:rPr>
                    <w:t>0.241</w:t>
                  </w:r>
                </w:p>
              </w:tc>
            </w:tr>
          </w:tbl>
          <w:p w14:paraId="566DE60B">
            <w:pPr>
              <w:adjustRightInd w:val="0"/>
              <w:snapToGrid w:val="0"/>
              <w:spacing w:line="360" w:lineRule="auto"/>
              <w:ind w:firstLine="480" w:firstLineChars="200"/>
              <w:rPr>
                <w:bCs/>
                <w:sz w:val="24"/>
              </w:rPr>
            </w:pPr>
          </w:p>
          <w:p w14:paraId="01F93127">
            <w:pPr>
              <w:adjustRightInd w:val="0"/>
              <w:snapToGrid w:val="0"/>
              <w:spacing w:line="360" w:lineRule="auto"/>
              <w:ind w:firstLine="482" w:firstLineChars="200"/>
              <w:rPr>
                <w:b/>
                <w:bCs/>
                <w:sz w:val="24"/>
              </w:rPr>
            </w:pPr>
            <w:r>
              <w:rPr>
                <w:rFonts w:hint="eastAsia"/>
                <w:b/>
                <w:bCs/>
                <w:sz w:val="24"/>
              </w:rPr>
              <w:t>2</w:t>
            </w:r>
            <w:r>
              <w:rPr>
                <w:b/>
                <w:bCs/>
                <w:sz w:val="24"/>
              </w:rPr>
              <w:t>）</w:t>
            </w:r>
            <w:r>
              <w:rPr>
                <w:rFonts w:hint="eastAsia"/>
                <w:b/>
                <w:bCs/>
                <w:sz w:val="24"/>
              </w:rPr>
              <w:t>煤仓及渣仓无组织废气</w:t>
            </w:r>
          </w:p>
          <w:p w14:paraId="04F8190D">
            <w:pPr>
              <w:adjustRightInd w:val="0"/>
              <w:snapToGrid w:val="0"/>
              <w:spacing w:line="360" w:lineRule="auto"/>
              <w:ind w:firstLine="480" w:firstLineChars="200"/>
              <w:rPr>
                <w:bCs/>
                <w:sz w:val="24"/>
              </w:rPr>
            </w:pPr>
            <w:r>
              <w:rPr>
                <w:rFonts w:hint="eastAsia"/>
                <w:bCs/>
                <w:sz w:val="24"/>
              </w:rPr>
              <w:t>项目无组织粉尘主要为</w:t>
            </w:r>
            <w:r>
              <w:rPr>
                <w:bCs/>
                <w:sz w:val="24"/>
              </w:rPr>
              <w:t>煤</w:t>
            </w:r>
            <w:r>
              <w:rPr>
                <w:rFonts w:hint="eastAsia"/>
                <w:bCs/>
                <w:sz w:val="24"/>
              </w:rPr>
              <w:t>仓</w:t>
            </w:r>
            <w:r>
              <w:rPr>
                <w:bCs/>
                <w:sz w:val="24"/>
              </w:rPr>
              <w:t>粉尘</w:t>
            </w:r>
            <w:r>
              <w:rPr>
                <w:rFonts w:hint="eastAsia"/>
                <w:bCs/>
                <w:sz w:val="24"/>
              </w:rPr>
              <w:t>及</w:t>
            </w:r>
            <w:r>
              <w:rPr>
                <w:bCs/>
                <w:sz w:val="24"/>
              </w:rPr>
              <w:t>渣</w:t>
            </w:r>
            <w:r>
              <w:rPr>
                <w:rFonts w:hint="eastAsia"/>
                <w:bCs/>
                <w:sz w:val="24"/>
              </w:rPr>
              <w:t>仓</w:t>
            </w:r>
            <w:r>
              <w:rPr>
                <w:bCs/>
                <w:sz w:val="24"/>
              </w:rPr>
              <w:t>粉尘</w:t>
            </w:r>
            <w:r>
              <w:rPr>
                <w:rFonts w:hint="eastAsia"/>
                <w:bCs/>
                <w:sz w:val="24"/>
              </w:rPr>
              <w:t>，项目煤仓、渣仓均为全封闭设计，</w:t>
            </w:r>
            <w:r>
              <w:rPr>
                <w:bCs/>
                <w:sz w:val="24"/>
              </w:rPr>
              <w:t>煤炭暂存</w:t>
            </w:r>
            <w:r>
              <w:rPr>
                <w:rFonts w:hint="eastAsia"/>
                <w:bCs/>
                <w:sz w:val="24"/>
              </w:rPr>
              <w:t>于</w:t>
            </w:r>
            <w:r>
              <w:rPr>
                <w:bCs/>
                <w:sz w:val="24"/>
              </w:rPr>
              <w:t>煤</w:t>
            </w:r>
            <w:r>
              <w:rPr>
                <w:rFonts w:hint="eastAsia"/>
                <w:bCs/>
                <w:sz w:val="24"/>
              </w:rPr>
              <w:t>仓</w:t>
            </w:r>
            <w:r>
              <w:rPr>
                <w:bCs/>
                <w:sz w:val="24"/>
              </w:rPr>
              <w:t>中，锅炉灰渣收集后暂存在</w:t>
            </w:r>
            <w:r>
              <w:rPr>
                <w:rFonts w:hint="eastAsia"/>
                <w:bCs/>
                <w:sz w:val="24"/>
              </w:rPr>
              <w:t>渣仓中。</w:t>
            </w:r>
          </w:p>
          <w:p w14:paraId="3CE5B1C2">
            <w:pPr>
              <w:adjustRightInd w:val="0"/>
              <w:snapToGrid w:val="0"/>
              <w:spacing w:line="360" w:lineRule="auto"/>
              <w:ind w:firstLine="480" w:firstLineChars="200"/>
              <w:rPr>
                <w:bCs/>
                <w:sz w:val="24"/>
              </w:rPr>
            </w:pPr>
            <w:r>
              <w:rPr>
                <w:rFonts w:hint="eastAsia"/>
                <w:bCs/>
                <w:sz w:val="24"/>
              </w:rPr>
              <w:t>无组织粉尘根据《扬尘源颗粒物排放清单编制技术指南》堆场扬尘源排放量计算方法计算。</w:t>
            </w:r>
          </w:p>
          <w:p w14:paraId="52E1357E">
            <w:pPr>
              <w:adjustRightInd w:val="0"/>
              <w:snapToGrid w:val="0"/>
              <w:spacing w:line="360" w:lineRule="auto"/>
              <w:ind w:firstLine="480" w:firstLineChars="200"/>
              <w:rPr>
                <w:bCs/>
                <w:sz w:val="24"/>
              </w:rPr>
            </w:pPr>
            <w:r>
              <w:rPr>
                <w:rFonts w:hint="eastAsia"/>
                <w:bCs/>
                <w:sz w:val="24"/>
              </w:rPr>
              <w:t>装卸、运输物料过程扬尘排放系数的估算：</w:t>
            </w:r>
          </w:p>
          <w:p w14:paraId="24CE10B2">
            <w:pPr>
              <w:adjustRightInd w:val="0"/>
              <w:snapToGrid w:val="0"/>
              <w:spacing w:line="360" w:lineRule="auto"/>
              <w:jc w:val="center"/>
              <w:rPr>
                <w:bCs/>
                <w:sz w:val="24"/>
              </w:rPr>
            </w:pPr>
            <w:r>
              <w:rPr>
                <w:bCs/>
                <w:sz w:val="24"/>
              </w:rPr>
              <w:drawing>
                <wp:inline distT="0" distB="0" distL="0" distR="0">
                  <wp:extent cx="2247900" cy="714375"/>
                  <wp:effectExtent l="0" t="0" r="0" b="9525"/>
                  <wp:docPr id="1032" name="图片 7"/>
                  <wp:cNvGraphicFramePr/>
                  <a:graphic xmlns:a="http://schemas.openxmlformats.org/drawingml/2006/main">
                    <a:graphicData uri="http://schemas.openxmlformats.org/drawingml/2006/picture">
                      <pic:pic xmlns:pic="http://schemas.openxmlformats.org/drawingml/2006/picture">
                        <pic:nvPicPr>
                          <pic:cNvPr id="1032" name="图片 7"/>
                          <pic:cNvPicPr/>
                        </pic:nvPicPr>
                        <pic:blipFill>
                          <a:blip r:embed="rId30" cstate="print"/>
                          <a:srcRect/>
                          <a:stretch>
                            <a:fillRect/>
                          </a:stretch>
                        </pic:blipFill>
                        <pic:spPr>
                          <a:xfrm>
                            <a:off x="0" y="0"/>
                            <a:ext cx="2247900" cy="714375"/>
                          </a:xfrm>
                          <a:prstGeom prst="rect">
                            <a:avLst/>
                          </a:prstGeom>
                          <a:ln>
                            <a:noFill/>
                          </a:ln>
                        </pic:spPr>
                      </pic:pic>
                    </a:graphicData>
                  </a:graphic>
                </wp:inline>
              </w:drawing>
            </w:r>
          </w:p>
          <w:p w14:paraId="1063420D">
            <w:pPr>
              <w:adjustRightInd w:val="0"/>
              <w:snapToGrid w:val="0"/>
              <w:spacing w:line="360" w:lineRule="auto"/>
              <w:ind w:firstLine="480" w:firstLineChars="200"/>
              <w:rPr>
                <w:bCs/>
                <w:sz w:val="24"/>
              </w:rPr>
            </w:pPr>
            <w:r>
              <w:rPr>
                <w:rFonts w:hint="eastAsia"/>
                <w:bCs/>
                <w:sz w:val="24"/>
              </w:rPr>
              <w:t>式中：E</w:t>
            </w:r>
            <w:r>
              <w:rPr>
                <w:rFonts w:hint="eastAsia"/>
                <w:bCs/>
                <w:sz w:val="24"/>
                <w:vertAlign w:val="subscript"/>
              </w:rPr>
              <w:t>h</w:t>
            </w:r>
            <w:r>
              <w:rPr>
                <w:rFonts w:hint="eastAsia"/>
                <w:bCs/>
                <w:sz w:val="24"/>
              </w:rPr>
              <w:t>为堆场装卸扬尘的排放系数，kg/t；</w:t>
            </w:r>
          </w:p>
          <w:p w14:paraId="4AE9A7D7">
            <w:pPr>
              <w:adjustRightInd w:val="0"/>
              <w:snapToGrid w:val="0"/>
              <w:spacing w:line="360" w:lineRule="auto"/>
              <w:ind w:firstLine="480" w:firstLineChars="200"/>
              <w:rPr>
                <w:bCs/>
                <w:sz w:val="24"/>
              </w:rPr>
            </w:pPr>
            <w:r>
              <w:rPr>
                <w:rFonts w:hint="eastAsia"/>
                <w:bCs/>
                <w:sz w:val="24"/>
              </w:rPr>
              <w:t>k</w:t>
            </w:r>
            <w:r>
              <w:rPr>
                <w:rFonts w:hint="eastAsia"/>
                <w:bCs/>
                <w:sz w:val="24"/>
                <w:vertAlign w:val="subscript"/>
              </w:rPr>
              <w:t>i</w:t>
            </w:r>
            <w:r>
              <w:rPr>
                <w:rFonts w:hint="eastAsia"/>
                <w:bCs/>
                <w:sz w:val="24"/>
              </w:rPr>
              <w:t>为物料的粒度乘数，TSP的粒度乘数为0.74；</w:t>
            </w:r>
          </w:p>
          <w:p w14:paraId="00D8C903">
            <w:pPr>
              <w:adjustRightInd w:val="0"/>
              <w:snapToGrid w:val="0"/>
              <w:spacing w:line="360" w:lineRule="auto"/>
              <w:ind w:firstLine="480" w:firstLineChars="200"/>
              <w:rPr>
                <w:bCs/>
                <w:sz w:val="24"/>
              </w:rPr>
            </w:pPr>
            <w:r>
              <w:rPr>
                <w:rFonts w:hint="eastAsia"/>
                <w:bCs/>
                <w:sz w:val="24"/>
              </w:rPr>
              <w:t>u为地面平均风速，2m/s；</w:t>
            </w:r>
          </w:p>
          <w:p w14:paraId="17A42CC4">
            <w:pPr>
              <w:adjustRightInd w:val="0"/>
              <w:snapToGrid w:val="0"/>
              <w:spacing w:line="360" w:lineRule="auto"/>
              <w:ind w:firstLine="480" w:firstLineChars="200"/>
              <w:rPr>
                <w:bCs/>
                <w:sz w:val="24"/>
              </w:rPr>
            </w:pPr>
            <w:r>
              <w:rPr>
                <w:rFonts w:hint="eastAsia"/>
                <w:bCs/>
                <w:sz w:val="24"/>
              </w:rPr>
              <w:t>M为物料含水率，煤炭含水率5.6%，灰渣、除尘灰综合含水率1%；</w:t>
            </w:r>
          </w:p>
          <w:p w14:paraId="10562948">
            <w:pPr>
              <w:adjustRightInd w:val="0"/>
              <w:snapToGrid w:val="0"/>
              <w:spacing w:line="360" w:lineRule="auto"/>
              <w:ind w:firstLine="480" w:firstLineChars="200"/>
              <w:rPr>
                <w:bCs/>
                <w:sz w:val="24"/>
              </w:rPr>
            </w:pPr>
            <w:r>
              <w:rPr>
                <w:rFonts w:hint="eastAsia"/>
                <w:bCs/>
                <w:sz w:val="24"/>
              </w:rPr>
              <w:t>η为污染控制技术对扬尘的去除效率，全封闭取90%。</w:t>
            </w:r>
          </w:p>
          <w:p w14:paraId="547A7879">
            <w:pPr>
              <w:adjustRightInd w:val="0"/>
              <w:snapToGrid w:val="0"/>
              <w:spacing w:line="360" w:lineRule="auto"/>
              <w:ind w:firstLine="480" w:firstLineChars="200"/>
              <w:rPr>
                <w:bCs/>
                <w:sz w:val="24"/>
              </w:rPr>
            </w:pPr>
            <w:r>
              <w:rPr>
                <w:rFonts w:hint="eastAsia"/>
                <w:bCs/>
                <w:sz w:val="24"/>
              </w:rPr>
              <w:t>经计算煤炭的装卸、运输扬尘的排放系数为0.0156kg/t、灰渣装卸扬尘的排放系数为0.1742kg/t。锅炉耗煤量37630t、灰渣年产生量为3026.662</w:t>
            </w:r>
            <w:r>
              <w:rPr>
                <w:bCs/>
                <w:sz w:val="24"/>
              </w:rPr>
              <w:t>t</w:t>
            </w:r>
            <w:r>
              <w:rPr>
                <w:rFonts w:hint="eastAsia"/>
                <w:bCs/>
                <w:sz w:val="24"/>
              </w:rPr>
              <w:t>。</w:t>
            </w:r>
          </w:p>
          <w:p w14:paraId="796C9CD2">
            <w:pPr>
              <w:adjustRightInd w:val="0"/>
              <w:snapToGrid w:val="0"/>
              <w:spacing w:line="360" w:lineRule="auto"/>
              <w:ind w:firstLine="480" w:firstLineChars="200"/>
              <w:rPr>
                <w:bCs/>
                <w:sz w:val="24"/>
              </w:rPr>
            </w:pPr>
            <w:r>
              <w:rPr>
                <w:rFonts w:hint="eastAsia"/>
                <w:bCs/>
                <w:sz w:val="24"/>
              </w:rPr>
              <w:t>煤仓粉尘排放量=37630t/a</w:t>
            </w:r>
            <w:r>
              <w:rPr>
                <w:bCs/>
                <w:sz w:val="24"/>
              </w:rPr>
              <w:t>×</w:t>
            </w:r>
            <w:r>
              <w:rPr>
                <w:rFonts w:hint="eastAsia"/>
                <w:bCs/>
                <w:sz w:val="24"/>
              </w:rPr>
              <w:t>0.0156kg/t=0.587t/a，</w:t>
            </w:r>
          </w:p>
          <w:p w14:paraId="56C92B29">
            <w:pPr>
              <w:adjustRightInd w:val="0"/>
              <w:snapToGrid w:val="0"/>
              <w:spacing w:line="360" w:lineRule="auto"/>
              <w:ind w:firstLine="480" w:firstLineChars="200"/>
              <w:rPr>
                <w:bCs/>
                <w:sz w:val="24"/>
              </w:rPr>
            </w:pPr>
            <w:r>
              <w:rPr>
                <w:rFonts w:hint="eastAsia"/>
                <w:bCs/>
                <w:sz w:val="24"/>
              </w:rPr>
              <w:t>渣仓粉尘排放量=</w:t>
            </w:r>
            <w:r>
              <w:rPr>
                <w:bCs/>
                <w:sz w:val="24"/>
              </w:rPr>
              <w:t>3026.662t</w:t>
            </w:r>
            <w:r>
              <w:rPr>
                <w:rFonts w:hint="eastAsia"/>
                <w:bCs/>
                <w:sz w:val="24"/>
              </w:rPr>
              <w:t>/a</w:t>
            </w:r>
            <w:r>
              <w:rPr>
                <w:bCs/>
                <w:sz w:val="24"/>
              </w:rPr>
              <w:t>×0.1742</w:t>
            </w:r>
            <w:r>
              <w:rPr>
                <w:rFonts w:hint="eastAsia"/>
                <w:bCs/>
                <w:sz w:val="24"/>
              </w:rPr>
              <w:t>kg/t=0.527t/a。</w:t>
            </w:r>
          </w:p>
          <w:p w14:paraId="0EADD40A">
            <w:pPr>
              <w:adjustRightInd w:val="0"/>
              <w:snapToGrid w:val="0"/>
              <w:spacing w:line="360" w:lineRule="auto"/>
              <w:ind w:firstLine="480" w:firstLineChars="200"/>
              <w:rPr>
                <w:bCs/>
                <w:sz w:val="24"/>
              </w:rPr>
            </w:pPr>
            <w:r>
              <w:rPr>
                <w:rFonts w:hint="eastAsia"/>
                <w:bCs/>
                <w:sz w:val="24"/>
              </w:rPr>
              <w:t>经计算，项目煤仓粉尘排放量为</w:t>
            </w:r>
            <w:r>
              <w:rPr>
                <w:bCs/>
                <w:sz w:val="24"/>
              </w:rPr>
              <w:t>0.587</w:t>
            </w:r>
            <w:r>
              <w:rPr>
                <w:rFonts w:hint="eastAsia"/>
                <w:bCs/>
                <w:sz w:val="24"/>
              </w:rPr>
              <w:t>t/a、渣仓粉尘排放量为</w:t>
            </w:r>
            <w:r>
              <w:rPr>
                <w:bCs/>
                <w:sz w:val="24"/>
              </w:rPr>
              <w:t>0.527</w:t>
            </w:r>
            <w:r>
              <w:rPr>
                <w:rFonts w:hint="eastAsia"/>
                <w:bCs/>
                <w:sz w:val="24"/>
              </w:rPr>
              <w:t>t/a，通过倒推计算出煤仓粉尘产生量为0.587t/a、渣仓粉尘排放量为0.527t/a，无组织粉尘执行《煤炭工业污染物排放标准》（</w:t>
            </w:r>
            <w:r>
              <w:rPr>
                <w:bCs/>
                <w:sz w:val="24"/>
              </w:rPr>
              <w:t>GB20426-2006</w:t>
            </w:r>
            <w:r>
              <w:rPr>
                <w:rFonts w:hint="eastAsia"/>
                <w:bCs/>
                <w:sz w:val="24"/>
              </w:rPr>
              <w:t>）表5煤炭工业无组织排放限值，项目</w:t>
            </w:r>
            <w:r>
              <w:rPr>
                <w:bCs/>
                <w:sz w:val="24"/>
              </w:rPr>
              <w:t>粉尘对周围环境</w:t>
            </w:r>
            <w:r>
              <w:rPr>
                <w:rFonts w:hint="eastAsia"/>
                <w:bCs/>
                <w:sz w:val="24"/>
              </w:rPr>
              <w:t>影响</w:t>
            </w:r>
            <w:r>
              <w:rPr>
                <w:bCs/>
                <w:sz w:val="24"/>
              </w:rPr>
              <w:t>较小</w:t>
            </w:r>
            <w:r>
              <w:rPr>
                <w:rFonts w:hint="eastAsia"/>
                <w:bCs/>
                <w:sz w:val="24"/>
              </w:rPr>
              <w:t>。</w:t>
            </w:r>
          </w:p>
          <w:p w14:paraId="3DAC4D4A">
            <w:pPr>
              <w:adjustRightInd w:val="0"/>
              <w:snapToGrid w:val="0"/>
              <w:jc w:val="center"/>
            </w:pPr>
          </w:p>
        </w:tc>
      </w:tr>
    </w:tbl>
    <w:p w14:paraId="1209ED7F">
      <w:pPr>
        <w:sectPr>
          <w:pgSz w:w="11907" w:h="16840"/>
          <w:pgMar w:top="1701" w:right="1531" w:bottom="2127" w:left="1531" w:header="851" w:footer="851" w:gutter="0"/>
          <w:cols w:space="720" w:num="1"/>
          <w:docGrid w:linePitch="312" w:charSpace="0"/>
        </w:sectPr>
      </w:pPr>
    </w:p>
    <w:p w14:paraId="21E8EB2B">
      <w:pPr>
        <w:pStyle w:val="12"/>
        <w:keepNext/>
        <w:ind w:left="-105" w:leftChars="-50" w:right="-105" w:rightChars="-50"/>
        <w:rPr>
          <w:rFonts w:ascii="Times New Roman" w:hAnsi="Times New Roman"/>
          <w:szCs w:val="21"/>
        </w:rPr>
      </w:pPr>
      <w:bookmarkStart w:id="30" w:name="_Hlk151456616"/>
      <w:r>
        <w:rPr>
          <w:rFonts w:ascii="Times New Roman" w:hAnsi="Times New Roman"/>
        </w:rPr>
        <w:t>表4-</w:t>
      </w:r>
      <w:r>
        <w:rPr>
          <w:rFonts w:hint="eastAsia" w:ascii="Times New Roman" w:hAnsi="Times New Roman"/>
        </w:rPr>
        <w:t>4</w:t>
      </w:r>
      <w:r>
        <w:rPr>
          <w:rFonts w:ascii="Times New Roman" w:hAnsi="Times New Roman"/>
        </w:rPr>
        <w:t xml:space="preserve">  </w:t>
      </w:r>
      <w:r>
        <w:rPr>
          <w:rFonts w:ascii="Times New Roman" w:hAnsi="Times New Roman"/>
          <w:szCs w:val="21"/>
        </w:rPr>
        <w:t>废气污染物产排污情况及处理措施一览表</w:t>
      </w:r>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519"/>
        <w:gridCol w:w="546"/>
        <w:gridCol w:w="555"/>
        <w:gridCol w:w="555"/>
        <w:gridCol w:w="869"/>
        <w:gridCol w:w="742"/>
        <w:gridCol w:w="988"/>
        <w:gridCol w:w="336"/>
        <w:gridCol w:w="460"/>
        <w:gridCol w:w="798"/>
        <w:gridCol w:w="362"/>
        <w:gridCol w:w="395"/>
        <w:gridCol w:w="1791"/>
        <w:gridCol w:w="519"/>
        <w:gridCol w:w="582"/>
        <w:gridCol w:w="750"/>
        <w:gridCol w:w="807"/>
        <w:gridCol w:w="750"/>
        <w:gridCol w:w="1734"/>
      </w:tblGrid>
      <w:tr w14:paraId="174DBA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 w:type="pct"/>
            <w:vMerge w:val="restart"/>
            <w:vAlign w:val="center"/>
          </w:tcPr>
          <w:p w14:paraId="7F9295C7">
            <w:pPr>
              <w:widowControl/>
              <w:adjustRightInd w:val="0"/>
              <w:snapToGrid w:val="0"/>
              <w:ind w:left="-105" w:leftChars="-50" w:right="-105" w:rightChars="-50"/>
              <w:jc w:val="center"/>
              <w:rPr>
                <w:b/>
                <w:bCs/>
                <w:kern w:val="0"/>
                <w:szCs w:val="21"/>
              </w:rPr>
            </w:pPr>
            <w:r>
              <w:rPr>
                <w:b/>
                <w:bCs/>
                <w:kern w:val="0"/>
                <w:szCs w:val="21"/>
              </w:rPr>
              <w:t>序号</w:t>
            </w:r>
          </w:p>
        </w:tc>
        <w:tc>
          <w:tcPr>
            <w:tcW w:w="182" w:type="pct"/>
            <w:vMerge w:val="restart"/>
            <w:vAlign w:val="center"/>
          </w:tcPr>
          <w:p w14:paraId="3588E63C">
            <w:pPr>
              <w:widowControl/>
              <w:adjustRightInd w:val="0"/>
              <w:snapToGrid w:val="0"/>
              <w:ind w:left="-105" w:leftChars="-50" w:right="-105" w:rightChars="-50"/>
              <w:jc w:val="center"/>
              <w:rPr>
                <w:b/>
                <w:bCs/>
                <w:kern w:val="0"/>
                <w:szCs w:val="21"/>
              </w:rPr>
            </w:pPr>
            <w:r>
              <w:rPr>
                <w:b/>
                <w:bCs/>
                <w:kern w:val="0"/>
                <w:szCs w:val="21"/>
              </w:rPr>
              <w:t>生产单元</w:t>
            </w:r>
          </w:p>
        </w:tc>
        <w:tc>
          <w:tcPr>
            <w:tcW w:w="191" w:type="pct"/>
            <w:vMerge w:val="restart"/>
            <w:vAlign w:val="center"/>
          </w:tcPr>
          <w:p w14:paraId="5FF557D9">
            <w:pPr>
              <w:widowControl/>
              <w:adjustRightInd w:val="0"/>
              <w:snapToGrid w:val="0"/>
              <w:ind w:left="-105" w:leftChars="-50" w:right="-105" w:rightChars="-50"/>
              <w:jc w:val="center"/>
              <w:rPr>
                <w:b/>
                <w:bCs/>
                <w:kern w:val="0"/>
                <w:szCs w:val="21"/>
              </w:rPr>
            </w:pPr>
            <w:r>
              <w:rPr>
                <w:b/>
                <w:bCs/>
                <w:kern w:val="0"/>
                <w:szCs w:val="21"/>
              </w:rPr>
              <w:t>主要生产工艺</w:t>
            </w:r>
          </w:p>
        </w:tc>
        <w:tc>
          <w:tcPr>
            <w:tcW w:w="194" w:type="pct"/>
            <w:vMerge w:val="restart"/>
            <w:vAlign w:val="center"/>
          </w:tcPr>
          <w:p w14:paraId="623807AE">
            <w:pPr>
              <w:widowControl/>
              <w:adjustRightInd w:val="0"/>
              <w:snapToGrid w:val="0"/>
              <w:ind w:left="-105" w:leftChars="-50" w:right="-105" w:rightChars="-50"/>
              <w:jc w:val="center"/>
              <w:rPr>
                <w:b/>
                <w:bCs/>
                <w:kern w:val="0"/>
                <w:szCs w:val="21"/>
              </w:rPr>
            </w:pPr>
            <w:r>
              <w:rPr>
                <w:b/>
                <w:bCs/>
                <w:kern w:val="0"/>
                <w:szCs w:val="21"/>
              </w:rPr>
              <w:t>废气产污环节</w:t>
            </w:r>
          </w:p>
        </w:tc>
        <w:tc>
          <w:tcPr>
            <w:tcW w:w="194" w:type="pct"/>
            <w:vMerge w:val="restart"/>
            <w:vAlign w:val="center"/>
          </w:tcPr>
          <w:p w14:paraId="1A8B94FA">
            <w:pPr>
              <w:widowControl/>
              <w:adjustRightInd w:val="0"/>
              <w:snapToGrid w:val="0"/>
              <w:ind w:left="-105" w:leftChars="-50" w:right="-105" w:rightChars="-50"/>
              <w:jc w:val="center"/>
              <w:rPr>
                <w:b/>
                <w:bCs/>
                <w:kern w:val="0"/>
                <w:szCs w:val="21"/>
              </w:rPr>
            </w:pPr>
            <w:r>
              <w:rPr>
                <w:b/>
                <w:bCs/>
                <w:kern w:val="0"/>
                <w:szCs w:val="21"/>
              </w:rPr>
              <w:t>污染物种类</w:t>
            </w:r>
          </w:p>
        </w:tc>
        <w:tc>
          <w:tcPr>
            <w:tcW w:w="897" w:type="pct"/>
            <w:gridSpan w:val="3"/>
            <w:vAlign w:val="center"/>
          </w:tcPr>
          <w:p w14:paraId="77DEEA79">
            <w:pPr>
              <w:widowControl/>
              <w:adjustRightInd w:val="0"/>
              <w:snapToGrid w:val="0"/>
              <w:ind w:left="-105" w:leftChars="-50" w:right="-105" w:rightChars="-50"/>
              <w:jc w:val="center"/>
              <w:rPr>
                <w:b/>
                <w:bCs/>
                <w:kern w:val="0"/>
                <w:szCs w:val="21"/>
              </w:rPr>
            </w:pPr>
            <w:r>
              <w:rPr>
                <w:b/>
                <w:bCs/>
                <w:kern w:val="0"/>
                <w:szCs w:val="21"/>
              </w:rPr>
              <w:t>污染物产生情况</w:t>
            </w:r>
          </w:p>
        </w:tc>
        <w:tc>
          <w:tcPr>
            <w:tcW w:w="120" w:type="pct"/>
            <w:vMerge w:val="restart"/>
            <w:vAlign w:val="center"/>
          </w:tcPr>
          <w:p w14:paraId="3DD611E1">
            <w:pPr>
              <w:widowControl/>
              <w:adjustRightInd w:val="0"/>
              <w:snapToGrid w:val="0"/>
              <w:ind w:left="-105" w:leftChars="-50" w:right="-105" w:rightChars="-50"/>
              <w:jc w:val="center"/>
              <w:rPr>
                <w:b/>
                <w:bCs/>
                <w:kern w:val="0"/>
                <w:szCs w:val="21"/>
              </w:rPr>
            </w:pPr>
            <w:r>
              <w:rPr>
                <w:b/>
                <w:bCs/>
                <w:kern w:val="0"/>
                <w:szCs w:val="21"/>
              </w:rPr>
              <w:t>排放形式</w:t>
            </w:r>
          </w:p>
        </w:tc>
        <w:tc>
          <w:tcPr>
            <w:tcW w:w="162" w:type="pct"/>
            <w:vMerge w:val="restart"/>
            <w:vAlign w:val="center"/>
          </w:tcPr>
          <w:p w14:paraId="5878AA32">
            <w:pPr>
              <w:widowControl/>
              <w:adjustRightInd w:val="0"/>
              <w:snapToGrid w:val="0"/>
              <w:ind w:left="-105" w:leftChars="-50" w:right="-105" w:rightChars="-50"/>
              <w:jc w:val="center"/>
              <w:rPr>
                <w:b/>
                <w:bCs/>
                <w:kern w:val="0"/>
                <w:szCs w:val="21"/>
              </w:rPr>
            </w:pPr>
            <w:r>
              <w:rPr>
                <w:b/>
                <w:bCs/>
                <w:kern w:val="0"/>
                <w:szCs w:val="21"/>
              </w:rPr>
              <w:t>排放口类型</w:t>
            </w:r>
          </w:p>
        </w:tc>
        <w:tc>
          <w:tcPr>
            <w:tcW w:w="545" w:type="pct"/>
            <w:gridSpan w:val="3"/>
            <w:vAlign w:val="center"/>
          </w:tcPr>
          <w:p w14:paraId="2826289E">
            <w:pPr>
              <w:widowControl/>
              <w:adjustRightInd w:val="0"/>
              <w:snapToGrid w:val="0"/>
              <w:ind w:left="-105" w:leftChars="-50" w:right="-105" w:rightChars="-50"/>
              <w:jc w:val="center"/>
              <w:rPr>
                <w:b/>
                <w:bCs/>
                <w:kern w:val="0"/>
                <w:szCs w:val="21"/>
              </w:rPr>
            </w:pPr>
            <w:r>
              <w:rPr>
                <w:b/>
                <w:bCs/>
                <w:szCs w:val="21"/>
              </w:rPr>
              <w:t>排气筒信息</w:t>
            </w:r>
          </w:p>
        </w:tc>
        <w:tc>
          <w:tcPr>
            <w:tcW w:w="996" w:type="pct"/>
            <w:gridSpan w:val="3"/>
            <w:vAlign w:val="center"/>
          </w:tcPr>
          <w:p w14:paraId="5AF0F0D1">
            <w:pPr>
              <w:widowControl/>
              <w:adjustRightInd w:val="0"/>
              <w:snapToGrid w:val="0"/>
              <w:ind w:left="-105" w:leftChars="-50" w:right="-105" w:rightChars="-50"/>
              <w:jc w:val="center"/>
              <w:rPr>
                <w:b/>
                <w:bCs/>
                <w:kern w:val="0"/>
                <w:szCs w:val="21"/>
              </w:rPr>
            </w:pPr>
            <w:r>
              <w:rPr>
                <w:b/>
                <w:bCs/>
                <w:kern w:val="0"/>
                <w:szCs w:val="21"/>
              </w:rPr>
              <w:t>污染治理设施</w:t>
            </w:r>
          </w:p>
        </w:tc>
        <w:tc>
          <w:tcPr>
            <w:tcW w:w="799" w:type="pct"/>
            <w:gridSpan w:val="3"/>
            <w:vAlign w:val="center"/>
          </w:tcPr>
          <w:p w14:paraId="68535D56">
            <w:pPr>
              <w:widowControl/>
              <w:adjustRightInd w:val="0"/>
              <w:snapToGrid w:val="0"/>
              <w:ind w:left="-105" w:leftChars="-50" w:right="-105" w:rightChars="-50"/>
              <w:jc w:val="center"/>
              <w:rPr>
                <w:b/>
                <w:bCs/>
                <w:kern w:val="0"/>
                <w:szCs w:val="21"/>
              </w:rPr>
            </w:pPr>
            <w:r>
              <w:rPr>
                <w:b/>
                <w:bCs/>
                <w:kern w:val="0"/>
                <w:szCs w:val="21"/>
              </w:rPr>
              <w:t>污染物排放情况</w:t>
            </w:r>
          </w:p>
        </w:tc>
        <w:tc>
          <w:tcPr>
            <w:tcW w:w="457" w:type="pct"/>
            <w:vMerge w:val="restart"/>
            <w:vAlign w:val="center"/>
          </w:tcPr>
          <w:p w14:paraId="61309D28">
            <w:pPr>
              <w:widowControl/>
              <w:adjustRightInd w:val="0"/>
              <w:snapToGrid w:val="0"/>
              <w:ind w:left="-105" w:leftChars="-50" w:right="-105" w:rightChars="-50"/>
              <w:jc w:val="center"/>
              <w:rPr>
                <w:b/>
                <w:bCs/>
                <w:kern w:val="0"/>
                <w:szCs w:val="21"/>
              </w:rPr>
            </w:pPr>
            <w:r>
              <w:rPr>
                <w:b/>
                <w:bCs/>
                <w:kern w:val="0"/>
                <w:szCs w:val="21"/>
              </w:rPr>
              <w:t>执行标准</w:t>
            </w:r>
          </w:p>
        </w:tc>
      </w:tr>
      <w:tr w14:paraId="3BA92E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 w:type="pct"/>
            <w:vMerge w:val="continue"/>
            <w:vAlign w:val="center"/>
          </w:tcPr>
          <w:p w14:paraId="1BFFC077">
            <w:pPr>
              <w:widowControl/>
              <w:adjustRightInd w:val="0"/>
              <w:snapToGrid w:val="0"/>
              <w:ind w:left="-105" w:leftChars="-50" w:right="-105" w:rightChars="-50"/>
              <w:jc w:val="center"/>
              <w:rPr>
                <w:b/>
                <w:bCs/>
                <w:kern w:val="0"/>
                <w:szCs w:val="21"/>
              </w:rPr>
            </w:pPr>
          </w:p>
        </w:tc>
        <w:tc>
          <w:tcPr>
            <w:tcW w:w="182" w:type="pct"/>
            <w:vMerge w:val="continue"/>
            <w:vAlign w:val="center"/>
          </w:tcPr>
          <w:p w14:paraId="3D87567E">
            <w:pPr>
              <w:widowControl/>
              <w:adjustRightInd w:val="0"/>
              <w:snapToGrid w:val="0"/>
              <w:ind w:left="-105" w:leftChars="-50" w:right="-105" w:rightChars="-50"/>
              <w:jc w:val="center"/>
              <w:rPr>
                <w:b/>
                <w:bCs/>
                <w:kern w:val="0"/>
                <w:szCs w:val="21"/>
              </w:rPr>
            </w:pPr>
          </w:p>
        </w:tc>
        <w:tc>
          <w:tcPr>
            <w:tcW w:w="191" w:type="pct"/>
            <w:vMerge w:val="continue"/>
            <w:vAlign w:val="center"/>
          </w:tcPr>
          <w:p w14:paraId="0C0E01A2">
            <w:pPr>
              <w:widowControl/>
              <w:adjustRightInd w:val="0"/>
              <w:snapToGrid w:val="0"/>
              <w:ind w:left="-105" w:leftChars="-50" w:right="-105" w:rightChars="-50"/>
              <w:jc w:val="center"/>
              <w:rPr>
                <w:b/>
                <w:bCs/>
                <w:kern w:val="0"/>
                <w:szCs w:val="21"/>
              </w:rPr>
            </w:pPr>
          </w:p>
        </w:tc>
        <w:tc>
          <w:tcPr>
            <w:tcW w:w="194" w:type="pct"/>
            <w:vMerge w:val="continue"/>
            <w:vAlign w:val="center"/>
          </w:tcPr>
          <w:p w14:paraId="10615FDF">
            <w:pPr>
              <w:widowControl/>
              <w:adjustRightInd w:val="0"/>
              <w:snapToGrid w:val="0"/>
              <w:ind w:left="-105" w:leftChars="-50" w:right="-105" w:rightChars="-50"/>
              <w:jc w:val="center"/>
              <w:rPr>
                <w:b/>
                <w:bCs/>
                <w:kern w:val="0"/>
                <w:szCs w:val="21"/>
              </w:rPr>
            </w:pPr>
          </w:p>
        </w:tc>
        <w:tc>
          <w:tcPr>
            <w:tcW w:w="194" w:type="pct"/>
            <w:vMerge w:val="continue"/>
            <w:vAlign w:val="center"/>
          </w:tcPr>
          <w:p w14:paraId="02A7B473">
            <w:pPr>
              <w:widowControl/>
              <w:adjustRightInd w:val="0"/>
              <w:snapToGrid w:val="0"/>
              <w:ind w:left="-105" w:leftChars="-50" w:right="-105" w:rightChars="-50"/>
              <w:jc w:val="center"/>
              <w:rPr>
                <w:b/>
                <w:bCs/>
                <w:kern w:val="0"/>
                <w:szCs w:val="21"/>
              </w:rPr>
            </w:pPr>
          </w:p>
        </w:tc>
        <w:tc>
          <w:tcPr>
            <w:tcW w:w="300" w:type="pct"/>
            <w:vAlign w:val="center"/>
          </w:tcPr>
          <w:p w14:paraId="76C2495C">
            <w:pPr>
              <w:widowControl/>
              <w:adjustRightInd w:val="0"/>
              <w:snapToGrid w:val="0"/>
              <w:ind w:left="-105" w:leftChars="-50" w:right="-105" w:rightChars="-50"/>
              <w:jc w:val="center"/>
              <w:rPr>
                <w:b/>
                <w:bCs/>
                <w:kern w:val="0"/>
                <w:szCs w:val="21"/>
              </w:rPr>
            </w:pPr>
            <w:r>
              <w:rPr>
                <w:b/>
                <w:bCs/>
                <w:kern w:val="0"/>
                <w:szCs w:val="21"/>
              </w:rPr>
              <w:t>产生量t/a</w:t>
            </w:r>
          </w:p>
        </w:tc>
        <w:tc>
          <w:tcPr>
            <w:tcW w:w="257" w:type="pct"/>
            <w:vAlign w:val="center"/>
          </w:tcPr>
          <w:p w14:paraId="1685475D">
            <w:pPr>
              <w:widowControl/>
              <w:adjustRightInd w:val="0"/>
              <w:snapToGrid w:val="0"/>
              <w:ind w:left="-105" w:leftChars="-50" w:right="-105" w:rightChars="-50"/>
              <w:jc w:val="center"/>
              <w:rPr>
                <w:b/>
                <w:bCs/>
                <w:kern w:val="0"/>
                <w:szCs w:val="21"/>
              </w:rPr>
            </w:pPr>
            <w:r>
              <w:rPr>
                <w:b/>
                <w:bCs/>
                <w:kern w:val="0"/>
                <w:szCs w:val="21"/>
              </w:rPr>
              <w:t>产生速率kg/h</w:t>
            </w:r>
          </w:p>
        </w:tc>
        <w:tc>
          <w:tcPr>
            <w:tcW w:w="340" w:type="pct"/>
            <w:vAlign w:val="center"/>
          </w:tcPr>
          <w:p w14:paraId="120F656C">
            <w:pPr>
              <w:widowControl/>
              <w:adjustRightInd w:val="0"/>
              <w:snapToGrid w:val="0"/>
              <w:ind w:left="-105" w:leftChars="-50" w:right="-105" w:rightChars="-50"/>
              <w:jc w:val="center"/>
              <w:rPr>
                <w:b/>
                <w:bCs/>
                <w:kern w:val="0"/>
                <w:szCs w:val="21"/>
              </w:rPr>
            </w:pPr>
            <w:r>
              <w:rPr>
                <w:b/>
                <w:bCs/>
                <w:kern w:val="0"/>
                <w:szCs w:val="21"/>
              </w:rPr>
              <w:t>产生浓度</w:t>
            </w:r>
          </w:p>
          <w:p w14:paraId="73B2A145">
            <w:pPr>
              <w:widowControl/>
              <w:adjustRightInd w:val="0"/>
              <w:snapToGrid w:val="0"/>
              <w:ind w:left="-105" w:leftChars="-50" w:right="-105" w:rightChars="-50"/>
              <w:jc w:val="center"/>
              <w:rPr>
                <w:b/>
                <w:bCs/>
                <w:kern w:val="0"/>
                <w:szCs w:val="21"/>
              </w:rPr>
            </w:pPr>
            <w:r>
              <w:rPr>
                <w:b/>
                <w:bCs/>
                <w:kern w:val="0"/>
                <w:szCs w:val="21"/>
              </w:rPr>
              <w:t>mg/m³</w:t>
            </w:r>
          </w:p>
        </w:tc>
        <w:tc>
          <w:tcPr>
            <w:tcW w:w="120" w:type="pct"/>
            <w:vMerge w:val="continue"/>
            <w:vAlign w:val="center"/>
          </w:tcPr>
          <w:p w14:paraId="26E1C762">
            <w:pPr>
              <w:widowControl/>
              <w:adjustRightInd w:val="0"/>
              <w:snapToGrid w:val="0"/>
              <w:ind w:left="-105" w:leftChars="-50" w:right="-105" w:rightChars="-50"/>
              <w:jc w:val="center"/>
              <w:rPr>
                <w:b/>
                <w:bCs/>
                <w:kern w:val="0"/>
                <w:szCs w:val="21"/>
              </w:rPr>
            </w:pPr>
          </w:p>
        </w:tc>
        <w:tc>
          <w:tcPr>
            <w:tcW w:w="162" w:type="pct"/>
            <w:vMerge w:val="continue"/>
            <w:vAlign w:val="center"/>
          </w:tcPr>
          <w:p w14:paraId="3EAAC30F">
            <w:pPr>
              <w:widowControl/>
              <w:adjustRightInd w:val="0"/>
              <w:snapToGrid w:val="0"/>
              <w:ind w:left="-105" w:leftChars="-50" w:right="-105" w:rightChars="-50"/>
              <w:jc w:val="center"/>
              <w:rPr>
                <w:b/>
                <w:bCs/>
                <w:kern w:val="0"/>
                <w:szCs w:val="21"/>
              </w:rPr>
            </w:pPr>
          </w:p>
        </w:tc>
        <w:tc>
          <w:tcPr>
            <w:tcW w:w="276" w:type="pct"/>
            <w:vAlign w:val="center"/>
          </w:tcPr>
          <w:p w14:paraId="3809E2BA">
            <w:pPr>
              <w:pStyle w:val="70"/>
              <w:adjustRightInd w:val="0"/>
              <w:snapToGrid w:val="0"/>
              <w:ind w:left="-105" w:leftChars="-50" w:right="-105" w:rightChars="-50"/>
              <w:jc w:val="center"/>
              <w:rPr>
                <w:rFonts w:ascii="Times New Roman" w:hAnsi="Times New Roman"/>
                <w:b/>
                <w:bCs/>
                <w:kern w:val="0"/>
                <w:szCs w:val="21"/>
              </w:rPr>
            </w:pPr>
            <w:r>
              <w:rPr>
                <w:rFonts w:ascii="Times New Roman" w:hAnsi="Times New Roman"/>
                <w:b/>
                <w:bCs/>
                <w:szCs w:val="21"/>
              </w:rPr>
              <w:t>编号</w:t>
            </w:r>
          </w:p>
        </w:tc>
        <w:tc>
          <w:tcPr>
            <w:tcW w:w="129" w:type="pct"/>
            <w:vAlign w:val="center"/>
          </w:tcPr>
          <w:p w14:paraId="6E4BCFF6">
            <w:pPr>
              <w:pStyle w:val="70"/>
              <w:adjustRightInd w:val="0"/>
              <w:snapToGrid w:val="0"/>
              <w:ind w:left="-105" w:leftChars="-50" w:right="-105" w:rightChars="-50"/>
              <w:jc w:val="center"/>
              <w:rPr>
                <w:rFonts w:ascii="Times New Roman" w:hAnsi="Times New Roman"/>
                <w:b/>
                <w:bCs/>
                <w:kern w:val="0"/>
                <w:szCs w:val="21"/>
              </w:rPr>
            </w:pPr>
            <w:r>
              <w:rPr>
                <w:rFonts w:ascii="Times New Roman" w:hAnsi="Times New Roman"/>
                <w:b/>
                <w:bCs/>
                <w:szCs w:val="21"/>
              </w:rPr>
              <w:t>高度</w:t>
            </w:r>
            <w:r>
              <w:rPr>
                <w:rFonts w:hint="eastAsia" w:ascii="Times New Roman" w:hAnsi="Times New Roman"/>
                <w:b/>
                <w:bCs/>
                <w:szCs w:val="21"/>
              </w:rPr>
              <w:t>/m</w:t>
            </w:r>
          </w:p>
        </w:tc>
        <w:tc>
          <w:tcPr>
            <w:tcW w:w="140" w:type="pct"/>
            <w:vAlign w:val="center"/>
          </w:tcPr>
          <w:p w14:paraId="6D75FAC3">
            <w:pPr>
              <w:pStyle w:val="70"/>
              <w:adjustRightInd w:val="0"/>
              <w:snapToGrid w:val="0"/>
              <w:ind w:left="-105" w:leftChars="-50" w:right="-105" w:rightChars="-50"/>
              <w:jc w:val="center"/>
              <w:rPr>
                <w:rFonts w:ascii="Times New Roman" w:hAnsi="Times New Roman"/>
                <w:b/>
                <w:bCs/>
                <w:kern w:val="0"/>
                <w:szCs w:val="21"/>
              </w:rPr>
            </w:pPr>
            <w:r>
              <w:rPr>
                <w:rFonts w:ascii="Times New Roman" w:hAnsi="Times New Roman"/>
                <w:b/>
                <w:bCs/>
                <w:szCs w:val="21"/>
              </w:rPr>
              <w:t>内径</w:t>
            </w:r>
            <w:r>
              <w:rPr>
                <w:rFonts w:hint="eastAsia" w:ascii="Times New Roman" w:hAnsi="Times New Roman"/>
                <w:b/>
                <w:bCs/>
                <w:szCs w:val="21"/>
              </w:rPr>
              <w:t>/m</w:t>
            </w:r>
          </w:p>
        </w:tc>
        <w:tc>
          <w:tcPr>
            <w:tcW w:w="611" w:type="pct"/>
            <w:vAlign w:val="center"/>
          </w:tcPr>
          <w:p w14:paraId="62220858">
            <w:pPr>
              <w:widowControl/>
              <w:adjustRightInd w:val="0"/>
              <w:snapToGrid w:val="0"/>
              <w:ind w:left="-105" w:leftChars="-50" w:right="-105" w:rightChars="-50"/>
              <w:jc w:val="center"/>
              <w:rPr>
                <w:b/>
                <w:bCs/>
                <w:kern w:val="0"/>
                <w:szCs w:val="21"/>
              </w:rPr>
            </w:pPr>
            <w:r>
              <w:rPr>
                <w:b/>
                <w:bCs/>
                <w:kern w:val="0"/>
                <w:szCs w:val="21"/>
              </w:rPr>
              <w:t>工艺名称</w:t>
            </w:r>
          </w:p>
          <w:p w14:paraId="4EA6FB66">
            <w:pPr>
              <w:widowControl/>
              <w:adjustRightInd w:val="0"/>
              <w:snapToGrid w:val="0"/>
              <w:ind w:left="-105" w:leftChars="-50" w:right="-105" w:rightChars="-50"/>
              <w:jc w:val="center"/>
              <w:rPr>
                <w:b/>
                <w:bCs/>
                <w:kern w:val="0"/>
                <w:szCs w:val="21"/>
              </w:rPr>
            </w:pPr>
            <w:r>
              <w:rPr>
                <w:b/>
                <w:bCs/>
                <w:kern w:val="0"/>
                <w:szCs w:val="21"/>
              </w:rPr>
              <w:t>或方式</w:t>
            </w:r>
          </w:p>
        </w:tc>
        <w:tc>
          <w:tcPr>
            <w:tcW w:w="182" w:type="pct"/>
            <w:vAlign w:val="center"/>
          </w:tcPr>
          <w:p w14:paraId="77075350">
            <w:pPr>
              <w:widowControl/>
              <w:adjustRightInd w:val="0"/>
              <w:snapToGrid w:val="0"/>
              <w:ind w:left="-105" w:leftChars="-50" w:right="-105" w:rightChars="-50"/>
              <w:jc w:val="center"/>
              <w:rPr>
                <w:b/>
                <w:bCs/>
                <w:kern w:val="0"/>
                <w:szCs w:val="21"/>
              </w:rPr>
            </w:pPr>
            <w:r>
              <w:rPr>
                <w:b/>
                <w:bCs/>
                <w:kern w:val="0"/>
                <w:szCs w:val="21"/>
              </w:rPr>
              <w:t>处理效率</w:t>
            </w:r>
          </w:p>
        </w:tc>
        <w:tc>
          <w:tcPr>
            <w:tcW w:w="203" w:type="pct"/>
            <w:vAlign w:val="center"/>
          </w:tcPr>
          <w:p w14:paraId="6F142D67">
            <w:pPr>
              <w:widowControl/>
              <w:adjustRightInd w:val="0"/>
              <w:snapToGrid w:val="0"/>
              <w:ind w:left="-105" w:leftChars="-50" w:right="-105" w:rightChars="-50"/>
              <w:jc w:val="center"/>
              <w:rPr>
                <w:b/>
                <w:bCs/>
                <w:kern w:val="0"/>
                <w:szCs w:val="21"/>
              </w:rPr>
            </w:pPr>
            <w:r>
              <w:rPr>
                <w:b/>
                <w:bCs/>
                <w:kern w:val="0"/>
                <w:szCs w:val="21"/>
              </w:rPr>
              <w:t>是否为可行技术</w:t>
            </w:r>
          </w:p>
        </w:tc>
        <w:tc>
          <w:tcPr>
            <w:tcW w:w="260" w:type="pct"/>
            <w:vAlign w:val="center"/>
          </w:tcPr>
          <w:p w14:paraId="741EC6AB">
            <w:pPr>
              <w:widowControl/>
              <w:adjustRightInd w:val="0"/>
              <w:snapToGrid w:val="0"/>
              <w:ind w:left="-105" w:leftChars="-50" w:right="-105" w:rightChars="-50"/>
              <w:jc w:val="center"/>
              <w:rPr>
                <w:b/>
                <w:bCs/>
                <w:kern w:val="0"/>
                <w:szCs w:val="21"/>
              </w:rPr>
            </w:pPr>
            <w:r>
              <w:rPr>
                <w:b/>
                <w:bCs/>
                <w:kern w:val="0"/>
                <w:szCs w:val="21"/>
              </w:rPr>
              <w:t>排放量t/a</w:t>
            </w:r>
          </w:p>
        </w:tc>
        <w:tc>
          <w:tcPr>
            <w:tcW w:w="279" w:type="pct"/>
            <w:vAlign w:val="center"/>
          </w:tcPr>
          <w:p w14:paraId="5BB890DF">
            <w:pPr>
              <w:widowControl/>
              <w:adjustRightInd w:val="0"/>
              <w:snapToGrid w:val="0"/>
              <w:ind w:left="-105" w:leftChars="-50" w:right="-105" w:rightChars="-50"/>
              <w:jc w:val="center"/>
              <w:rPr>
                <w:b/>
                <w:bCs/>
                <w:kern w:val="0"/>
                <w:szCs w:val="21"/>
              </w:rPr>
            </w:pPr>
            <w:r>
              <w:rPr>
                <w:b/>
                <w:bCs/>
                <w:kern w:val="0"/>
                <w:szCs w:val="21"/>
              </w:rPr>
              <w:t>排放速率kg/h</w:t>
            </w:r>
          </w:p>
        </w:tc>
        <w:tc>
          <w:tcPr>
            <w:tcW w:w="260" w:type="pct"/>
            <w:vAlign w:val="center"/>
          </w:tcPr>
          <w:p w14:paraId="529A9380">
            <w:pPr>
              <w:widowControl/>
              <w:adjustRightInd w:val="0"/>
              <w:snapToGrid w:val="0"/>
              <w:ind w:left="-105" w:leftChars="-50" w:right="-105" w:rightChars="-50"/>
              <w:jc w:val="center"/>
              <w:rPr>
                <w:b/>
                <w:bCs/>
                <w:kern w:val="0"/>
                <w:szCs w:val="21"/>
              </w:rPr>
            </w:pPr>
            <w:r>
              <w:rPr>
                <w:b/>
                <w:bCs/>
                <w:kern w:val="0"/>
                <w:szCs w:val="21"/>
              </w:rPr>
              <w:t>排放浓度</w:t>
            </w:r>
          </w:p>
          <w:p w14:paraId="0F198333">
            <w:pPr>
              <w:widowControl/>
              <w:adjustRightInd w:val="0"/>
              <w:snapToGrid w:val="0"/>
              <w:ind w:left="-105" w:leftChars="-50" w:right="-105" w:rightChars="-50"/>
              <w:jc w:val="center"/>
              <w:rPr>
                <w:b/>
                <w:bCs/>
                <w:kern w:val="0"/>
                <w:szCs w:val="21"/>
              </w:rPr>
            </w:pPr>
            <w:r>
              <w:rPr>
                <w:b/>
                <w:bCs/>
                <w:kern w:val="0"/>
                <w:szCs w:val="21"/>
              </w:rPr>
              <w:t>mg/m³</w:t>
            </w:r>
          </w:p>
        </w:tc>
        <w:tc>
          <w:tcPr>
            <w:tcW w:w="457" w:type="pct"/>
            <w:vMerge w:val="continue"/>
            <w:vAlign w:val="center"/>
          </w:tcPr>
          <w:p w14:paraId="60CAEC01">
            <w:pPr>
              <w:widowControl/>
              <w:adjustRightInd w:val="0"/>
              <w:snapToGrid w:val="0"/>
              <w:ind w:left="-105" w:leftChars="-50" w:right="-105" w:rightChars="-50"/>
              <w:jc w:val="center"/>
              <w:rPr>
                <w:b/>
                <w:bCs/>
                <w:kern w:val="0"/>
                <w:szCs w:val="21"/>
              </w:rPr>
            </w:pPr>
          </w:p>
        </w:tc>
      </w:tr>
      <w:tr w14:paraId="45AB24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 w:type="pct"/>
            <w:vMerge w:val="restart"/>
            <w:vAlign w:val="center"/>
          </w:tcPr>
          <w:p w14:paraId="647380AC">
            <w:pPr>
              <w:widowControl/>
              <w:adjustRightInd w:val="0"/>
              <w:snapToGrid w:val="0"/>
              <w:ind w:left="-105" w:leftChars="-50" w:right="-105" w:rightChars="-50"/>
              <w:jc w:val="center"/>
              <w:rPr>
                <w:kern w:val="0"/>
                <w:szCs w:val="21"/>
              </w:rPr>
            </w:pPr>
            <w:r>
              <w:rPr>
                <w:kern w:val="0"/>
                <w:szCs w:val="21"/>
              </w:rPr>
              <w:t>G1</w:t>
            </w:r>
          </w:p>
        </w:tc>
        <w:tc>
          <w:tcPr>
            <w:tcW w:w="182" w:type="pct"/>
            <w:vMerge w:val="restart"/>
            <w:vAlign w:val="center"/>
          </w:tcPr>
          <w:p w14:paraId="3E1C292A">
            <w:pPr>
              <w:widowControl/>
              <w:adjustRightInd w:val="0"/>
              <w:snapToGrid w:val="0"/>
              <w:ind w:left="-105" w:leftChars="-50" w:right="-105" w:rightChars="-50"/>
              <w:jc w:val="center"/>
              <w:rPr>
                <w:kern w:val="0"/>
                <w:szCs w:val="21"/>
              </w:rPr>
            </w:pPr>
            <w:r>
              <w:rPr>
                <w:rFonts w:hint="eastAsia"/>
                <w:kern w:val="0"/>
                <w:szCs w:val="21"/>
              </w:rPr>
              <w:t>燃煤蒸汽锅炉（采暖期）</w:t>
            </w:r>
          </w:p>
        </w:tc>
        <w:tc>
          <w:tcPr>
            <w:tcW w:w="191" w:type="pct"/>
            <w:vMerge w:val="restart"/>
            <w:vAlign w:val="center"/>
          </w:tcPr>
          <w:p w14:paraId="59641290">
            <w:pPr>
              <w:widowControl/>
              <w:adjustRightInd w:val="0"/>
              <w:snapToGrid w:val="0"/>
              <w:ind w:left="-105" w:leftChars="-50" w:right="-105" w:rightChars="-50"/>
              <w:jc w:val="center"/>
              <w:rPr>
                <w:kern w:val="0"/>
                <w:szCs w:val="21"/>
              </w:rPr>
            </w:pPr>
            <w:r>
              <w:rPr>
                <w:rFonts w:hint="eastAsia"/>
                <w:kern w:val="0"/>
                <w:szCs w:val="21"/>
              </w:rPr>
              <w:t>锅炉燃烧</w:t>
            </w:r>
          </w:p>
        </w:tc>
        <w:tc>
          <w:tcPr>
            <w:tcW w:w="194" w:type="pct"/>
            <w:vMerge w:val="restart"/>
            <w:vAlign w:val="center"/>
          </w:tcPr>
          <w:p w14:paraId="6F290423">
            <w:pPr>
              <w:widowControl/>
              <w:adjustRightInd w:val="0"/>
              <w:snapToGrid w:val="0"/>
              <w:ind w:left="-105" w:leftChars="-50" w:right="-105" w:rightChars="-50"/>
              <w:jc w:val="center"/>
              <w:rPr>
                <w:kern w:val="0"/>
                <w:szCs w:val="21"/>
              </w:rPr>
            </w:pPr>
            <w:r>
              <w:rPr>
                <w:rFonts w:hint="eastAsia"/>
                <w:kern w:val="0"/>
                <w:szCs w:val="21"/>
              </w:rPr>
              <w:t>锅炉燃烧烟气</w:t>
            </w:r>
          </w:p>
        </w:tc>
        <w:tc>
          <w:tcPr>
            <w:tcW w:w="194" w:type="pct"/>
            <w:vAlign w:val="center"/>
          </w:tcPr>
          <w:p w14:paraId="1390AD27">
            <w:pPr>
              <w:widowControl/>
              <w:adjustRightInd w:val="0"/>
              <w:snapToGrid w:val="0"/>
              <w:ind w:left="-105" w:leftChars="-50" w:right="-105" w:rightChars="-50"/>
              <w:jc w:val="center"/>
              <w:rPr>
                <w:kern w:val="0"/>
                <w:szCs w:val="21"/>
              </w:rPr>
            </w:pPr>
            <w:r>
              <w:rPr>
                <w:kern w:val="0"/>
                <w:szCs w:val="21"/>
              </w:rPr>
              <w:t>颗粒物</w:t>
            </w:r>
          </w:p>
        </w:tc>
        <w:tc>
          <w:tcPr>
            <w:tcW w:w="300" w:type="pct"/>
            <w:vAlign w:val="center"/>
          </w:tcPr>
          <w:p w14:paraId="304F5D27">
            <w:pPr>
              <w:widowControl/>
              <w:adjustRightInd w:val="0"/>
              <w:snapToGrid w:val="0"/>
              <w:ind w:left="-105" w:leftChars="-50" w:right="-105" w:rightChars="-50"/>
              <w:jc w:val="center"/>
              <w:rPr>
                <w:kern w:val="0"/>
                <w:szCs w:val="21"/>
              </w:rPr>
            </w:pPr>
            <w:r>
              <w:rPr>
                <w:bCs/>
                <w:szCs w:val="21"/>
              </w:rPr>
              <w:t>294.552</w:t>
            </w:r>
          </w:p>
        </w:tc>
        <w:tc>
          <w:tcPr>
            <w:tcW w:w="257" w:type="pct"/>
            <w:vAlign w:val="center"/>
          </w:tcPr>
          <w:p w14:paraId="6FB56C8B">
            <w:pPr>
              <w:widowControl/>
              <w:adjustRightInd w:val="0"/>
              <w:snapToGrid w:val="0"/>
              <w:ind w:left="-105" w:leftChars="-50" w:right="-105" w:rightChars="-50"/>
              <w:jc w:val="center"/>
              <w:rPr>
                <w:kern w:val="0"/>
                <w:szCs w:val="21"/>
              </w:rPr>
            </w:pPr>
            <w:r>
              <w:rPr>
                <w:bCs/>
                <w:szCs w:val="21"/>
              </w:rPr>
              <w:t>87.66</w:t>
            </w:r>
          </w:p>
        </w:tc>
        <w:tc>
          <w:tcPr>
            <w:tcW w:w="340" w:type="pct"/>
            <w:vAlign w:val="center"/>
          </w:tcPr>
          <w:p w14:paraId="1E12065C">
            <w:pPr>
              <w:widowControl/>
              <w:adjustRightInd w:val="0"/>
              <w:snapToGrid w:val="0"/>
              <w:ind w:left="-105" w:leftChars="-50" w:right="-105" w:rightChars="-50"/>
              <w:jc w:val="center"/>
              <w:rPr>
                <w:kern w:val="0"/>
                <w:szCs w:val="21"/>
              </w:rPr>
            </w:pPr>
            <w:r>
              <w:rPr>
                <w:rFonts w:hint="eastAsia"/>
                <w:bCs/>
                <w:szCs w:val="21"/>
              </w:rPr>
              <w:t>1018.81</w:t>
            </w:r>
          </w:p>
        </w:tc>
        <w:tc>
          <w:tcPr>
            <w:tcW w:w="120" w:type="pct"/>
            <w:vMerge w:val="restart"/>
            <w:vAlign w:val="center"/>
          </w:tcPr>
          <w:p w14:paraId="348AC69F">
            <w:pPr>
              <w:widowControl/>
              <w:adjustRightInd w:val="0"/>
              <w:snapToGrid w:val="0"/>
              <w:ind w:left="-105" w:leftChars="-50" w:right="-105" w:rightChars="-50"/>
              <w:jc w:val="center"/>
              <w:rPr>
                <w:kern w:val="0"/>
                <w:szCs w:val="21"/>
              </w:rPr>
            </w:pPr>
            <w:r>
              <w:rPr>
                <w:rFonts w:hint="eastAsia"/>
                <w:kern w:val="0"/>
                <w:szCs w:val="21"/>
              </w:rPr>
              <w:t>有组织</w:t>
            </w:r>
          </w:p>
        </w:tc>
        <w:tc>
          <w:tcPr>
            <w:tcW w:w="162" w:type="pct"/>
            <w:vMerge w:val="restart"/>
            <w:vAlign w:val="center"/>
          </w:tcPr>
          <w:p w14:paraId="4AF29B60">
            <w:pPr>
              <w:widowControl/>
              <w:adjustRightInd w:val="0"/>
              <w:snapToGrid w:val="0"/>
              <w:ind w:left="-105" w:leftChars="-50" w:right="-105" w:rightChars="-50"/>
              <w:jc w:val="center"/>
              <w:rPr>
                <w:kern w:val="0"/>
                <w:szCs w:val="21"/>
              </w:rPr>
            </w:pPr>
            <w:r>
              <w:rPr>
                <w:rFonts w:hint="eastAsia"/>
                <w:kern w:val="0"/>
                <w:szCs w:val="21"/>
              </w:rPr>
              <w:t>主要排放口</w:t>
            </w:r>
          </w:p>
        </w:tc>
        <w:tc>
          <w:tcPr>
            <w:tcW w:w="276" w:type="pct"/>
            <w:vMerge w:val="restart"/>
            <w:vAlign w:val="center"/>
          </w:tcPr>
          <w:p w14:paraId="583F9501">
            <w:pPr>
              <w:widowControl/>
              <w:adjustRightInd w:val="0"/>
              <w:snapToGrid w:val="0"/>
              <w:ind w:left="-105" w:leftChars="-50" w:right="-105" w:rightChars="-50"/>
              <w:jc w:val="center"/>
              <w:rPr>
                <w:kern w:val="0"/>
                <w:szCs w:val="21"/>
              </w:rPr>
            </w:pPr>
            <w:r>
              <w:rPr>
                <w:rFonts w:hint="eastAsia"/>
                <w:kern w:val="0"/>
                <w:szCs w:val="21"/>
              </w:rPr>
              <w:t>DA001</w:t>
            </w:r>
          </w:p>
        </w:tc>
        <w:tc>
          <w:tcPr>
            <w:tcW w:w="129" w:type="pct"/>
            <w:vMerge w:val="restart"/>
            <w:vAlign w:val="center"/>
          </w:tcPr>
          <w:p w14:paraId="1A442D1E">
            <w:pPr>
              <w:widowControl/>
              <w:adjustRightInd w:val="0"/>
              <w:snapToGrid w:val="0"/>
              <w:ind w:left="-105" w:leftChars="-50" w:right="-105" w:rightChars="-50"/>
              <w:jc w:val="center"/>
              <w:rPr>
                <w:kern w:val="0"/>
                <w:szCs w:val="21"/>
              </w:rPr>
            </w:pPr>
            <w:r>
              <w:rPr>
                <w:rFonts w:hint="eastAsia"/>
                <w:kern w:val="0"/>
                <w:szCs w:val="21"/>
              </w:rPr>
              <w:t>45</w:t>
            </w:r>
          </w:p>
        </w:tc>
        <w:tc>
          <w:tcPr>
            <w:tcW w:w="140" w:type="pct"/>
            <w:vMerge w:val="restart"/>
            <w:vAlign w:val="center"/>
          </w:tcPr>
          <w:p w14:paraId="4483A500">
            <w:pPr>
              <w:widowControl/>
              <w:adjustRightInd w:val="0"/>
              <w:snapToGrid w:val="0"/>
              <w:ind w:left="-105" w:leftChars="-50" w:right="-105" w:rightChars="-50"/>
              <w:jc w:val="center"/>
              <w:rPr>
                <w:kern w:val="0"/>
                <w:szCs w:val="21"/>
              </w:rPr>
            </w:pPr>
            <w:r>
              <w:rPr>
                <w:rFonts w:hint="eastAsia"/>
                <w:kern w:val="0"/>
                <w:szCs w:val="21"/>
              </w:rPr>
              <w:t>1.6</w:t>
            </w:r>
          </w:p>
        </w:tc>
        <w:tc>
          <w:tcPr>
            <w:tcW w:w="611" w:type="pct"/>
            <w:vMerge w:val="restart"/>
            <w:vAlign w:val="center"/>
          </w:tcPr>
          <w:p w14:paraId="095DC752">
            <w:pPr>
              <w:widowControl/>
              <w:adjustRightInd w:val="0"/>
              <w:snapToGrid w:val="0"/>
              <w:ind w:left="-105" w:leftChars="-50" w:right="-105" w:rightChars="-50"/>
              <w:jc w:val="center"/>
              <w:rPr>
                <w:kern w:val="0"/>
                <w:szCs w:val="21"/>
              </w:rPr>
            </w:pPr>
            <w:r>
              <w:rPr>
                <w:rFonts w:hint="eastAsia"/>
                <w:bCs/>
                <w:szCs w:val="21"/>
              </w:rPr>
              <w:t>炉内SNCR+3套SCR+3套旋风除尘+袋式除尘+1套氧化镁湿法脱硫处理，烟气由1根45m高排气筒（DA001）排放</w:t>
            </w:r>
          </w:p>
        </w:tc>
        <w:tc>
          <w:tcPr>
            <w:tcW w:w="182" w:type="pct"/>
            <w:vAlign w:val="center"/>
          </w:tcPr>
          <w:p w14:paraId="6DB451DA">
            <w:pPr>
              <w:widowControl/>
              <w:adjustRightInd w:val="0"/>
              <w:snapToGrid w:val="0"/>
              <w:ind w:left="-105" w:leftChars="-50" w:right="-105" w:rightChars="-50"/>
              <w:jc w:val="center"/>
              <w:rPr>
                <w:kern w:val="0"/>
                <w:szCs w:val="21"/>
              </w:rPr>
            </w:pPr>
            <w:r>
              <w:rPr>
                <w:rFonts w:hint="eastAsia"/>
                <w:kern w:val="0"/>
                <w:szCs w:val="21"/>
              </w:rPr>
              <w:t>99</w:t>
            </w:r>
          </w:p>
        </w:tc>
        <w:tc>
          <w:tcPr>
            <w:tcW w:w="203" w:type="pct"/>
            <w:vAlign w:val="center"/>
          </w:tcPr>
          <w:p w14:paraId="39B519D2">
            <w:pPr>
              <w:widowControl/>
              <w:adjustRightInd w:val="0"/>
              <w:snapToGrid w:val="0"/>
              <w:ind w:left="-105" w:leftChars="-50" w:right="-105" w:rightChars="-50"/>
              <w:jc w:val="center"/>
              <w:rPr>
                <w:kern w:val="0"/>
                <w:szCs w:val="21"/>
              </w:rPr>
            </w:pPr>
            <w:r>
              <w:rPr>
                <w:kern w:val="0"/>
                <w:szCs w:val="21"/>
              </w:rPr>
              <w:t>是</w:t>
            </w:r>
          </w:p>
        </w:tc>
        <w:tc>
          <w:tcPr>
            <w:tcW w:w="260" w:type="pct"/>
            <w:vAlign w:val="center"/>
          </w:tcPr>
          <w:p w14:paraId="73AC706B">
            <w:pPr>
              <w:widowControl/>
              <w:adjustRightInd w:val="0"/>
              <w:snapToGrid w:val="0"/>
              <w:ind w:left="-105" w:leftChars="-50" w:right="-105" w:rightChars="-50"/>
              <w:jc w:val="center"/>
              <w:rPr>
                <w:kern w:val="0"/>
                <w:szCs w:val="21"/>
              </w:rPr>
            </w:pPr>
            <w:r>
              <w:rPr>
                <w:bCs/>
                <w:szCs w:val="21"/>
              </w:rPr>
              <w:t>2.946</w:t>
            </w:r>
          </w:p>
        </w:tc>
        <w:tc>
          <w:tcPr>
            <w:tcW w:w="279" w:type="pct"/>
            <w:vAlign w:val="center"/>
          </w:tcPr>
          <w:p w14:paraId="39619EA0">
            <w:pPr>
              <w:widowControl/>
              <w:adjustRightInd w:val="0"/>
              <w:snapToGrid w:val="0"/>
              <w:ind w:left="-105" w:leftChars="-50" w:right="-105" w:rightChars="-50"/>
              <w:jc w:val="center"/>
              <w:rPr>
                <w:kern w:val="0"/>
                <w:szCs w:val="21"/>
              </w:rPr>
            </w:pPr>
            <w:r>
              <w:rPr>
                <w:bCs/>
                <w:szCs w:val="21"/>
              </w:rPr>
              <w:t>0.88</w:t>
            </w:r>
          </w:p>
        </w:tc>
        <w:tc>
          <w:tcPr>
            <w:tcW w:w="260" w:type="pct"/>
            <w:vAlign w:val="center"/>
          </w:tcPr>
          <w:p w14:paraId="710F2D60">
            <w:pPr>
              <w:widowControl/>
              <w:adjustRightInd w:val="0"/>
              <w:snapToGrid w:val="0"/>
              <w:ind w:left="-105" w:leftChars="-50" w:right="-105" w:rightChars="-50"/>
              <w:jc w:val="center"/>
              <w:rPr>
                <w:kern w:val="0"/>
                <w:szCs w:val="21"/>
              </w:rPr>
            </w:pPr>
            <w:r>
              <w:rPr>
                <w:rFonts w:hint="eastAsia"/>
                <w:bCs/>
                <w:szCs w:val="21"/>
              </w:rPr>
              <w:t>10.1</w:t>
            </w:r>
            <w:r>
              <w:rPr>
                <w:bCs/>
                <w:szCs w:val="21"/>
              </w:rPr>
              <w:t>9</w:t>
            </w:r>
          </w:p>
        </w:tc>
        <w:tc>
          <w:tcPr>
            <w:tcW w:w="457" w:type="pct"/>
            <w:vMerge w:val="restart"/>
            <w:vAlign w:val="center"/>
          </w:tcPr>
          <w:p w14:paraId="6E4CA020">
            <w:pPr>
              <w:widowControl/>
              <w:adjustRightInd w:val="0"/>
              <w:snapToGrid w:val="0"/>
              <w:ind w:left="-105" w:leftChars="-50" w:right="-105" w:rightChars="-50"/>
              <w:jc w:val="center"/>
              <w:rPr>
                <w:kern w:val="0"/>
                <w:szCs w:val="21"/>
              </w:rPr>
            </w:pPr>
            <w:r>
              <w:rPr>
                <w:rFonts w:hint="eastAsia"/>
                <w:bCs/>
                <w:kern w:val="0"/>
                <w:szCs w:val="21"/>
              </w:rPr>
              <w:t>《锅炉大气污染物排放标准》（GB13271-2014）</w:t>
            </w:r>
          </w:p>
        </w:tc>
      </w:tr>
      <w:tr w14:paraId="76B3B5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 w:type="pct"/>
            <w:vMerge w:val="continue"/>
            <w:vAlign w:val="center"/>
          </w:tcPr>
          <w:p w14:paraId="51AB466F">
            <w:pPr>
              <w:widowControl/>
              <w:adjustRightInd w:val="0"/>
              <w:snapToGrid w:val="0"/>
              <w:ind w:left="-105" w:leftChars="-50" w:right="-105" w:rightChars="-50"/>
              <w:jc w:val="center"/>
              <w:rPr>
                <w:kern w:val="0"/>
                <w:szCs w:val="21"/>
              </w:rPr>
            </w:pPr>
          </w:p>
        </w:tc>
        <w:tc>
          <w:tcPr>
            <w:tcW w:w="182" w:type="pct"/>
            <w:vMerge w:val="continue"/>
            <w:vAlign w:val="center"/>
          </w:tcPr>
          <w:p w14:paraId="32B9E9A4">
            <w:pPr>
              <w:widowControl/>
              <w:adjustRightInd w:val="0"/>
              <w:snapToGrid w:val="0"/>
              <w:ind w:left="-105" w:leftChars="-50" w:right="-105" w:rightChars="-50"/>
              <w:jc w:val="center"/>
              <w:rPr>
                <w:kern w:val="0"/>
                <w:szCs w:val="21"/>
              </w:rPr>
            </w:pPr>
          </w:p>
        </w:tc>
        <w:tc>
          <w:tcPr>
            <w:tcW w:w="191" w:type="pct"/>
            <w:vMerge w:val="continue"/>
            <w:vAlign w:val="center"/>
          </w:tcPr>
          <w:p w14:paraId="2144FFD6">
            <w:pPr>
              <w:widowControl/>
              <w:adjustRightInd w:val="0"/>
              <w:snapToGrid w:val="0"/>
              <w:ind w:left="-105" w:leftChars="-50" w:right="-105" w:rightChars="-50"/>
              <w:jc w:val="center"/>
              <w:rPr>
                <w:kern w:val="0"/>
                <w:szCs w:val="21"/>
              </w:rPr>
            </w:pPr>
          </w:p>
        </w:tc>
        <w:tc>
          <w:tcPr>
            <w:tcW w:w="194" w:type="pct"/>
            <w:vMerge w:val="continue"/>
            <w:vAlign w:val="center"/>
          </w:tcPr>
          <w:p w14:paraId="6F17849D">
            <w:pPr>
              <w:widowControl/>
              <w:adjustRightInd w:val="0"/>
              <w:snapToGrid w:val="0"/>
              <w:ind w:left="-105" w:leftChars="-50" w:right="-105" w:rightChars="-50"/>
              <w:jc w:val="center"/>
              <w:rPr>
                <w:kern w:val="0"/>
                <w:szCs w:val="21"/>
              </w:rPr>
            </w:pPr>
          </w:p>
        </w:tc>
        <w:tc>
          <w:tcPr>
            <w:tcW w:w="194" w:type="pct"/>
            <w:vAlign w:val="center"/>
          </w:tcPr>
          <w:p w14:paraId="74476D00">
            <w:pPr>
              <w:widowControl/>
              <w:adjustRightInd w:val="0"/>
              <w:snapToGrid w:val="0"/>
              <w:ind w:left="-105" w:leftChars="-50" w:right="-105" w:rightChars="-50"/>
              <w:jc w:val="center"/>
              <w:rPr>
                <w:kern w:val="0"/>
                <w:szCs w:val="21"/>
              </w:rPr>
            </w:pPr>
            <w:r>
              <w:rPr>
                <w:szCs w:val="21"/>
              </w:rPr>
              <w:t>SO</w:t>
            </w:r>
            <w:r>
              <w:rPr>
                <w:szCs w:val="21"/>
                <w:vertAlign w:val="subscript"/>
              </w:rPr>
              <w:t>2</w:t>
            </w:r>
          </w:p>
        </w:tc>
        <w:tc>
          <w:tcPr>
            <w:tcW w:w="300" w:type="pct"/>
            <w:vAlign w:val="center"/>
          </w:tcPr>
          <w:p w14:paraId="732D7D7A">
            <w:pPr>
              <w:widowControl/>
              <w:adjustRightInd w:val="0"/>
              <w:snapToGrid w:val="0"/>
              <w:ind w:left="-105" w:leftChars="-50" w:right="-105" w:rightChars="-50"/>
              <w:jc w:val="center"/>
              <w:rPr>
                <w:kern w:val="0"/>
                <w:szCs w:val="21"/>
              </w:rPr>
            </w:pPr>
            <w:r>
              <w:rPr>
                <w:bCs/>
                <w:szCs w:val="21"/>
              </w:rPr>
              <w:t>82.043</w:t>
            </w:r>
          </w:p>
        </w:tc>
        <w:tc>
          <w:tcPr>
            <w:tcW w:w="257" w:type="pct"/>
            <w:vAlign w:val="center"/>
          </w:tcPr>
          <w:p w14:paraId="3333A17D">
            <w:pPr>
              <w:widowControl/>
              <w:adjustRightInd w:val="0"/>
              <w:snapToGrid w:val="0"/>
              <w:ind w:left="-105" w:leftChars="-50" w:right="-105" w:rightChars="-50"/>
              <w:jc w:val="center"/>
              <w:rPr>
                <w:kern w:val="0"/>
                <w:szCs w:val="21"/>
              </w:rPr>
            </w:pPr>
            <w:r>
              <w:rPr>
                <w:bCs/>
                <w:szCs w:val="21"/>
              </w:rPr>
              <w:t>24.42</w:t>
            </w:r>
          </w:p>
        </w:tc>
        <w:tc>
          <w:tcPr>
            <w:tcW w:w="340" w:type="pct"/>
            <w:vAlign w:val="center"/>
          </w:tcPr>
          <w:p w14:paraId="5EC70F1A">
            <w:pPr>
              <w:widowControl/>
              <w:adjustRightInd w:val="0"/>
              <w:snapToGrid w:val="0"/>
              <w:ind w:left="-105" w:leftChars="-50" w:right="-105" w:rightChars="-50"/>
              <w:jc w:val="center"/>
              <w:rPr>
                <w:kern w:val="0"/>
                <w:szCs w:val="21"/>
              </w:rPr>
            </w:pPr>
            <w:r>
              <w:rPr>
                <w:rFonts w:hint="eastAsia"/>
                <w:bCs/>
                <w:szCs w:val="21"/>
              </w:rPr>
              <w:t>283.77</w:t>
            </w:r>
          </w:p>
        </w:tc>
        <w:tc>
          <w:tcPr>
            <w:tcW w:w="120" w:type="pct"/>
            <w:vMerge w:val="continue"/>
            <w:vAlign w:val="center"/>
          </w:tcPr>
          <w:p w14:paraId="159B385B">
            <w:pPr>
              <w:widowControl/>
              <w:adjustRightInd w:val="0"/>
              <w:snapToGrid w:val="0"/>
              <w:ind w:left="-105" w:leftChars="-50" w:right="-105" w:rightChars="-50"/>
              <w:jc w:val="center"/>
              <w:rPr>
                <w:kern w:val="0"/>
                <w:szCs w:val="21"/>
              </w:rPr>
            </w:pPr>
          </w:p>
        </w:tc>
        <w:tc>
          <w:tcPr>
            <w:tcW w:w="162" w:type="pct"/>
            <w:vMerge w:val="continue"/>
            <w:vAlign w:val="center"/>
          </w:tcPr>
          <w:p w14:paraId="7ECDC1B6">
            <w:pPr>
              <w:widowControl/>
              <w:adjustRightInd w:val="0"/>
              <w:snapToGrid w:val="0"/>
              <w:ind w:left="-105" w:leftChars="-50" w:right="-105" w:rightChars="-50"/>
              <w:jc w:val="center"/>
              <w:rPr>
                <w:kern w:val="0"/>
                <w:szCs w:val="21"/>
              </w:rPr>
            </w:pPr>
          </w:p>
        </w:tc>
        <w:tc>
          <w:tcPr>
            <w:tcW w:w="276" w:type="pct"/>
            <w:vMerge w:val="continue"/>
            <w:vAlign w:val="center"/>
          </w:tcPr>
          <w:p w14:paraId="368D6E56">
            <w:pPr>
              <w:widowControl/>
              <w:adjustRightInd w:val="0"/>
              <w:snapToGrid w:val="0"/>
              <w:ind w:left="-105" w:leftChars="-50" w:right="-105" w:rightChars="-50"/>
              <w:jc w:val="center"/>
              <w:rPr>
                <w:kern w:val="0"/>
                <w:szCs w:val="21"/>
              </w:rPr>
            </w:pPr>
          </w:p>
        </w:tc>
        <w:tc>
          <w:tcPr>
            <w:tcW w:w="129" w:type="pct"/>
            <w:vMerge w:val="continue"/>
            <w:vAlign w:val="center"/>
          </w:tcPr>
          <w:p w14:paraId="6ACE9F99">
            <w:pPr>
              <w:widowControl/>
              <w:adjustRightInd w:val="0"/>
              <w:snapToGrid w:val="0"/>
              <w:ind w:left="-105" w:leftChars="-50" w:right="-105" w:rightChars="-50"/>
              <w:jc w:val="center"/>
              <w:rPr>
                <w:kern w:val="0"/>
                <w:szCs w:val="21"/>
              </w:rPr>
            </w:pPr>
          </w:p>
        </w:tc>
        <w:tc>
          <w:tcPr>
            <w:tcW w:w="140" w:type="pct"/>
            <w:vMerge w:val="continue"/>
            <w:vAlign w:val="center"/>
          </w:tcPr>
          <w:p w14:paraId="13CD9FEE">
            <w:pPr>
              <w:widowControl/>
              <w:adjustRightInd w:val="0"/>
              <w:snapToGrid w:val="0"/>
              <w:ind w:left="-105" w:leftChars="-50" w:right="-105" w:rightChars="-50"/>
              <w:jc w:val="center"/>
              <w:rPr>
                <w:kern w:val="0"/>
                <w:szCs w:val="21"/>
              </w:rPr>
            </w:pPr>
          </w:p>
        </w:tc>
        <w:tc>
          <w:tcPr>
            <w:tcW w:w="611" w:type="pct"/>
            <w:vMerge w:val="continue"/>
            <w:vAlign w:val="center"/>
          </w:tcPr>
          <w:p w14:paraId="527D1DF0">
            <w:pPr>
              <w:widowControl/>
              <w:adjustRightInd w:val="0"/>
              <w:snapToGrid w:val="0"/>
              <w:ind w:left="-105" w:leftChars="-50" w:right="-105" w:rightChars="-50"/>
              <w:jc w:val="center"/>
              <w:rPr>
                <w:bCs/>
                <w:szCs w:val="21"/>
              </w:rPr>
            </w:pPr>
          </w:p>
        </w:tc>
        <w:tc>
          <w:tcPr>
            <w:tcW w:w="182" w:type="pct"/>
            <w:vAlign w:val="center"/>
          </w:tcPr>
          <w:p w14:paraId="24F26E09">
            <w:pPr>
              <w:widowControl/>
              <w:adjustRightInd w:val="0"/>
              <w:snapToGrid w:val="0"/>
              <w:ind w:left="-105" w:leftChars="-50" w:right="-105" w:rightChars="-50"/>
              <w:jc w:val="center"/>
              <w:rPr>
                <w:kern w:val="0"/>
                <w:szCs w:val="21"/>
              </w:rPr>
            </w:pPr>
            <w:r>
              <w:rPr>
                <w:rFonts w:hint="eastAsia"/>
                <w:kern w:val="0"/>
                <w:szCs w:val="21"/>
              </w:rPr>
              <w:t>80</w:t>
            </w:r>
          </w:p>
        </w:tc>
        <w:tc>
          <w:tcPr>
            <w:tcW w:w="203" w:type="pct"/>
            <w:vAlign w:val="center"/>
          </w:tcPr>
          <w:p w14:paraId="03740DB0">
            <w:pPr>
              <w:widowControl/>
              <w:adjustRightInd w:val="0"/>
              <w:snapToGrid w:val="0"/>
              <w:ind w:left="-105" w:leftChars="-50" w:right="-105" w:rightChars="-50"/>
              <w:jc w:val="center"/>
              <w:rPr>
                <w:kern w:val="0"/>
                <w:szCs w:val="21"/>
              </w:rPr>
            </w:pPr>
            <w:r>
              <w:rPr>
                <w:rFonts w:hint="eastAsia"/>
                <w:kern w:val="0"/>
                <w:szCs w:val="21"/>
              </w:rPr>
              <w:t>是</w:t>
            </w:r>
          </w:p>
        </w:tc>
        <w:tc>
          <w:tcPr>
            <w:tcW w:w="260" w:type="pct"/>
            <w:vAlign w:val="center"/>
          </w:tcPr>
          <w:p w14:paraId="163DD82E">
            <w:pPr>
              <w:widowControl/>
              <w:adjustRightInd w:val="0"/>
              <w:snapToGrid w:val="0"/>
              <w:ind w:left="-105" w:leftChars="-50" w:right="-105" w:rightChars="-50"/>
              <w:jc w:val="center"/>
              <w:rPr>
                <w:kern w:val="0"/>
                <w:szCs w:val="21"/>
              </w:rPr>
            </w:pPr>
            <w:r>
              <w:rPr>
                <w:bCs/>
                <w:szCs w:val="21"/>
              </w:rPr>
              <w:t>16.409</w:t>
            </w:r>
          </w:p>
        </w:tc>
        <w:tc>
          <w:tcPr>
            <w:tcW w:w="279" w:type="pct"/>
            <w:vAlign w:val="center"/>
          </w:tcPr>
          <w:p w14:paraId="5D9B1BE0">
            <w:pPr>
              <w:widowControl/>
              <w:adjustRightInd w:val="0"/>
              <w:snapToGrid w:val="0"/>
              <w:ind w:left="-105" w:leftChars="-50" w:right="-105" w:rightChars="-50"/>
              <w:jc w:val="center"/>
              <w:rPr>
                <w:kern w:val="0"/>
                <w:szCs w:val="21"/>
              </w:rPr>
            </w:pPr>
            <w:r>
              <w:rPr>
                <w:bCs/>
                <w:szCs w:val="21"/>
              </w:rPr>
              <w:t>4.88</w:t>
            </w:r>
          </w:p>
        </w:tc>
        <w:tc>
          <w:tcPr>
            <w:tcW w:w="260" w:type="pct"/>
            <w:vAlign w:val="center"/>
          </w:tcPr>
          <w:p w14:paraId="22893EF0">
            <w:pPr>
              <w:widowControl/>
              <w:adjustRightInd w:val="0"/>
              <w:snapToGrid w:val="0"/>
              <w:ind w:left="-105" w:leftChars="-50" w:right="-105" w:rightChars="-50"/>
              <w:jc w:val="center"/>
              <w:rPr>
                <w:kern w:val="0"/>
                <w:szCs w:val="21"/>
              </w:rPr>
            </w:pPr>
            <w:r>
              <w:rPr>
                <w:bCs/>
                <w:szCs w:val="21"/>
              </w:rPr>
              <w:t>56.75</w:t>
            </w:r>
          </w:p>
        </w:tc>
        <w:tc>
          <w:tcPr>
            <w:tcW w:w="457" w:type="pct"/>
            <w:vMerge w:val="continue"/>
            <w:vAlign w:val="center"/>
          </w:tcPr>
          <w:p w14:paraId="06403982">
            <w:pPr>
              <w:widowControl/>
              <w:adjustRightInd w:val="0"/>
              <w:snapToGrid w:val="0"/>
              <w:ind w:left="-105" w:leftChars="-50" w:right="-105" w:rightChars="-50"/>
              <w:jc w:val="center"/>
              <w:rPr>
                <w:bCs/>
                <w:kern w:val="0"/>
                <w:szCs w:val="21"/>
              </w:rPr>
            </w:pPr>
          </w:p>
        </w:tc>
      </w:tr>
      <w:tr w14:paraId="41EC83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 w:type="pct"/>
            <w:vMerge w:val="continue"/>
            <w:vAlign w:val="center"/>
          </w:tcPr>
          <w:p w14:paraId="6734B158">
            <w:pPr>
              <w:widowControl/>
              <w:adjustRightInd w:val="0"/>
              <w:snapToGrid w:val="0"/>
              <w:ind w:left="-105" w:leftChars="-50" w:right="-105" w:rightChars="-50"/>
              <w:jc w:val="center"/>
              <w:rPr>
                <w:kern w:val="0"/>
                <w:szCs w:val="21"/>
              </w:rPr>
            </w:pPr>
          </w:p>
        </w:tc>
        <w:tc>
          <w:tcPr>
            <w:tcW w:w="182" w:type="pct"/>
            <w:vMerge w:val="continue"/>
            <w:vAlign w:val="center"/>
          </w:tcPr>
          <w:p w14:paraId="6B847B12">
            <w:pPr>
              <w:widowControl/>
              <w:adjustRightInd w:val="0"/>
              <w:snapToGrid w:val="0"/>
              <w:ind w:left="-105" w:leftChars="-50" w:right="-105" w:rightChars="-50"/>
              <w:jc w:val="center"/>
              <w:rPr>
                <w:kern w:val="0"/>
                <w:szCs w:val="21"/>
              </w:rPr>
            </w:pPr>
          </w:p>
        </w:tc>
        <w:tc>
          <w:tcPr>
            <w:tcW w:w="191" w:type="pct"/>
            <w:vMerge w:val="continue"/>
            <w:vAlign w:val="center"/>
          </w:tcPr>
          <w:p w14:paraId="54725647">
            <w:pPr>
              <w:widowControl/>
              <w:adjustRightInd w:val="0"/>
              <w:snapToGrid w:val="0"/>
              <w:ind w:left="-105" w:leftChars="-50" w:right="-105" w:rightChars="-50"/>
              <w:jc w:val="center"/>
              <w:rPr>
                <w:kern w:val="0"/>
                <w:szCs w:val="21"/>
              </w:rPr>
            </w:pPr>
          </w:p>
        </w:tc>
        <w:tc>
          <w:tcPr>
            <w:tcW w:w="194" w:type="pct"/>
            <w:vMerge w:val="continue"/>
            <w:vAlign w:val="center"/>
          </w:tcPr>
          <w:p w14:paraId="4164BBA2">
            <w:pPr>
              <w:widowControl/>
              <w:adjustRightInd w:val="0"/>
              <w:snapToGrid w:val="0"/>
              <w:ind w:left="-105" w:leftChars="-50" w:right="-105" w:rightChars="-50"/>
              <w:jc w:val="center"/>
              <w:rPr>
                <w:kern w:val="0"/>
                <w:szCs w:val="21"/>
              </w:rPr>
            </w:pPr>
          </w:p>
        </w:tc>
        <w:tc>
          <w:tcPr>
            <w:tcW w:w="194" w:type="pct"/>
            <w:vAlign w:val="center"/>
          </w:tcPr>
          <w:p w14:paraId="507F0786">
            <w:pPr>
              <w:widowControl/>
              <w:adjustRightInd w:val="0"/>
              <w:snapToGrid w:val="0"/>
              <w:ind w:left="-105" w:leftChars="-50" w:right="-105" w:rightChars="-50"/>
              <w:jc w:val="center"/>
              <w:rPr>
                <w:kern w:val="0"/>
                <w:szCs w:val="21"/>
              </w:rPr>
            </w:pPr>
            <w:r>
              <w:rPr>
                <w:szCs w:val="21"/>
              </w:rPr>
              <w:t>NO</w:t>
            </w:r>
            <w:r>
              <w:rPr>
                <w:szCs w:val="21"/>
                <w:vertAlign w:val="subscript"/>
              </w:rPr>
              <w:t>X</w:t>
            </w:r>
          </w:p>
        </w:tc>
        <w:tc>
          <w:tcPr>
            <w:tcW w:w="300" w:type="pct"/>
            <w:vAlign w:val="center"/>
          </w:tcPr>
          <w:p w14:paraId="34507912">
            <w:pPr>
              <w:widowControl/>
              <w:adjustRightInd w:val="0"/>
              <w:snapToGrid w:val="0"/>
              <w:ind w:left="-105" w:leftChars="-50" w:right="-105" w:rightChars="-50"/>
              <w:jc w:val="center"/>
              <w:rPr>
                <w:kern w:val="0"/>
                <w:szCs w:val="21"/>
              </w:rPr>
            </w:pPr>
            <w:r>
              <w:rPr>
                <w:bCs/>
                <w:szCs w:val="21"/>
              </w:rPr>
              <w:t>101.189</w:t>
            </w:r>
          </w:p>
        </w:tc>
        <w:tc>
          <w:tcPr>
            <w:tcW w:w="257" w:type="pct"/>
            <w:vAlign w:val="center"/>
          </w:tcPr>
          <w:p w14:paraId="0E4175C4">
            <w:pPr>
              <w:widowControl/>
              <w:adjustRightInd w:val="0"/>
              <w:snapToGrid w:val="0"/>
              <w:ind w:left="-105" w:leftChars="-50" w:right="-105" w:rightChars="-50"/>
              <w:jc w:val="center"/>
              <w:rPr>
                <w:kern w:val="0"/>
                <w:szCs w:val="21"/>
              </w:rPr>
            </w:pPr>
            <w:r>
              <w:rPr>
                <w:bCs/>
                <w:szCs w:val="21"/>
              </w:rPr>
              <w:t>30.11</w:t>
            </w:r>
          </w:p>
        </w:tc>
        <w:tc>
          <w:tcPr>
            <w:tcW w:w="340" w:type="pct"/>
            <w:vAlign w:val="center"/>
          </w:tcPr>
          <w:p w14:paraId="004FABF6">
            <w:pPr>
              <w:widowControl/>
              <w:adjustRightInd w:val="0"/>
              <w:snapToGrid w:val="0"/>
              <w:ind w:left="-105" w:leftChars="-50" w:right="-105" w:rightChars="-50"/>
              <w:jc w:val="center"/>
              <w:rPr>
                <w:kern w:val="0"/>
                <w:szCs w:val="21"/>
              </w:rPr>
            </w:pPr>
            <w:r>
              <w:rPr>
                <w:rFonts w:hint="eastAsia"/>
                <w:bCs/>
                <w:szCs w:val="21"/>
              </w:rPr>
              <w:t>350</w:t>
            </w:r>
          </w:p>
        </w:tc>
        <w:tc>
          <w:tcPr>
            <w:tcW w:w="120" w:type="pct"/>
            <w:vMerge w:val="continue"/>
            <w:vAlign w:val="center"/>
          </w:tcPr>
          <w:p w14:paraId="0B84A1FC">
            <w:pPr>
              <w:widowControl/>
              <w:adjustRightInd w:val="0"/>
              <w:snapToGrid w:val="0"/>
              <w:ind w:left="-105" w:leftChars="-50" w:right="-105" w:rightChars="-50"/>
              <w:jc w:val="center"/>
              <w:rPr>
                <w:kern w:val="0"/>
                <w:szCs w:val="21"/>
              </w:rPr>
            </w:pPr>
          </w:p>
        </w:tc>
        <w:tc>
          <w:tcPr>
            <w:tcW w:w="162" w:type="pct"/>
            <w:vMerge w:val="continue"/>
            <w:vAlign w:val="center"/>
          </w:tcPr>
          <w:p w14:paraId="7A46FB10">
            <w:pPr>
              <w:widowControl/>
              <w:adjustRightInd w:val="0"/>
              <w:snapToGrid w:val="0"/>
              <w:ind w:left="-105" w:leftChars="-50" w:right="-105" w:rightChars="-50"/>
              <w:jc w:val="center"/>
              <w:rPr>
                <w:kern w:val="0"/>
                <w:szCs w:val="21"/>
              </w:rPr>
            </w:pPr>
          </w:p>
        </w:tc>
        <w:tc>
          <w:tcPr>
            <w:tcW w:w="276" w:type="pct"/>
            <w:vMerge w:val="continue"/>
            <w:vAlign w:val="center"/>
          </w:tcPr>
          <w:p w14:paraId="101A9E13">
            <w:pPr>
              <w:widowControl/>
              <w:adjustRightInd w:val="0"/>
              <w:snapToGrid w:val="0"/>
              <w:ind w:left="-105" w:leftChars="-50" w:right="-105" w:rightChars="-50"/>
              <w:jc w:val="center"/>
              <w:rPr>
                <w:kern w:val="0"/>
                <w:szCs w:val="21"/>
              </w:rPr>
            </w:pPr>
          </w:p>
        </w:tc>
        <w:tc>
          <w:tcPr>
            <w:tcW w:w="129" w:type="pct"/>
            <w:vMerge w:val="continue"/>
            <w:vAlign w:val="center"/>
          </w:tcPr>
          <w:p w14:paraId="682F009D">
            <w:pPr>
              <w:widowControl/>
              <w:adjustRightInd w:val="0"/>
              <w:snapToGrid w:val="0"/>
              <w:ind w:left="-105" w:leftChars="-50" w:right="-105" w:rightChars="-50"/>
              <w:jc w:val="center"/>
              <w:rPr>
                <w:kern w:val="0"/>
                <w:szCs w:val="21"/>
              </w:rPr>
            </w:pPr>
          </w:p>
        </w:tc>
        <w:tc>
          <w:tcPr>
            <w:tcW w:w="140" w:type="pct"/>
            <w:vMerge w:val="continue"/>
            <w:vAlign w:val="center"/>
          </w:tcPr>
          <w:p w14:paraId="6E376C56">
            <w:pPr>
              <w:widowControl/>
              <w:adjustRightInd w:val="0"/>
              <w:snapToGrid w:val="0"/>
              <w:ind w:left="-105" w:leftChars="-50" w:right="-105" w:rightChars="-50"/>
              <w:jc w:val="center"/>
              <w:rPr>
                <w:kern w:val="0"/>
                <w:szCs w:val="21"/>
              </w:rPr>
            </w:pPr>
          </w:p>
        </w:tc>
        <w:tc>
          <w:tcPr>
            <w:tcW w:w="611" w:type="pct"/>
            <w:vMerge w:val="continue"/>
            <w:vAlign w:val="center"/>
          </w:tcPr>
          <w:p w14:paraId="5F440F42">
            <w:pPr>
              <w:widowControl/>
              <w:adjustRightInd w:val="0"/>
              <w:snapToGrid w:val="0"/>
              <w:ind w:left="-105" w:leftChars="-50" w:right="-105" w:rightChars="-50"/>
              <w:jc w:val="center"/>
              <w:rPr>
                <w:bCs/>
                <w:szCs w:val="21"/>
              </w:rPr>
            </w:pPr>
          </w:p>
        </w:tc>
        <w:tc>
          <w:tcPr>
            <w:tcW w:w="182" w:type="pct"/>
            <w:vAlign w:val="center"/>
          </w:tcPr>
          <w:p w14:paraId="510A4618">
            <w:pPr>
              <w:widowControl/>
              <w:adjustRightInd w:val="0"/>
              <w:snapToGrid w:val="0"/>
              <w:ind w:left="-105" w:leftChars="-50" w:right="-105" w:rightChars="-50"/>
              <w:jc w:val="center"/>
              <w:rPr>
                <w:kern w:val="0"/>
                <w:szCs w:val="21"/>
              </w:rPr>
            </w:pPr>
            <w:r>
              <w:rPr>
                <w:rFonts w:hint="eastAsia"/>
                <w:kern w:val="0"/>
                <w:szCs w:val="21"/>
              </w:rPr>
              <w:t>50</w:t>
            </w:r>
          </w:p>
        </w:tc>
        <w:tc>
          <w:tcPr>
            <w:tcW w:w="203" w:type="pct"/>
            <w:vAlign w:val="center"/>
          </w:tcPr>
          <w:p w14:paraId="122FEEDF">
            <w:pPr>
              <w:widowControl/>
              <w:adjustRightInd w:val="0"/>
              <w:snapToGrid w:val="0"/>
              <w:ind w:left="-105" w:leftChars="-50" w:right="-105" w:rightChars="-50"/>
              <w:jc w:val="center"/>
              <w:rPr>
                <w:kern w:val="0"/>
                <w:szCs w:val="21"/>
              </w:rPr>
            </w:pPr>
            <w:r>
              <w:rPr>
                <w:rFonts w:hint="eastAsia"/>
                <w:kern w:val="0"/>
                <w:szCs w:val="21"/>
              </w:rPr>
              <w:t>是</w:t>
            </w:r>
          </w:p>
        </w:tc>
        <w:tc>
          <w:tcPr>
            <w:tcW w:w="260" w:type="pct"/>
            <w:vAlign w:val="center"/>
          </w:tcPr>
          <w:p w14:paraId="53EBA6EB">
            <w:pPr>
              <w:widowControl/>
              <w:adjustRightInd w:val="0"/>
              <w:snapToGrid w:val="0"/>
              <w:ind w:left="-105" w:leftChars="-50" w:right="-105" w:rightChars="-50"/>
              <w:jc w:val="center"/>
              <w:rPr>
                <w:kern w:val="0"/>
                <w:szCs w:val="21"/>
              </w:rPr>
            </w:pPr>
            <w:r>
              <w:rPr>
                <w:rFonts w:hint="eastAsia"/>
                <w:bCs/>
                <w:szCs w:val="21"/>
              </w:rPr>
              <w:t>45.535</w:t>
            </w:r>
          </w:p>
        </w:tc>
        <w:tc>
          <w:tcPr>
            <w:tcW w:w="279" w:type="pct"/>
            <w:vAlign w:val="center"/>
          </w:tcPr>
          <w:p w14:paraId="126F7145">
            <w:pPr>
              <w:widowControl/>
              <w:adjustRightInd w:val="0"/>
              <w:snapToGrid w:val="0"/>
              <w:ind w:left="-105" w:leftChars="-50" w:right="-105" w:rightChars="-50"/>
              <w:jc w:val="center"/>
              <w:rPr>
                <w:kern w:val="0"/>
                <w:szCs w:val="21"/>
              </w:rPr>
            </w:pPr>
            <w:r>
              <w:rPr>
                <w:rFonts w:hint="eastAsia"/>
                <w:bCs/>
                <w:szCs w:val="21"/>
              </w:rPr>
              <w:t>13.55</w:t>
            </w:r>
          </w:p>
        </w:tc>
        <w:tc>
          <w:tcPr>
            <w:tcW w:w="260" w:type="pct"/>
            <w:vAlign w:val="center"/>
          </w:tcPr>
          <w:p w14:paraId="58592D1F">
            <w:pPr>
              <w:widowControl/>
              <w:adjustRightInd w:val="0"/>
              <w:snapToGrid w:val="0"/>
              <w:ind w:left="-105" w:leftChars="-50" w:right="-105" w:rightChars="-50"/>
              <w:jc w:val="center"/>
              <w:rPr>
                <w:kern w:val="0"/>
                <w:szCs w:val="21"/>
              </w:rPr>
            </w:pPr>
            <w:r>
              <w:rPr>
                <w:rFonts w:hint="eastAsia"/>
                <w:bCs/>
                <w:szCs w:val="21"/>
              </w:rPr>
              <w:t>157.5</w:t>
            </w:r>
          </w:p>
        </w:tc>
        <w:tc>
          <w:tcPr>
            <w:tcW w:w="457" w:type="pct"/>
            <w:vMerge w:val="continue"/>
            <w:vAlign w:val="center"/>
          </w:tcPr>
          <w:p w14:paraId="7024DBEB">
            <w:pPr>
              <w:widowControl/>
              <w:adjustRightInd w:val="0"/>
              <w:snapToGrid w:val="0"/>
              <w:ind w:left="-105" w:leftChars="-50" w:right="-105" w:rightChars="-50"/>
              <w:jc w:val="center"/>
              <w:rPr>
                <w:bCs/>
                <w:kern w:val="0"/>
                <w:szCs w:val="21"/>
              </w:rPr>
            </w:pPr>
          </w:p>
        </w:tc>
      </w:tr>
      <w:tr w14:paraId="2FABB7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 w:type="pct"/>
            <w:vMerge w:val="continue"/>
            <w:vAlign w:val="center"/>
          </w:tcPr>
          <w:p w14:paraId="4A8FFF5C">
            <w:pPr>
              <w:widowControl/>
              <w:adjustRightInd w:val="0"/>
              <w:snapToGrid w:val="0"/>
              <w:ind w:left="-105" w:leftChars="-50" w:right="-105" w:rightChars="-50"/>
              <w:jc w:val="center"/>
              <w:rPr>
                <w:kern w:val="0"/>
                <w:szCs w:val="21"/>
              </w:rPr>
            </w:pPr>
          </w:p>
        </w:tc>
        <w:tc>
          <w:tcPr>
            <w:tcW w:w="182" w:type="pct"/>
            <w:vMerge w:val="continue"/>
            <w:vAlign w:val="center"/>
          </w:tcPr>
          <w:p w14:paraId="11445776">
            <w:pPr>
              <w:widowControl/>
              <w:adjustRightInd w:val="0"/>
              <w:snapToGrid w:val="0"/>
              <w:ind w:left="-105" w:leftChars="-50" w:right="-105" w:rightChars="-50"/>
              <w:jc w:val="center"/>
              <w:rPr>
                <w:kern w:val="0"/>
                <w:szCs w:val="21"/>
              </w:rPr>
            </w:pPr>
          </w:p>
        </w:tc>
        <w:tc>
          <w:tcPr>
            <w:tcW w:w="191" w:type="pct"/>
            <w:vMerge w:val="continue"/>
            <w:vAlign w:val="center"/>
          </w:tcPr>
          <w:p w14:paraId="05DBFC5F">
            <w:pPr>
              <w:widowControl/>
              <w:adjustRightInd w:val="0"/>
              <w:snapToGrid w:val="0"/>
              <w:ind w:left="-105" w:leftChars="-50" w:right="-105" w:rightChars="-50"/>
              <w:jc w:val="center"/>
              <w:rPr>
                <w:kern w:val="0"/>
                <w:szCs w:val="21"/>
              </w:rPr>
            </w:pPr>
          </w:p>
        </w:tc>
        <w:tc>
          <w:tcPr>
            <w:tcW w:w="194" w:type="pct"/>
            <w:vMerge w:val="continue"/>
            <w:vAlign w:val="center"/>
          </w:tcPr>
          <w:p w14:paraId="636D8C52">
            <w:pPr>
              <w:widowControl/>
              <w:adjustRightInd w:val="0"/>
              <w:snapToGrid w:val="0"/>
              <w:ind w:left="-105" w:leftChars="-50" w:right="-105" w:rightChars="-50"/>
              <w:jc w:val="center"/>
              <w:rPr>
                <w:kern w:val="0"/>
                <w:szCs w:val="21"/>
              </w:rPr>
            </w:pPr>
          </w:p>
        </w:tc>
        <w:tc>
          <w:tcPr>
            <w:tcW w:w="194" w:type="pct"/>
            <w:vAlign w:val="center"/>
          </w:tcPr>
          <w:p w14:paraId="7CAD0E63">
            <w:pPr>
              <w:widowControl/>
              <w:adjustRightInd w:val="0"/>
              <w:snapToGrid w:val="0"/>
              <w:ind w:left="-105" w:leftChars="-50" w:right="-105" w:rightChars="-50"/>
              <w:jc w:val="center"/>
              <w:rPr>
                <w:szCs w:val="21"/>
              </w:rPr>
            </w:pPr>
            <w:r>
              <w:rPr>
                <w:rFonts w:hint="eastAsia"/>
                <w:szCs w:val="21"/>
              </w:rPr>
              <w:t>汞及其化合物</w:t>
            </w:r>
          </w:p>
        </w:tc>
        <w:tc>
          <w:tcPr>
            <w:tcW w:w="300" w:type="pct"/>
            <w:vAlign w:val="center"/>
          </w:tcPr>
          <w:p w14:paraId="160DDBB0">
            <w:pPr>
              <w:widowControl/>
              <w:adjustRightInd w:val="0"/>
              <w:snapToGrid w:val="0"/>
              <w:ind w:left="-105" w:leftChars="-50" w:right="-105" w:rightChars="-50"/>
              <w:jc w:val="center"/>
              <w:rPr>
                <w:bCs/>
                <w:szCs w:val="21"/>
              </w:rPr>
            </w:pPr>
            <w:r>
              <w:rPr>
                <w:rFonts w:hint="eastAsia"/>
                <w:bCs/>
                <w:szCs w:val="21"/>
              </w:rPr>
              <w:t>0.00</w:t>
            </w:r>
            <w:r>
              <w:rPr>
                <w:bCs/>
                <w:szCs w:val="21"/>
              </w:rPr>
              <w:t>6</w:t>
            </w:r>
          </w:p>
        </w:tc>
        <w:tc>
          <w:tcPr>
            <w:tcW w:w="257" w:type="pct"/>
            <w:vAlign w:val="center"/>
          </w:tcPr>
          <w:p w14:paraId="2CB19BD2">
            <w:pPr>
              <w:widowControl/>
              <w:adjustRightInd w:val="0"/>
              <w:snapToGrid w:val="0"/>
              <w:ind w:left="-105" w:leftChars="-50" w:right="-105" w:rightChars="-50"/>
              <w:jc w:val="center"/>
              <w:rPr>
                <w:bCs/>
                <w:szCs w:val="21"/>
              </w:rPr>
            </w:pPr>
            <w:r>
              <w:rPr>
                <w:rFonts w:hint="eastAsia"/>
                <w:bCs/>
                <w:szCs w:val="21"/>
              </w:rPr>
              <w:t>0.002</w:t>
            </w:r>
          </w:p>
        </w:tc>
        <w:tc>
          <w:tcPr>
            <w:tcW w:w="340" w:type="pct"/>
            <w:vAlign w:val="center"/>
          </w:tcPr>
          <w:p w14:paraId="34B39990">
            <w:pPr>
              <w:widowControl/>
              <w:adjustRightInd w:val="0"/>
              <w:snapToGrid w:val="0"/>
              <w:ind w:left="-105" w:leftChars="-50" w:right="-105" w:rightChars="-50"/>
              <w:jc w:val="center"/>
              <w:rPr>
                <w:bCs/>
                <w:szCs w:val="21"/>
              </w:rPr>
            </w:pPr>
            <w:r>
              <w:rPr>
                <w:rFonts w:hint="eastAsia"/>
                <w:bCs/>
                <w:szCs w:val="21"/>
              </w:rPr>
              <w:t>0.02</w:t>
            </w:r>
          </w:p>
        </w:tc>
        <w:tc>
          <w:tcPr>
            <w:tcW w:w="120" w:type="pct"/>
            <w:vMerge w:val="continue"/>
            <w:vAlign w:val="center"/>
          </w:tcPr>
          <w:p w14:paraId="6916EDB8">
            <w:pPr>
              <w:widowControl/>
              <w:adjustRightInd w:val="0"/>
              <w:snapToGrid w:val="0"/>
              <w:ind w:left="-105" w:leftChars="-50" w:right="-105" w:rightChars="-50"/>
              <w:jc w:val="center"/>
              <w:rPr>
                <w:kern w:val="0"/>
                <w:szCs w:val="21"/>
              </w:rPr>
            </w:pPr>
          </w:p>
        </w:tc>
        <w:tc>
          <w:tcPr>
            <w:tcW w:w="162" w:type="pct"/>
            <w:vMerge w:val="continue"/>
            <w:vAlign w:val="center"/>
          </w:tcPr>
          <w:p w14:paraId="2FAAA5D4">
            <w:pPr>
              <w:widowControl/>
              <w:adjustRightInd w:val="0"/>
              <w:snapToGrid w:val="0"/>
              <w:ind w:left="-105" w:leftChars="-50" w:right="-105" w:rightChars="-50"/>
              <w:jc w:val="center"/>
              <w:rPr>
                <w:kern w:val="0"/>
                <w:szCs w:val="21"/>
              </w:rPr>
            </w:pPr>
          </w:p>
        </w:tc>
        <w:tc>
          <w:tcPr>
            <w:tcW w:w="276" w:type="pct"/>
            <w:vMerge w:val="continue"/>
            <w:vAlign w:val="center"/>
          </w:tcPr>
          <w:p w14:paraId="40A884C4">
            <w:pPr>
              <w:widowControl/>
              <w:adjustRightInd w:val="0"/>
              <w:snapToGrid w:val="0"/>
              <w:ind w:left="-105" w:leftChars="-50" w:right="-105" w:rightChars="-50"/>
              <w:jc w:val="center"/>
              <w:rPr>
                <w:kern w:val="0"/>
                <w:szCs w:val="21"/>
              </w:rPr>
            </w:pPr>
          </w:p>
        </w:tc>
        <w:tc>
          <w:tcPr>
            <w:tcW w:w="129" w:type="pct"/>
            <w:vMerge w:val="continue"/>
            <w:vAlign w:val="center"/>
          </w:tcPr>
          <w:p w14:paraId="1BFA2960">
            <w:pPr>
              <w:widowControl/>
              <w:adjustRightInd w:val="0"/>
              <w:snapToGrid w:val="0"/>
              <w:ind w:left="-105" w:leftChars="-50" w:right="-105" w:rightChars="-50"/>
              <w:jc w:val="center"/>
              <w:rPr>
                <w:kern w:val="0"/>
                <w:szCs w:val="21"/>
              </w:rPr>
            </w:pPr>
          </w:p>
        </w:tc>
        <w:tc>
          <w:tcPr>
            <w:tcW w:w="140" w:type="pct"/>
            <w:vMerge w:val="continue"/>
            <w:vAlign w:val="center"/>
          </w:tcPr>
          <w:p w14:paraId="6711F701">
            <w:pPr>
              <w:widowControl/>
              <w:adjustRightInd w:val="0"/>
              <w:snapToGrid w:val="0"/>
              <w:ind w:left="-105" w:leftChars="-50" w:right="-105" w:rightChars="-50"/>
              <w:jc w:val="center"/>
              <w:rPr>
                <w:kern w:val="0"/>
                <w:szCs w:val="21"/>
              </w:rPr>
            </w:pPr>
          </w:p>
        </w:tc>
        <w:tc>
          <w:tcPr>
            <w:tcW w:w="611" w:type="pct"/>
            <w:vMerge w:val="continue"/>
            <w:vAlign w:val="center"/>
          </w:tcPr>
          <w:p w14:paraId="373DC4DE">
            <w:pPr>
              <w:widowControl/>
              <w:adjustRightInd w:val="0"/>
              <w:snapToGrid w:val="0"/>
              <w:ind w:left="-105" w:leftChars="-50" w:right="-105" w:rightChars="-50"/>
              <w:jc w:val="center"/>
              <w:rPr>
                <w:bCs/>
                <w:szCs w:val="21"/>
              </w:rPr>
            </w:pPr>
          </w:p>
        </w:tc>
        <w:tc>
          <w:tcPr>
            <w:tcW w:w="182" w:type="pct"/>
            <w:vAlign w:val="center"/>
          </w:tcPr>
          <w:p w14:paraId="57B65AE1">
            <w:pPr>
              <w:widowControl/>
              <w:adjustRightInd w:val="0"/>
              <w:snapToGrid w:val="0"/>
              <w:ind w:left="-105" w:leftChars="-50" w:right="-105" w:rightChars="-50"/>
              <w:jc w:val="center"/>
              <w:rPr>
                <w:kern w:val="0"/>
                <w:szCs w:val="21"/>
              </w:rPr>
            </w:pPr>
            <w:r>
              <w:rPr>
                <w:rFonts w:hint="eastAsia"/>
                <w:kern w:val="0"/>
                <w:szCs w:val="21"/>
              </w:rPr>
              <w:t>70</w:t>
            </w:r>
          </w:p>
        </w:tc>
        <w:tc>
          <w:tcPr>
            <w:tcW w:w="203" w:type="pct"/>
            <w:vAlign w:val="center"/>
          </w:tcPr>
          <w:p w14:paraId="09C9489A">
            <w:pPr>
              <w:widowControl/>
              <w:adjustRightInd w:val="0"/>
              <w:snapToGrid w:val="0"/>
              <w:ind w:left="-105" w:leftChars="-50" w:right="-105" w:rightChars="-50"/>
              <w:jc w:val="center"/>
              <w:rPr>
                <w:kern w:val="0"/>
                <w:szCs w:val="21"/>
              </w:rPr>
            </w:pPr>
            <w:r>
              <w:rPr>
                <w:rFonts w:hint="eastAsia"/>
                <w:kern w:val="0"/>
                <w:szCs w:val="21"/>
              </w:rPr>
              <w:t>是</w:t>
            </w:r>
          </w:p>
        </w:tc>
        <w:tc>
          <w:tcPr>
            <w:tcW w:w="260" w:type="pct"/>
            <w:vAlign w:val="center"/>
          </w:tcPr>
          <w:p w14:paraId="09F2EDC7">
            <w:pPr>
              <w:widowControl/>
              <w:adjustRightInd w:val="0"/>
              <w:snapToGrid w:val="0"/>
              <w:ind w:left="-105" w:leftChars="-50" w:right="-105" w:rightChars="-50"/>
              <w:jc w:val="center"/>
              <w:rPr>
                <w:bCs/>
                <w:szCs w:val="21"/>
              </w:rPr>
            </w:pPr>
            <w:r>
              <w:rPr>
                <w:rFonts w:hint="eastAsia"/>
                <w:bCs/>
                <w:szCs w:val="21"/>
              </w:rPr>
              <w:t>0.002</w:t>
            </w:r>
          </w:p>
        </w:tc>
        <w:tc>
          <w:tcPr>
            <w:tcW w:w="279" w:type="pct"/>
            <w:vAlign w:val="center"/>
          </w:tcPr>
          <w:p w14:paraId="479896C0">
            <w:pPr>
              <w:widowControl/>
              <w:adjustRightInd w:val="0"/>
              <w:snapToGrid w:val="0"/>
              <w:ind w:left="-105" w:leftChars="-50" w:right="-105" w:rightChars="-50"/>
              <w:jc w:val="center"/>
              <w:rPr>
                <w:bCs/>
                <w:szCs w:val="21"/>
              </w:rPr>
            </w:pPr>
            <w:r>
              <w:rPr>
                <w:rFonts w:hint="eastAsia"/>
                <w:bCs/>
                <w:szCs w:val="21"/>
              </w:rPr>
              <w:t>0.001</w:t>
            </w:r>
          </w:p>
        </w:tc>
        <w:tc>
          <w:tcPr>
            <w:tcW w:w="260" w:type="pct"/>
            <w:vAlign w:val="center"/>
          </w:tcPr>
          <w:p w14:paraId="43DC2B14">
            <w:pPr>
              <w:widowControl/>
              <w:adjustRightInd w:val="0"/>
              <w:snapToGrid w:val="0"/>
              <w:ind w:left="-105" w:leftChars="-50" w:right="-105" w:rightChars="-50"/>
              <w:jc w:val="center"/>
              <w:rPr>
                <w:bCs/>
                <w:szCs w:val="21"/>
              </w:rPr>
            </w:pPr>
            <w:r>
              <w:rPr>
                <w:rFonts w:hint="eastAsia"/>
                <w:bCs/>
                <w:szCs w:val="21"/>
              </w:rPr>
              <w:t>0.006</w:t>
            </w:r>
          </w:p>
        </w:tc>
        <w:tc>
          <w:tcPr>
            <w:tcW w:w="457" w:type="pct"/>
            <w:vMerge w:val="continue"/>
            <w:vAlign w:val="center"/>
          </w:tcPr>
          <w:p w14:paraId="706D643F">
            <w:pPr>
              <w:widowControl/>
              <w:adjustRightInd w:val="0"/>
              <w:snapToGrid w:val="0"/>
              <w:ind w:left="-105" w:leftChars="-50" w:right="-105" w:rightChars="-50"/>
              <w:jc w:val="center"/>
              <w:rPr>
                <w:bCs/>
                <w:kern w:val="0"/>
                <w:szCs w:val="21"/>
              </w:rPr>
            </w:pPr>
          </w:p>
        </w:tc>
      </w:tr>
      <w:tr w14:paraId="71F481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 w:type="pct"/>
            <w:vMerge w:val="restart"/>
            <w:vAlign w:val="center"/>
          </w:tcPr>
          <w:p w14:paraId="6216C89A">
            <w:pPr>
              <w:widowControl/>
              <w:adjustRightInd w:val="0"/>
              <w:snapToGrid w:val="0"/>
              <w:ind w:left="-105" w:leftChars="-50" w:right="-105" w:rightChars="-50"/>
              <w:jc w:val="center"/>
              <w:rPr>
                <w:kern w:val="0"/>
                <w:szCs w:val="21"/>
              </w:rPr>
            </w:pPr>
            <w:r>
              <w:rPr>
                <w:rFonts w:hint="eastAsia"/>
                <w:kern w:val="0"/>
                <w:szCs w:val="21"/>
              </w:rPr>
              <w:t>G1</w:t>
            </w:r>
          </w:p>
        </w:tc>
        <w:tc>
          <w:tcPr>
            <w:tcW w:w="182" w:type="pct"/>
            <w:vMerge w:val="restart"/>
            <w:vAlign w:val="center"/>
          </w:tcPr>
          <w:p w14:paraId="1F1A9423">
            <w:pPr>
              <w:widowControl/>
              <w:adjustRightInd w:val="0"/>
              <w:snapToGrid w:val="0"/>
              <w:ind w:left="-105" w:leftChars="-50" w:right="-105" w:rightChars="-50"/>
              <w:jc w:val="center"/>
              <w:rPr>
                <w:kern w:val="0"/>
                <w:szCs w:val="21"/>
              </w:rPr>
            </w:pPr>
            <w:r>
              <w:rPr>
                <w:rFonts w:hint="eastAsia"/>
                <w:kern w:val="0"/>
                <w:szCs w:val="21"/>
              </w:rPr>
              <w:t>燃煤蒸汽锅炉（非采暖期）</w:t>
            </w:r>
          </w:p>
        </w:tc>
        <w:tc>
          <w:tcPr>
            <w:tcW w:w="191" w:type="pct"/>
            <w:vMerge w:val="restart"/>
            <w:vAlign w:val="center"/>
          </w:tcPr>
          <w:p w14:paraId="59B1D489">
            <w:pPr>
              <w:widowControl/>
              <w:adjustRightInd w:val="0"/>
              <w:snapToGrid w:val="0"/>
              <w:ind w:left="-105" w:leftChars="-50" w:right="-105" w:rightChars="-50"/>
              <w:jc w:val="center"/>
              <w:rPr>
                <w:kern w:val="0"/>
                <w:szCs w:val="21"/>
              </w:rPr>
            </w:pPr>
            <w:r>
              <w:rPr>
                <w:rFonts w:hint="eastAsia"/>
                <w:kern w:val="0"/>
                <w:szCs w:val="21"/>
              </w:rPr>
              <w:t>锅炉燃烧</w:t>
            </w:r>
          </w:p>
        </w:tc>
        <w:tc>
          <w:tcPr>
            <w:tcW w:w="194" w:type="pct"/>
            <w:vMerge w:val="restart"/>
            <w:vAlign w:val="center"/>
          </w:tcPr>
          <w:p w14:paraId="16337319">
            <w:pPr>
              <w:widowControl/>
              <w:adjustRightInd w:val="0"/>
              <w:snapToGrid w:val="0"/>
              <w:ind w:left="-105" w:leftChars="-50" w:right="-105" w:rightChars="-50"/>
              <w:jc w:val="center"/>
              <w:rPr>
                <w:kern w:val="0"/>
                <w:szCs w:val="21"/>
              </w:rPr>
            </w:pPr>
            <w:r>
              <w:rPr>
                <w:rFonts w:hint="eastAsia"/>
                <w:kern w:val="0"/>
                <w:szCs w:val="21"/>
              </w:rPr>
              <w:t>锅炉燃烧烟气</w:t>
            </w:r>
          </w:p>
        </w:tc>
        <w:tc>
          <w:tcPr>
            <w:tcW w:w="194" w:type="pct"/>
            <w:vAlign w:val="center"/>
          </w:tcPr>
          <w:p w14:paraId="4ED34C11">
            <w:pPr>
              <w:widowControl/>
              <w:adjustRightInd w:val="0"/>
              <w:snapToGrid w:val="0"/>
              <w:ind w:left="-105" w:leftChars="-50" w:right="-105" w:rightChars="-50"/>
              <w:jc w:val="center"/>
              <w:rPr>
                <w:szCs w:val="21"/>
              </w:rPr>
            </w:pPr>
            <w:r>
              <w:rPr>
                <w:kern w:val="0"/>
                <w:szCs w:val="21"/>
              </w:rPr>
              <w:t>颗粒物</w:t>
            </w:r>
          </w:p>
        </w:tc>
        <w:tc>
          <w:tcPr>
            <w:tcW w:w="300" w:type="pct"/>
            <w:vAlign w:val="center"/>
          </w:tcPr>
          <w:p w14:paraId="1B19F4AE">
            <w:pPr>
              <w:widowControl/>
              <w:adjustRightInd w:val="0"/>
              <w:snapToGrid w:val="0"/>
              <w:ind w:left="-105" w:leftChars="-50" w:right="-105" w:rightChars="-50"/>
              <w:jc w:val="center"/>
              <w:rPr>
                <w:bCs/>
                <w:szCs w:val="21"/>
              </w:rPr>
            </w:pPr>
            <w:r>
              <w:rPr>
                <w:bCs/>
                <w:szCs w:val="21"/>
              </w:rPr>
              <w:t>98.184</w:t>
            </w:r>
          </w:p>
        </w:tc>
        <w:tc>
          <w:tcPr>
            <w:tcW w:w="257" w:type="pct"/>
            <w:vAlign w:val="center"/>
          </w:tcPr>
          <w:p w14:paraId="4DCC7C25">
            <w:pPr>
              <w:widowControl/>
              <w:adjustRightInd w:val="0"/>
              <w:snapToGrid w:val="0"/>
              <w:ind w:left="-105" w:leftChars="-50" w:right="-105" w:rightChars="-50"/>
              <w:jc w:val="center"/>
              <w:rPr>
                <w:bCs/>
                <w:szCs w:val="21"/>
              </w:rPr>
            </w:pPr>
            <w:r>
              <w:rPr>
                <w:bCs/>
                <w:szCs w:val="21"/>
              </w:rPr>
              <w:t>24.92</w:t>
            </w:r>
          </w:p>
        </w:tc>
        <w:tc>
          <w:tcPr>
            <w:tcW w:w="340" w:type="pct"/>
            <w:vAlign w:val="center"/>
          </w:tcPr>
          <w:p w14:paraId="38C3757A">
            <w:pPr>
              <w:widowControl/>
              <w:adjustRightInd w:val="0"/>
              <w:snapToGrid w:val="0"/>
              <w:ind w:left="-105" w:leftChars="-50" w:right="-105" w:rightChars="-50"/>
              <w:jc w:val="center"/>
              <w:rPr>
                <w:bCs/>
                <w:szCs w:val="21"/>
              </w:rPr>
            </w:pPr>
            <w:r>
              <w:rPr>
                <w:rFonts w:hint="eastAsia"/>
                <w:bCs/>
                <w:szCs w:val="21"/>
              </w:rPr>
              <w:t>1018.81</w:t>
            </w:r>
          </w:p>
        </w:tc>
        <w:tc>
          <w:tcPr>
            <w:tcW w:w="120" w:type="pct"/>
            <w:vMerge w:val="restart"/>
            <w:vAlign w:val="center"/>
          </w:tcPr>
          <w:p w14:paraId="3D7EA196">
            <w:pPr>
              <w:widowControl/>
              <w:adjustRightInd w:val="0"/>
              <w:snapToGrid w:val="0"/>
              <w:ind w:left="-105" w:leftChars="-50" w:right="-105" w:rightChars="-50"/>
              <w:jc w:val="center"/>
              <w:rPr>
                <w:kern w:val="0"/>
                <w:szCs w:val="21"/>
              </w:rPr>
            </w:pPr>
            <w:r>
              <w:rPr>
                <w:rFonts w:hint="eastAsia"/>
                <w:kern w:val="0"/>
                <w:szCs w:val="21"/>
              </w:rPr>
              <w:t>有组织</w:t>
            </w:r>
          </w:p>
        </w:tc>
        <w:tc>
          <w:tcPr>
            <w:tcW w:w="162" w:type="pct"/>
            <w:vMerge w:val="restart"/>
            <w:vAlign w:val="center"/>
          </w:tcPr>
          <w:p w14:paraId="3E09D048">
            <w:pPr>
              <w:widowControl/>
              <w:adjustRightInd w:val="0"/>
              <w:snapToGrid w:val="0"/>
              <w:ind w:left="-105" w:leftChars="-50" w:right="-105" w:rightChars="-50"/>
              <w:jc w:val="center"/>
              <w:rPr>
                <w:kern w:val="0"/>
                <w:szCs w:val="21"/>
              </w:rPr>
            </w:pPr>
            <w:r>
              <w:rPr>
                <w:rFonts w:hint="eastAsia"/>
                <w:kern w:val="0"/>
                <w:szCs w:val="21"/>
              </w:rPr>
              <w:t>主要排放口</w:t>
            </w:r>
          </w:p>
        </w:tc>
        <w:tc>
          <w:tcPr>
            <w:tcW w:w="276" w:type="pct"/>
            <w:vMerge w:val="restart"/>
            <w:vAlign w:val="center"/>
          </w:tcPr>
          <w:p w14:paraId="19883D5D">
            <w:pPr>
              <w:widowControl/>
              <w:adjustRightInd w:val="0"/>
              <w:snapToGrid w:val="0"/>
              <w:ind w:left="-105" w:leftChars="-50" w:right="-105" w:rightChars="-50"/>
              <w:jc w:val="center"/>
              <w:rPr>
                <w:kern w:val="0"/>
                <w:szCs w:val="21"/>
              </w:rPr>
            </w:pPr>
            <w:r>
              <w:rPr>
                <w:rFonts w:hint="eastAsia"/>
                <w:kern w:val="0"/>
                <w:szCs w:val="21"/>
              </w:rPr>
              <w:t>DA001</w:t>
            </w:r>
          </w:p>
        </w:tc>
        <w:tc>
          <w:tcPr>
            <w:tcW w:w="129" w:type="pct"/>
            <w:vMerge w:val="restart"/>
            <w:vAlign w:val="center"/>
          </w:tcPr>
          <w:p w14:paraId="1AA6DF25">
            <w:pPr>
              <w:widowControl/>
              <w:adjustRightInd w:val="0"/>
              <w:snapToGrid w:val="0"/>
              <w:ind w:left="-105" w:leftChars="-50" w:right="-105" w:rightChars="-50"/>
              <w:jc w:val="center"/>
              <w:rPr>
                <w:kern w:val="0"/>
                <w:szCs w:val="21"/>
              </w:rPr>
            </w:pPr>
            <w:r>
              <w:rPr>
                <w:rFonts w:hint="eastAsia"/>
                <w:kern w:val="0"/>
                <w:szCs w:val="21"/>
              </w:rPr>
              <w:t>45</w:t>
            </w:r>
          </w:p>
        </w:tc>
        <w:tc>
          <w:tcPr>
            <w:tcW w:w="140" w:type="pct"/>
            <w:vMerge w:val="restart"/>
            <w:vAlign w:val="center"/>
          </w:tcPr>
          <w:p w14:paraId="0ECB576D">
            <w:pPr>
              <w:widowControl/>
              <w:adjustRightInd w:val="0"/>
              <w:snapToGrid w:val="0"/>
              <w:ind w:left="-105" w:leftChars="-50" w:right="-105" w:rightChars="-50"/>
              <w:jc w:val="center"/>
              <w:rPr>
                <w:kern w:val="0"/>
                <w:szCs w:val="21"/>
              </w:rPr>
            </w:pPr>
            <w:r>
              <w:rPr>
                <w:rFonts w:hint="eastAsia"/>
                <w:kern w:val="0"/>
                <w:szCs w:val="21"/>
              </w:rPr>
              <w:t>1.6</w:t>
            </w:r>
          </w:p>
        </w:tc>
        <w:tc>
          <w:tcPr>
            <w:tcW w:w="611" w:type="pct"/>
            <w:vMerge w:val="restart"/>
            <w:vAlign w:val="center"/>
          </w:tcPr>
          <w:p w14:paraId="29E5A0EE">
            <w:pPr>
              <w:widowControl/>
              <w:adjustRightInd w:val="0"/>
              <w:snapToGrid w:val="0"/>
              <w:ind w:left="-105" w:leftChars="-50" w:right="-105" w:rightChars="-50"/>
              <w:jc w:val="center"/>
              <w:rPr>
                <w:bCs/>
                <w:szCs w:val="21"/>
              </w:rPr>
            </w:pPr>
            <w:r>
              <w:rPr>
                <w:rFonts w:hint="eastAsia"/>
                <w:bCs/>
                <w:szCs w:val="21"/>
              </w:rPr>
              <w:t>炉内SNCR+3套SCR+3套旋风除尘+袋式除尘+1套氧化镁湿法脱硫处理，烟气由1根45m高排气筒（DA001）排放</w:t>
            </w:r>
          </w:p>
        </w:tc>
        <w:tc>
          <w:tcPr>
            <w:tcW w:w="182" w:type="pct"/>
            <w:vAlign w:val="center"/>
          </w:tcPr>
          <w:p w14:paraId="695B8401">
            <w:pPr>
              <w:widowControl/>
              <w:adjustRightInd w:val="0"/>
              <w:snapToGrid w:val="0"/>
              <w:ind w:left="-105" w:leftChars="-50" w:right="-105" w:rightChars="-50"/>
              <w:jc w:val="center"/>
              <w:rPr>
                <w:kern w:val="0"/>
                <w:szCs w:val="21"/>
              </w:rPr>
            </w:pPr>
            <w:r>
              <w:rPr>
                <w:rFonts w:hint="eastAsia"/>
                <w:kern w:val="0"/>
                <w:szCs w:val="21"/>
              </w:rPr>
              <w:t>99</w:t>
            </w:r>
          </w:p>
        </w:tc>
        <w:tc>
          <w:tcPr>
            <w:tcW w:w="203" w:type="pct"/>
            <w:vAlign w:val="center"/>
          </w:tcPr>
          <w:p w14:paraId="76E40762">
            <w:pPr>
              <w:widowControl/>
              <w:adjustRightInd w:val="0"/>
              <w:snapToGrid w:val="0"/>
              <w:ind w:left="-105" w:leftChars="-50" w:right="-105" w:rightChars="-50"/>
              <w:jc w:val="center"/>
              <w:rPr>
                <w:kern w:val="0"/>
                <w:szCs w:val="21"/>
              </w:rPr>
            </w:pPr>
            <w:r>
              <w:rPr>
                <w:kern w:val="0"/>
                <w:szCs w:val="21"/>
              </w:rPr>
              <w:t>是</w:t>
            </w:r>
          </w:p>
        </w:tc>
        <w:tc>
          <w:tcPr>
            <w:tcW w:w="260" w:type="pct"/>
            <w:vAlign w:val="center"/>
          </w:tcPr>
          <w:p w14:paraId="24FC1F75">
            <w:pPr>
              <w:widowControl/>
              <w:adjustRightInd w:val="0"/>
              <w:snapToGrid w:val="0"/>
              <w:ind w:left="-105" w:leftChars="-50" w:right="-105" w:rightChars="-50"/>
              <w:jc w:val="center"/>
              <w:rPr>
                <w:bCs/>
                <w:szCs w:val="21"/>
              </w:rPr>
            </w:pPr>
            <w:r>
              <w:rPr>
                <w:bCs/>
                <w:szCs w:val="21"/>
              </w:rPr>
              <w:t>0.982</w:t>
            </w:r>
          </w:p>
        </w:tc>
        <w:tc>
          <w:tcPr>
            <w:tcW w:w="279" w:type="pct"/>
            <w:vAlign w:val="center"/>
          </w:tcPr>
          <w:p w14:paraId="774F91DC">
            <w:pPr>
              <w:widowControl/>
              <w:adjustRightInd w:val="0"/>
              <w:snapToGrid w:val="0"/>
              <w:ind w:left="-105" w:leftChars="-50" w:right="-105" w:rightChars="-50"/>
              <w:jc w:val="center"/>
              <w:rPr>
                <w:bCs/>
                <w:szCs w:val="21"/>
              </w:rPr>
            </w:pPr>
            <w:r>
              <w:rPr>
                <w:bCs/>
                <w:szCs w:val="21"/>
              </w:rPr>
              <w:t>0.29</w:t>
            </w:r>
          </w:p>
        </w:tc>
        <w:tc>
          <w:tcPr>
            <w:tcW w:w="260" w:type="pct"/>
            <w:vAlign w:val="center"/>
          </w:tcPr>
          <w:p w14:paraId="429B9444">
            <w:pPr>
              <w:widowControl/>
              <w:adjustRightInd w:val="0"/>
              <w:snapToGrid w:val="0"/>
              <w:ind w:left="-105" w:leftChars="-50" w:right="-105" w:rightChars="-50"/>
              <w:jc w:val="center"/>
              <w:rPr>
                <w:bCs/>
                <w:szCs w:val="21"/>
              </w:rPr>
            </w:pPr>
            <w:r>
              <w:rPr>
                <w:bCs/>
                <w:szCs w:val="21"/>
              </w:rPr>
              <w:t>11.95</w:t>
            </w:r>
          </w:p>
        </w:tc>
        <w:tc>
          <w:tcPr>
            <w:tcW w:w="457" w:type="pct"/>
            <w:vMerge w:val="restart"/>
            <w:vAlign w:val="center"/>
          </w:tcPr>
          <w:p w14:paraId="6593CB8B">
            <w:pPr>
              <w:widowControl/>
              <w:adjustRightInd w:val="0"/>
              <w:snapToGrid w:val="0"/>
              <w:ind w:left="-105" w:leftChars="-50" w:right="-105" w:rightChars="-50"/>
              <w:jc w:val="center"/>
              <w:rPr>
                <w:bCs/>
                <w:kern w:val="0"/>
                <w:szCs w:val="21"/>
              </w:rPr>
            </w:pPr>
            <w:r>
              <w:rPr>
                <w:rFonts w:hint="eastAsia"/>
                <w:bCs/>
                <w:kern w:val="0"/>
                <w:szCs w:val="21"/>
              </w:rPr>
              <w:t>《锅炉大气污染物排放标准》（GB13271-2014）</w:t>
            </w:r>
          </w:p>
        </w:tc>
      </w:tr>
      <w:tr w14:paraId="4D3177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 w:type="pct"/>
            <w:vMerge w:val="continue"/>
            <w:vAlign w:val="center"/>
          </w:tcPr>
          <w:p w14:paraId="59893527">
            <w:pPr>
              <w:widowControl/>
              <w:adjustRightInd w:val="0"/>
              <w:snapToGrid w:val="0"/>
              <w:ind w:left="-105" w:leftChars="-50" w:right="-105" w:rightChars="-50"/>
              <w:jc w:val="center"/>
              <w:rPr>
                <w:kern w:val="0"/>
                <w:szCs w:val="21"/>
              </w:rPr>
            </w:pPr>
          </w:p>
        </w:tc>
        <w:tc>
          <w:tcPr>
            <w:tcW w:w="182" w:type="pct"/>
            <w:vMerge w:val="continue"/>
            <w:vAlign w:val="center"/>
          </w:tcPr>
          <w:p w14:paraId="7FC90C7B">
            <w:pPr>
              <w:widowControl/>
              <w:adjustRightInd w:val="0"/>
              <w:snapToGrid w:val="0"/>
              <w:ind w:left="-105" w:leftChars="-50" w:right="-105" w:rightChars="-50"/>
              <w:jc w:val="center"/>
              <w:rPr>
                <w:kern w:val="0"/>
                <w:szCs w:val="21"/>
              </w:rPr>
            </w:pPr>
          </w:p>
        </w:tc>
        <w:tc>
          <w:tcPr>
            <w:tcW w:w="191" w:type="pct"/>
            <w:vMerge w:val="continue"/>
            <w:vAlign w:val="center"/>
          </w:tcPr>
          <w:p w14:paraId="5EF0B96D">
            <w:pPr>
              <w:widowControl/>
              <w:adjustRightInd w:val="0"/>
              <w:snapToGrid w:val="0"/>
              <w:ind w:left="-105" w:leftChars="-50" w:right="-105" w:rightChars="-50"/>
              <w:jc w:val="center"/>
              <w:rPr>
                <w:kern w:val="0"/>
                <w:szCs w:val="21"/>
              </w:rPr>
            </w:pPr>
          </w:p>
        </w:tc>
        <w:tc>
          <w:tcPr>
            <w:tcW w:w="194" w:type="pct"/>
            <w:vMerge w:val="continue"/>
            <w:vAlign w:val="center"/>
          </w:tcPr>
          <w:p w14:paraId="5406766B">
            <w:pPr>
              <w:widowControl/>
              <w:adjustRightInd w:val="0"/>
              <w:snapToGrid w:val="0"/>
              <w:ind w:left="-105" w:leftChars="-50" w:right="-105" w:rightChars="-50"/>
              <w:jc w:val="center"/>
              <w:rPr>
                <w:kern w:val="0"/>
                <w:szCs w:val="21"/>
              </w:rPr>
            </w:pPr>
          </w:p>
        </w:tc>
        <w:tc>
          <w:tcPr>
            <w:tcW w:w="194" w:type="pct"/>
            <w:vAlign w:val="center"/>
          </w:tcPr>
          <w:p w14:paraId="16F9CF53">
            <w:pPr>
              <w:widowControl/>
              <w:adjustRightInd w:val="0"/>
              <w:snapToGrid w:val="0"/>
              <w:ind w:left="-105" w:leftChars="-50" w:right="-105" w:rightChars="-50"/>
              <w:jc w:val="center"/>
              <w:rPr>
                <w:szCs w:val="21"/>
              </w:rPr>
            </w:pPr>
            <w:r>
              <w:rPr>
                <w:szCs w:val="21"/>
              </w:rPr>
              <w:t>SO</w:t>
            </w:r>
            <w:r>
              <w:rPr>
                <w:szCs w:val="21"/>
                <w:vertAlign w:val="subscript"/>
              </w:rPr>
              <w:t>2</w:t>
            </w:r>
          </w:p>
        </w:tc>
        <w:tc>
          <w:tcPr>
            <w:tcW w:w="300" w:type="pct"/>
            <w:vAlign w:val="center"/>
          </w:tcPr>
          <w:p w14:paraId="08935E93">
            <w:pPr>
              <w:widowControl/>
              <w:adjustRightInd w:val="0"/>
              <w:snapToGrid w:val="0"/>
              <w:ind w:left="-105" w:leftChars="-50" w:right="-105" w:rightChars="-50"/>
              <w:jc w:val="center"/>
              <w:rPr>
                <w:bCs/>
                <w:szCs w:val="21"/>
              </w:rPr>
            </w:pPr>
            <w:r>
              <w:rPr>
                <w:bCs/>
                <w:szCs w:val="21"/>
              </w:rPr>
              <w:t>27.348</w:t>
            </w:r>
          </w:p>
        </w:tc>
        <w:tc>
          <w:tcPr>
            <w:tcW w:w="257" w:type="pct"/>
            <w:vAlign w:val="center"/>
          </w:tcPr>
          <w:p w14:paraId="189FE274">
            <w:pPr>
              <w:widowControl/>
              <w:adjustRightInd w:val="0"/>
              <w:snapToGrid w:val="0"/>
              <w:ind w:left="-105" w:leftChars="-50" w:right="-105" w:rightChars="-50"/>
              <w:jc w:val="center"/>
              <w:rPr>
                <w:bCs/>
                <w:szCs w:val="21"/>
              </w:rPr>
            </w:pPr>
            <w:r>
              <w:rPr>
                <w:bCs/>
                <w:szCs w:val="21"/>
              </w:rPr>
              <w:t>6.94</w:t>
            </w:r>
          </w:p>
        </w:tc>
        <w:tc>
          <w:tcPr>
            <w:tcW w:w="340" w:type="pct"/>
            <w:vAlign w:val="center"/>
          </w:tcPr>
          <w:p w14:paraId="48BF46B2">
            <w:pPr>
              <w:widowControl/>
              <w:adjustRightInd w:val="0"/>
              <w:snapToGrid w:val="0"/>
              <w:ind w:left="-105" w:leftChars="-50" w:right="-105" w:rightChars="-50"/>
              <w:jc w:val="center"/>
              <w:rPr>
                <w:bCs/>
                <w:szCs w:val="21"/>
              </w:rPr>
            </w:pPr>
            <w:r>
              <w:rPr>
                <w:rFonts w:hint="eastAsia"/>
                <w:bCs/>
                <w:szCs w:val="21"/>
              </w:rPr>
              <w:t>283.77</w:t>
            </w:r>
          </w:p>
        </w:tc>
        <w:tc>
          <w:tcPr>
            <w:tcW w:w="120" w:type="pct"/>
            <w:vMerge w:val="continue"/>
            <w:vAlign w:val="center"/>
          </w:tcPr>
          <w:p w14:paraId="6D07EA3C">
            <w:pPr>
              <w:widowControl/>
              <w:adjustRightInd w:val="0"/>
              <w:snapToGrid w:val="0"/>
              <w:ind w:left="-105" w:leftChars="-50" w:right="-105" w:rightChars="-50"/>
              <w:jc w:val="center"/>
              <w:rPr>
                <w:kern w:val="0"/>
                <w:szCs w:val="21"/>
              </w:rPr>
            </w:pPr>
          </w:p>
        </w:tc>
        <w:tc>
          <w:tcPr>
            <w:tcW w:w="162" w:type="pct"/>
            <w:vMerge w:val="continue"/>
            <w:vAlign w:val="center"/>
          </w:tcPr>
          <w:p w14:paraId="63B1FC40">
            <w:pPr>
              <w:widowControl/>
              <w:adjustRightInd w:val="0"/>
              <w:snapToGrid w:val="0"/>
              <w:ind w:left="-105" w:leftChars="-50" w:right="-105" w:rightChars="-50"/>
              <w:jc w:val="center"/>
              <w:rPr>
                <w:kern w:val="0"/>
                <w:szCs w:val="21"/>
              </w:rPr>
            </w:pPr>
          </w:p>
        </w:tc>
        <w:tc>
          <w:tcPr>
            <w:tcW w:w="276" w:type="pct"/>
            <w:vMerge w:val="continue"/>
            <w:vAlign w:val="center"/>
          </w:tcPr>
          <w:p w14:paraId="3E271837">
            <w:pPr>
              <w:widowControl/>
              <w:adjustRightInd w:val="0"/>
              <w:snapToGrid w:val="0"/>
              <w:ind w:left="-105" w:leftChars="-50" w:right="-105" w:rightChars="-50"/>
              <w:jc w:val="center"/>
              <w:rPr>
                <w:kern w:val="0"/>
                <w:szCs w:val="21"/>
              </w:rPr>
            </w:pPr>
          </w:p>
        </w:tc>
        <w:tc>
          <w:tcPr>
            <w:tcW w:w="129" w:type="pct"/>
            <w:vMerge w:val="continue"/>
            <w:vAlign w:val="center"/>
          </w:tcPr>
          <w:p w14:paraId="7CD8BE35">
            <w:pPr>
              <w:widowControl/>
              <w:adjustRightInd w:val="0"/>
              <w:snapToGrid w:val="0"/>
              <w:ind w:left="-105" w:leftChars="-50" w:right="-105" w:rightChars="-50"/>
              <w:jc w:val="center"/>
              <w:rPr>
                <w:kern w:val="0"/>
                <w:szCs w:val="21"/>
              </w:rPr>
            </w:pPr>
          </w:p>
        </w:tc>
        <w:tc>
          <w:tcPr>
            <w:tcW w:w="140" w:type="pct"/>
            <w:vMerge w:val="continue"/>
            <w:vAlign w:val="center"/>
          </w:tcPr>
          <w:p w14:paraId="2205FB5B">
            <w:pPr>
              <w:widowControl/>
              <w:adjustRightInd w:val="0"/>
              <w:snapToGrid w:val="0"/>
              <w:ind w:left="-105" w:leftChars="-50" w:right="-105" w:rightChars="-50"/>
              <w:jc w:val="center"/>
              <w:rPr>
                <w:kern w:val="0"/>
                <w:szCs w:val="21"/>
              </w:rPr>
            </w:pPr>
          </w:p>
        </w:tc>
        <w:tc>
          <w:tcPr>
            <w:tcW w:w="611" w:type="pct"/>
            <w:vMerge w:val="continue"/>
            <w:vAlign w:val="center"/>
          </w:tcPr>
          <w:p w14:paraId="5A888E86">
            <w:pPr>
              <w:widowControl/>
              <w:adjustRightInd w:val="0"/>
              <w:snapToGrid w:val="0"/>
              <w:ind w:left="-105" w:leftChars="-50" w:right="-105" w:rightChars="-50"/>
              <w:jc w:val="center"/>
              <w:rPr>
                <w:bCs/>
                <w:szCs w:val="21"/>
              </w:rPr>
            </w:pPr>
          </w:p>
        </w:tc>
        <w:tc>
          <w:tcPr>
            <w:tcW w:w="182" w:type="pct"/>
            <w:vAlign w:val="center"/>
          </w:tcPr>
          <w:p w14:paraId="43D09AEC">
            <w:pPr>
              <w:widowControl/>
              <w:adjustRightInd w:val="0"/>
              <w:snapToGrid w:val="0"/>
              <w:ind w:left="-105" w:leftChars="-50" w:right="-105" w:rightChars="-50"/>
              <w:jc w:val="center"/>
              <w:rPr>
                <w:kern w:val="0"/>
                <w:szCs w:val="21"/>
              </w:rPr>
            </w:pPr>
            <w:r>
              <w:rPr>
                <w:rFonts w:hint="eastAsia"/>
                <w:kern w:val="0"/>
                <w:szCs w:val="21"/>
              </w:rPr>
              <w:t>80</w:t>
            </w:r>
          </w:p>
        </w:tc>
        <w:tc>
          <w:tcPr>
            <w:tcW w:w="203" w:type="pct"/>
            <w:vAlign w:val="center"/>
          </w:tcPr>
          <w:p w14:paraId="34D42D52">
            <w:pPr>
              <w:widowControl/>
              <w:adjustRightInd w:val="0"/>
              <w:snapToGrid w:val="0"/>
              <w:ind w:left="-105" w:leftChars="-50" w:right="-105" w:rightChars="-50"/>
              <w:jc w:val="center"/>
              <w:rPr>
                <w:kern w:val="0"/>
                <w:szCs w:val="21"/>
              </w:rPr>
            </w:pPr>
            <w:r>
              <w:rPr>
                <w:rFonts w:hint="eastAsia"/>
                <w:kern w:val="0"/>
                <w:szCs w:val="21"/>
              </w:rPr>
              <w:t>是</w:t>
            </w:r>
          </w:p>
        </w:tc>
        <w:tc>
          <w:tcPr>
            <w:tcW w:w="260" w:type="pct"/>
            <w:vAlign w:val="center"/>
          </w:tcPr>
          <w:p w14:paraId="4ADB779C">
            <w:pPr>
              <w:widowControl/>
              <w:adjustRightInd w:val="0"/>
              <w:snapToGrid w:val="0"/>
              <w:ind w:left="-105" w:leftChars="-50" w:right="-105" w:rightChars="-50"/>
              <w:jc w:val="center"/>
              <w:rPr>
                <w:bCs/>
                <w:szCs w:val="21"/>
              </w:rPr>
            </w:pPr>
            <w:r>
              <w:rPr>
                <w:bCs/>
                <w:szCs w:val="21"/>
              </w:rPr>
              <w:t>5.470</w:t>
            </w:r>
          </w:p>
        </w:tc>
        <w:tc>
          <w:tcPr>
            <w:tcW w:w="279" w:type="pct"/>
            <w:vAlign w:val="center"/>
          </w:tcPr>
          <w:p w14:paraId="608866D3">
            <w:pPr>
              <w:widowControl/>
              <w:adjustRightInd w:val="0"/>
              <w:snapToGrid w:val="0"/>
              <w:ind w:left="-105" w:leftChars="-50" w:right="-105" w:rightChars="-50"/>
              <w:jc w:val="center"/>
              <w:rPr>
                <w:bCs/>
                <w:szCs w:val="21"/>
              </w:rPr>
            </w:pPr>
            <w:r>
              <w:rPr>
                <w:bCs/>
                <w:szCs w:val="21"/>
              </w:rPr>
              <w:t>1.39</w:t>
            </w:r>
          </w:p>
        </w:tc>
        <w:tc>
          <w:tcPr>
            <w:tcW w:w="260" w:type="pct"/>
            <w:vAlign w:val="center"/>
          </w:tcPr>
          <w:p w14:paraId="6BDD8D9B">
            <w:pPr>
              <w:widowControl/>
              <w:adjustRightInd w:val="0"/>
              <w:snapToGrid w:val="0"/>
              <w:ind w:left="-105" w:leftChars="-50" w:right="-105" w:rightChars="-50"/>
              <w:jc w:val="center"/>
              <w:rPr>
                <w:bCs/>
                <w:szCs w:val="21"/>
              </w:rPr>
            </w:pPr>
            <w:r>
              <w:rPr>
                <w:bCs/>
                <w:szCs w:val="21"/>
              </w:rPr>
              <w:t>56.75</w:t>
            </w:r>
          </w:p>
        </w:tc>
        <w:tc>
          <w:tcPr>
            <w:tcW w:w="457" w:type="pct"/>
            <w:vMerge w:val="continue"/>
            <w:vAlign w:val="center"/>
          </w:tcPr>
          <w:p w14:paraId="2D8E7529">
            <w:pPr>
              <w:widowControl/>
              <w:adjustRightInd w:val="0"/>
              <w:snapToGrid w:val="0"/>
              <w:ind w:left="-105" w:leftChars="-50" w:right="-105" w:rightChars="-50"/>
              <w:jc w:val="center"/>
              <w:rPr>
                <w:bCs/>
                <w:kern w:val="0"/>
                <w:szCs w:val="21"/>
              </w:rPr>
            </w:pPr>
          </w:p>
        </w:tc>
      </w:tr>
      <w:tr w14:paraId="6F56DA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 w:type="pct"/>
            <w:vMerge w:val="continue"/>
            <w:vAlign w:val="center"/>
          </w:tcPr>
          <w:p w14:paraId="141111BA">
            <w:pPr>
              <w:widowControl/>
              <w:adjustRightInd w:val="0"/>
              <w:snapToGrid w:val="0"/>
              <w:ind w:left="-105" w:leftChars="-50" w:right="-105" w:rightChars="-50"/>
              <w:jc w:val="center"/>
              <w:rPr>
                <w:kern w:val="0"/>
                <w:szCs w:val="21"/>
              </w:rPr>
            </w:pPr>
          </w:p>
        </w:tc>
        <w:tc>
          <w:tcPr>
            <w:tcW w:w="182" w:type="pct"/>
            <w:vMerge w:val="continue"/>
            <w:vAlign w:val="center"/>
          </w:tcPr>
          <w:p w14:paraId="6DE1C8CF">
            <w:pPr>
              <w:widowControl/>
              <w:adjustRightInd w:val="0"/>
              <w:snapToGrid w:val="0"/>
              <w:ind w:left="-105" w:leftChars="-50" w:right="-105" w:rightChars="-50"/>
              <w:jc w:val="center"/>
              <w:rPr>
                <w:kern w:val="0"/>
                <w:szCs w:val="21"/>
              </w:rPr>
            </w:pPr>
          </w:p>
        </w:tc>
        <w:tc>
          <w:tcPr>
            <w:tcW w:w="191" w:type="pct"/>
            <w:vMerge w:val="continue"/>
            <w:vAlign w:val="center"/>
          </w:tcPr>
          <w:p w14:paraId="09E1AEE7">
            <w:pPr>
              <w:widowControl/>
              <w:adjustRightInd w:val="0"/>
              <w:snapToGrid w:val="0"/>
              <w:ind w:left="-105" w:leftChars="-50" w:right="-105" w:rightChars="-50"/>
              <w:jc w:val="center"/>
              <w:rPr>
                <w:kern w:val="0"/>
                <w:szCs w:val="21"/>
              </w:rPr>
            </w:pPr>
          </w:p>
        </w:tc>
        <w:tc>
          <w:tcPr>
            <w:tcW w:w="194" w:type="pct"/>
            <w:vMerge w:val="continue"/>
            <w:vAlign w:val="center"/>
          </w:tcPr>
          <w:p w14:paraId="31FF9794">
            <w:pPr>
              <w:widowControl/>
              <w:adjustRightInd w:val="0"/>
              <w:snapToGrid w:val="0"/>
              <w:ind w:left="-105" w:leftChars="-50" w:right="-105" w:rightChars="-50"/>
              <w:jc w:val="center"/>
              <w:rPr>
                <w:kern w:val="0"/>
                <w:szCs w:val="21"/>
              </w:rPr>
            </w:pPr>
          </w:p>
        </w:tc>
        <w:tc>
          <w:tcPr>
            <w:tcW w:w="194" w:type="pct"/>
            <w:vAlign w:val="center"/>
          </w:tcPr>
          <w:p w14:paraId="3566E36E">
            <w:pPr>
              <w:widowControl/>
              <w:adjustRightInd w:val="0"/>
              <w:snapToGrid w:val="0"/>
              <w:ind w:left="-105" w:leftChars="-50" w:right="-105" w:rightChars="-50"/>
              <w:jc w:val="center"/>
              <w:rPr>
                <w:szCs w:val="21"/>
              </w:rPr>
            </w:pPr>
            <w:r>
              <w:rPr>
                <w:szCs w:val="21"/>
              </w:rPr>
              <w:t>NO</w:t>
            </w:r>
            <w:r>
              <w:rPr>
                <w:szCs w:val="21"/>
                <w:vertAlign w:val="subscript"/>
              </w:rPr>
              <w:t>X</w:t>
            </w:r>
          </w:p>
        </w:tc>
        <w:tc>
          <w:tcPr>
            <w:tcW w:w="300" w:type="pct"/>
            <w:vAlign w:val="center"/>
          </w:tcPr>
          <w:p w14:paraId="472FC48F">
            <w:pPr>
              <w:widowControl/>
              <w:adjustRightInd w:val="0"/>
              <w:snapToGrid w:val="0"/>
              <w:ind w:left="-105" w:leftChars="-50" w:right="-105" w:rightChars="-50"/>
              <w:jc w:val="center"/>
              <w:rPr>
                <w:bCs/>
                <w:szCs w:val="21"/>
              </w:rPr>
            </w:pPr>
            <w:r>
              <w:rPr>
                <w:bCs/>
                <w:szCs w:val="21"/>
              </w:rPr>
              <w:t>33.730</w:t>
            </w:r>
          </w:p>
        </w:tc>
        <w:tc>
          <w:tcPr>
            <w:tcW w:w="257" w:type="pct"/>
            <w:vAlign w:val="center"/>
          </w:tcPr>
          <w:p w14:paraId="0E947460">
            <w:pPr>
              <w:widowControl/>
              <w:adjustRightInd w:val="0"/>
              <w:snapToGrid w:val="0"/>
              <w:ind w:left="-105" w:leftChars="-50" w:right="-105" w:rightChars="-50"/>
              <w:jc w:val="center"/>
              <w:rPr>
                <w:bCs/>
                <w:szCs w:val="21"/>
              </w:rPr>
            </w:pPr>
            <w:r>
              <w:rPr>
                <w:bCs/>
                <w:szCs w:val="21"/>
              </w:rPr>
              <w:t>8.56</w:t>
            </w:r>
          </w:p>
        </w:tc>
        <w:tc>
          <w:tcPr>
            <w:tcW w:w="340" w:type="pct"/>
            <w:vAlign w:val="center"/>
          </w:tcPr>
          <w:p w14:paraId="704132DB">
            <w:pPr>
              <w:widowControl/>
              <w:adjustRightInd w:val="0"/>
              <w:snapToGrid w:val="0"/>
              <w:ind w:left="-105" w:leftChars="-50" w:right="-105" w:rightChars="-50"/>
              <w:jc w:val="center"/>
              <w:rPr>
                <w:bCs/>
                <w:szCs w:val="21"/>
              </w:rPr>
            </w:pPr>
            <w:r>
              <w:rPr>
                <w:rFonts w:hint="eastAsia"/>
                <w:bCs/>
                <w:szCs w:val="21"/>
              </w:rPr>
              <w:t>350</w:t>
            </w:r>
          </w:p>
        </w:tc>
        <w:tc>
          <w:tcPr>
            <w:tcW w:w="120" w:type="pct"/>
            <w:vMerge w:val="continue"/>
            <w:vAlign w:val="center"/>
          </w:tcPr>
          <w:p w14:paraId="1048ED4E">
            <w:pPr>
              <w:widowControl/>
              <w:adjustRightInd w:val="0"/>
              <w:snapToGrid w:val="0"/>
              <w:ind w:left="-105" w:leftChars="-50" w:right="-105" w:rightChars="-50"/>
              <w:jc w:val="center"/>
              <w:rPr>
                <w:kern w:val="0"/>
                <w:szCs w:val="21"/>
              </w:rPr>
            </w:pPr>
          </w:p>
        </w:tc>
        <w:tc>
          <w:tcPr>
            <w:tcW w:w="162" w:type="pct"/>
            <w:vMerge w:val="continue"/>
            <w:vAlign w:val="center"/>
          </w:tcPr>
          <w:p w14:paraId="58C4729F">
            <w:pPr>
              <w:widowControl/>
              <w:adjustRightInd w:val="0"/>
              <w:snapToGrid w:val="0"/>
              <w:ind w:left="-105" w:leftChars="-50" w:right="-105" w:rightChars="-50"/>
              <w:jc w:val="center"/>
              <w:rPr>
                <w:kern w:val="0"/>
                <w:szCs w:val="21"/>
              </w:rPr>
            </w:pPr>
          </w:p>
        </w:tc>
        <w:tc>
          <w:tcPr>
            <w:tcW w:w="276" w:type="pct"/>
            <w:vMerge w:val="continue"/>
            <w:vAlign w:val="center"/>
          </w:tcPr>
          <w:p w14:paraId="036E1AD4">
            <w:pPr>
              <w:widowControl/>
              <w:adjustRightInd w:val="0"/>
              <w:snapToGrid w:val="0"/>
              <w:ind w:left="-105" w:leftChars="-50" w:right="-105" w:rightChars="-50"/>
              <w:jc w:val="center"/>
              <w:rPr>
                <w:kern w:val="0"/>
                <w:szCs w:val="21"/>
              </w:rPr>
            </w:pPr>
          </w:p>
        </w:tc>
        <w:tc>
          <w:tcPr>
            <w:tcW w:w="129" w:type="pct"/>
            <w:vMerge w:val="continue"/>
            <w:vAlign w:val="center"/>
          </w:tcPr>
          <w:p w14:paraId="3207DB0F">
            <w:pPr>
              <w:widowControl/>
              <w:adjustRightInd w:val="0"/>
              <w:snapToGrid w:val="0"/>
              <w:ind w:left="-105" w:leftChars="-50" w:right="-105" w:rightChars="-50"/>
              <w:jc w:val="center"/>
              <w:rPr>
                <w:kern w:val="0"/>
                <w:szCs w:val="21"/>
              </w:rPr>
            </w:pPr>
          </w:p>
        </w:tc>
        <w:tc>
          <w:tcPr>
            <w:tcW w:w="140" w:type="pct"/>
            <w:vMerge w:val="continue"/>
            <w:vAlign w:val="center"/>
          </w:tcPr>
          <w:p w14:paraId="726B9015">
            <w:pPr>
              <w:widowControl/>
              <w:adjustRightInd w:val="0"/>
              <w:snapToGrid w:val="0"/>
              <w:ind w:left="-105" w:leftChars="-50" w:right="-105" w:rightChars="-50"/>
              <w:jc w:val="center"/>
              <w:rPr>
                <w:kern w:val="0"/>
                <w:szCs w:val="21"/>
              </w:rPr>
            </w:pPr>
          </w:p>
        </w:tc>
        <w:tc>
          <w:tcPr>
            <w:tcW w:w="611" w:type="pct"/>
            <w:vMerge w:val="continue"/>
            <w:vAlign w:val="center"/>
          </w:tcPr>
          <w:p w14:paraId="23837A54">
            <w:pPr>
              <w:widowControl/>
              <w:adjustRightInd w:val="0"/>
              <w:snapToGrid w:val="0"/>
              <w:ind w:left="-105" w:leftChars="-50" w:right="-105" w:rightChars="-50"/>
              <w:jc w:val="center"/>
              <w:rPr>
                <w:bCs/>
                <w:szCs w:val="21"/>
              </w:rPr>
            </w:pPr>
          </w:p>
        </w:tc>
        <w:tc>
          <w:tcPr>
            <w:tcW w:w="182" w:type="pct"/>
            <w:vAlign w:val="center"/>
          </w:tcPr>
          <w:p w14:paraId="05F8B65F">
            <w:pPr>
              <w:widowControl/>
              <w:adjustRightInd w:val="0"/>
              <w:snapToGrid w:val="0"/>
              <w:ind w:left="-105" w:leftChars="-50" w:right="-105" w:rightChars="-50"/>
              <w:jc w:val="center"/>
              <w:rPr>
                <w:kern w:val="0"/>
                <w:szCs w:val="21"/>
              </w:rPr>
            </w:pPr>
            <w:r>
              <w:rPr>
                <w:rFonts w:hint="eastAsia"/>
                <w:kern w:val="0"/>
                <w:szCs w:val="21"/>
              </w:rPr>
              <w:t>50</w:t>
            </w:r>
          </w:p>
        </w:tc>
        <w:tc>
          <w:tcPr>
            <w:tcW w:w="203" w:type="pct"/>
            <w:vAlign w:val="center"/>
          </w:tcPr>
          <w:p w14:paraId="3179036C">
            <w:pPr>
              <w:widowControl/>
              <w:adjustRightInd w:val="0"/>
              <w:snapToGrid w:val="0"/>
              <w:ind w:left="-105" w:leftChars="-50" w:right="-105" w:rightChars="-50"/>
              <w:jc w:val="center"/>
              <w:rPr>
                <w:kern w:val="0"/>
                <w:szCs w:val="21"/>
              </w:rPr>
            </w:pPr>
            <w:r>
              <w:rPr>
                <w:rFonts w:hint="eastAsia"/>
                <w:kern w:val="0"/>
                <w:szCs w:val="21"/>
              </w:rPr>
              <w:t>是</w:t>
            </w:r>
          </w:p>
        </w:tc>
        <w:tc>
          <w:tcPr>
            <w:tcW w:w="260" w:type="pct"/>
            <w:vAlign w:val="center"/>
          </w:tcPr>
          <w:p w14:paraId="0A8526D2">
            <w:pPr>
              <w:widowControl/>
              <w:adjustRightInd w:val="0"/>
              <w:snapToGrid w:val="0"/>
              <w:ind w:left="-105" w:leftChars="-50" w:right="-105" w:rightChars="-50"/>
              <w:jc w:val="center"/>
              <w:rPr>
                <w:bCs/>
                <w:szCs w:val="21"/>
              </w:rPr>
            </w:pPr>
            <w:r>
              <w:rPr>
                <w:rFonts w:hint="eastAsia"/>
                <w:bCs/>
                <w:szCs w:val="21"/>
              </w:rPr>
              <w:t>15.178</w:t>
            </w:r>
          </w:p>
        </w:tc>
        <w:tc>
          <w:tcPr>
            <w:tcW w:w="279" w:type="pct"/>
            <w:vAlign w:val="center"/>
          </w:tcPr>
          <w:p w14:paraId="312EFEF0">
            <w:pPr>
              <w:widowControl/>
              <w:adjustRightInd w:val="0"/>
              <w:snapToGrid w:val="0"/>
              <w:ind w:left="-105" w:leftChars="-50" w:right="-105" w:rightChars="-50"/>
              <w:jc w:val="center"/>
              <w:rPr>
                <w:bCs/>
                <w:szCs w:val="21"/>
              </w:rPr>
            </w:pPr>
            <w:r>
              <w:rPr>
                <w:rFonts w:hint="eastAsia"/>
                <w:bCs/>
                <w:szCs w:val="21"/>
              </w:rPr>
              <w:t>3.85</w:t>
            </w:r>
          </w:p>
        </w:tc>
        <w:tc>
          <w:tcPr>
            <w:tcW w:w="260" w:type="pct"/>
            <w:vAlign w:val="center"/>
          </w:tcPr>
          <w:p w14:paraId="72F6FCF3">
            <w:pPr>
              <w:widowControl/>
              <w:adjustRightInd w:val="0"/>
              <w:snapToGrid w:val="0"/>
              <w:ind w:left="-105" w:leftChars="-50" w:right="-105" w:rightChars="-50"/>
              <w:jc w:val="center"/>
              <w:rPr>
                <w:bCs/>
                <w:szCs w:val="21"/>
              </w:rPr>
            </w:pPr>
            <w:r>
              <w:rPr>
                <w:rFonts w:hint="eastAsia"/>
                <w:bCs/>
                <w:szCs w:val="21"/>
              </w:rPr>
              <w:t>157.5</w:t>
            </w:r>
          </w:p>
        </w:tc>
        <w:tc>
          <w:tcPr>
            <w:tcW w:w="457" w:type="pct"/>
            <w:vMerge w:val="continue"/>
            <w:vAlign w:val="center"/>
          </w:tcPr>
          <w:p w14:paraId="0852E639">
            <w:pPr>
              <w:widowControl/>
              <w:adjustRightInd w:val="0"/>
              <w:snapToGrid w:val="0"/>
              <w:ind w:left="-105" w:leftChars="-50" w:right="-105" w:rightChars="-50"/>
              <w:jc w:val="center"/>
              <w:rPr>
                <w:bCs/>
                <w:kern w:val="0"/>
                <w:szCs w:val="21"/>
              </w:rPr>
            </w:pPr>
          </w:p>
        </w:tc>
      </w:tr>
      <w:tr w14:paraId="4E22E9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 w:type="pct"/>
            <w:vMerge w:val="continue"/>
            <w:vAlign w:val="center"/>
          </w:tcPr>
          <w:p w14:paraId="242D0952">
            <w:pPr>
              <w:widowControl/>
              <w:adjustRightInd w:val="0"/>
              <w:snapToGrid w:val="0"/>
              <w:ind w:left="-105" w:leftChars="-50" w:right="-105" w:rightChars="-50"/>
              <w:jc w:val="center"/>
              <w:rPr>
                <w:kern w:val="0"/>
                <w:szCs w:val="21"/>
              </w:rPr>
            </w:pPr>
          </w:p>
        </w:tc>
        <w:tc>
          <w:tcPr>
            <w:tcW w:w="182" w:type="pct"/>
            <w:vMerge w:val="continue"/>
            <w:vAlign w:val="center"/>
          </w:tcPr>
          <w:p w14:paraId="6ECB4290">
            <w:pPr>
              <w:widowControl/>
              <w:adjustRightInd w:val="0"/>
              <w:snapToGrid w:val="0"/>
              <w:ind w:left="-105" w:leftChars="-50" w:right="-105" w:rightChars="-50"/>
              <w:jc w:val="center"/>
              <w:rPr>
                <w:kern w:val="0"/>
                <w:szCs w:val="21"/>
              </w:rPr>
            </w:pPr>
          </w:p>
        </w:tc>
        <w:tc>
          <w:tcPr>
            <w:tcW w:w="191" w:type="pct"/>
            <w:vMerge w:val="continue"/>
            <w:vAlign w:val="center"/>
          </w:tcPr>
          <w:p w14:paraId="06C57BDD">
            <w:pPr>
              <w:widowControl/>
              <w:adjustRightInd w:val="0"/>
              <w:snapToGrid w:val="0"/>
              <w:ind w:left="-105" w:leftChars="-50" w:right="-105" w:rightChars="-50"/>
              <w:jc w:val="center"/>
              <w:rPr>
                <w:kern w:val="0"/>
                <w:szCs w:val="21"/>
              </w:rPr>
            </w:pPr>
          </w:p>
        </w:tc>
        <w:tc>
          <w:tcPr>
            <w:tcW w:w="194" w:type="pct"/>
            <w:vMerge w:val="continue"/>
            <w:vAlign w:val="center"/>
          </w:tcPr>
          <w:p w14:paraId="612D6FFA">
            <w:pPr>
              <w:widowControl/>
              <w:adjustRightInd w:val="0"/>
              <w:snapToGrid w:val="0"/>
              <w:ind w:left="-105" w:leftChars="-50" w:right="-105" w:rightChars="-50"/>
              <w:jc w:val="center"/>
              <w:rPr>
                <w:kern w:val="0"/>
                <w:szCs w:val="21"/>
              </w:rPr>
            </w:pPr>
          </w:p>
        </w:tc>
        <w:tc>
          <w:tcPr>
            <w:tcW w:w="194" w:type="pct"/>
            <w:vAlign w:val="center"/>
          </w:tcPr>
          <w:p w14:paraId="272DA77C">
            <w:pPr>
              <w:widowControl/>
              <w:adjustRightInd w:val="0"/>
              <w:snapToGrid w:val="0"/>
              <w:ind w:left="-105" w:leftChars="-50" w:right="-105" w:rightChars="-50"/>
              <w:jc w:val="center"/>
              <w:rPr>
                <w:szCs w:val="21"/>
              </w:rPr>
            </w:pPr>
            <w:r>
              <w:rPr>
                <w:rFonts w:hint="eastAsia"/>
                <w:szCs w:val="21"/>
              </w:rPr>
              <w:t>汞及其化合物</w:t>
            </w:r>
          </w:p>
        </w:tc>
        <w:tc>
          <w:tcPr>
            <w:tcW w:w="300" w:type="pct"/>
            <w:vAlign w:val="center"/>
          </w:tcPr>
          <w:p w14:paraId="1D7EF579">
            <w:pPr>
              <w:widowControl/>
              <w:adjustRightInd w:val="0"/>
              <w:snapToGrid w:val="0"/>
              <w:ind w:left="-105" w:leftChars="-50" w:right="-105" w:rightChars="-50"/>
              <w:jc w:val="center"/>
              <w:rPr>
                <w:bCs/>
                <w:szCs w:val="21"/>
              </w:rPr>
            </w:pPr>
            <w:r>
              <w:rPr>
                <w:bCs/>
                <w:szCs w:val="21"/>
              </w:rPr>
              <w:t>0.002</w:t>
            </w:r>
          </w:p>
        </w:tc>
        <w:tc>
          <w:tcPr>
            <w:tcW w:w="257" w:type="pct"/>
            <w:vAlign w:val="center"/>
          </w:tcPr>
          <w:p w14:paraId="2A9BE9FE">
            <w:pPr>
              <w:widowControl/>
              <w:adjustRightInd w:val="0"/>
              <w:snapToGrid w:val="0"/>
              <w:ind w:left="-105" w:leftChars="-50" w:right="-105" w:rightChars="-50"/>
              <w:jc w:val="center"/>
              <w:rPr>
                <w:bCs/>
                <w:szCs w:val="21"/>
              </w:rPr>
            </w:pPr>
            <w:r>
              <w:rPr>
                <w:bCs/>
                <w:szCs w:val="21"/>
              </w:rPr>
              <w:t>0.001</w:t>
            </w:r>
          </w:p>
        </w:tc>
        <w:tc>
          <w:tcPr>
            <w:tcW w:w="340" w:type="pct"/>
            <w:vAlign w:val="center"/>
          </w:tcPr>
          <w:p w14:paraId="3A6C703E">
            <w:pPr>
              <w:widowControl/>
              <w:adjustRightInd w:val="0"/>
              <w:snapToGrid w:val="0"/>
              <w:ind w:left="-105" w:leftChars="-50" w:right="-105" w:rightChars="-50"/>
              <w:jc w:val="center"/>
              <w:rPr>
                <w:bCs/>
                <w:szCs w:val="21"/>
              </w:rPr>
            </w:pPr>
            <w:r>
              <w:rPr>
                <w:rFonts w:hint="eastAsia"/>
                <w:bCs/>
                <w:szCs w:val="21"/>
              </w:rPr>
              <w:t>0.02</w:t>
            </w:r>
          </w:p>
        </w:tc>
        <w:tc>
          <w:tcPr>
            <w:tcW w:w="120" w:type="pct"/>
            <w:vMerge w:val="continue"/>
            <w:vAlign w:val="center"/>
          </w:tcPr>
          <w:p w14:paraId="6D1AD27D">
            <w:pPr>
              <w:widowControl/>
              <w:adjustRightInd w:val="0"/>
              <w:snapToGrid w:val="0"/>
              <w:ind w:left="-105" w:leftChars="-50" w:right="-105" w:rightChars="-50"/>
              <w:jc w:val="center"/>
              <w:rPr>
                <w:kern w:val="0"/>
                <w:szCs w:val="21"/>
              </w:rPr>
            </w:pPr>
          </w:p>
        </w:tc>
        <w:tc>
          <w:tcPr>
            <w:tcW w:w="162" w:type="pct"/>
            <w:vMerge w:val="continue"/>
            <w:vAlign w:val="center"/>
          </w:tcPr>
          <w:p w14:paraId="3909E8B1">
            <w:pPr>
              <w:widowControl/>
              <w:adjustRightInd w:val="0"/>
              <w:snapToGrid w:val="0"/>
              <w:ind w:left="-105" w:leftChars="-50" w:right="-105" w:rightChars="-50"/>
              <w:jc w:val="center"/>
              <w:rPr>
                <w:kern w:val="0"/>
                <w:szCs w:val="21"/>
              </w:rPr>
            </w:pPr>
          </w:p>
        </w:tc>
        <w:tc>
          <w:tcPr>
            <w:tcW w:w="276" w:type="pct"/>
            <w:vMerge w:val="continue"/>
            <w:vAlign w:val="center"/>
          </w:tcPr>
          <w:p w14:paraId="4C309BB4">
            <w:pPr>
              <w:widowControl/>
              <w:adjustRightInd w:val="0"/>
              <w:snapToGrid w:val="0"/>
              <w:ind w:left="-105" w:leftChars="-50" w:right="-105" w:rightChars="-50"/>
              <w:jc w:val="center"/>
              <w:rPr>
                <w:kern w:val="0"/>
                <w:szCs w:val="21"/>
              </w:rPr>
            </w:pPr>
          </w:p>
        </w:tc>
        <w:tc>
          <w:tcPr>
            <w:tcW w:w="129" w:type="pct"/>
            <w:vMerge w:val="continue"/>
            <w:vAlign w:val="center"/>
          </w:tcPr>
          <w:p w14:paraId="7FD21437">
            <w:pPr>
              <w:widowControl/>
              <w:adjustRightInd w:val="0"/>
              <w:snapToGrid w:val="0"/>
              <w:ind w:left="-105" w:leftChars="-50" w:right="-105" w:rightChars="-50"/>
              <w:jc w:val="center"/>
              <w:rPr>
                <w:kern w:val="0"/>
                <w:szCs w:val="21"/>
              </w:rPr>
            </w:pPr>
          </w:p>
        </w:tc>
        <w:tc>
          <w:tcPr>
            <w:tcW w:w="140" w:type="pct"/>
            <w:vMerge w:val="continue"/>
            <w:vAlign w:val="center"/>
          </w:tcPr>
          <w:p w14:paraId="395E7B4A">
            <w:pPr>
              <w:widowControl/>
              <w:adjustRightInd w:val="0"/>
              <w:snapToGrid w:val="0"/>
              <w:ind w:left="-105" w:leftChars="-50" w:right="-105" w:rightChars="-50"/>
              <w:jc w:val="center"/>
              <w:rPr>
                <w:kern w:val="0"/>
                <w:szCs w:val="21"/>
              </w:rPr>
            </w:pPr>
          </w:p>
        </w:tc>
        <w:tc>
          <w:tcPr>
            <w:tcW w:w="611" w:type="pct"/>
            <w:vMerge w:val="continue"/>
            <w:vAlign w:val="center"/>
          </w:tcPr>
          <w:p w14:paraId="78ACA2B7">
            <w:pPr>
              <w:widowControl/>
              <w:adjustRightInd w:val="0"/>
              <w:snapToGrid w:val="0"/>
              <w:ind w:left="-105" w:leftChars="-50" w:right="-105" w:rightChars="-50"/>
              <w:jc w:val="center"/>
              <w:rPr>
                <w:bCs/>
                <w:szCs w:val="21"/>
              </w:rPr>
            </w:pPr>
          </w:p>
        </w:tc>
        <w:tc>
          <w:tcPr>
            <w:tcW w:w="182" w:type="pct"/>
            <w:vAlign w:val="center"/>
          </w:tcPr>
          <w:p w14:paraId="11EB48B6">
            <w:pPr>
              <w:widowControl/>
              <w:adjustRightInd w:val="0"/>
              <w:snapToGrid w:val="0"/>
              <w:ind w:left="-105" w:leftChars="-50" w:right="-105" w:rightChars="-50"/>
              <w:jc w:val="center"/>
              <w:rPr>
                <w:kern w:val="0"/>
                <w:szCs w:val="21"/>
              </w:rPr>
            </w:pPr>
            <w:r>
              <w:rPr>
                <w:rFonts w:hint="eastAsia"/>
                <w:kern w:val="0"/>
                <w:szCs w:val="21"/>
              </w:rPr>
              <w:t>70</w:t>
            </w:r>
          </w:p>
        </w:tc>
        <w:tc>
          <w:tcPr>
            <w:tcW w:w="203" w:type="pct"/>
            <w:vAlign w:val="center"/>
          </w:tcPr>
          <w:p w14:paraId="0A5115E8">
            <w:pPr>
              <w:widowControl/>
              <w:adjustRightInd w:val="0"/>
              <w:snapToGrid w:val="0"/>
              <w:ind w:left="-105" w:leftChars="-50" w:right="-105" w:rightChars="-50"/>
              <w:jc w:val="center"/>
              <w:rPr>
                <w:kern w:val="0"/>
                <w:szCs w:val="21"/>
              </w:rPr>
            </w:pPr>
            <w:r>
              <w:rPr>
                <w:rFonts w:hint="eastAsia"/>
                <w:kern w:val="0"/>
                <w:szCs w:val="21"/>
              </w:rPr>
              <w:t>是</w:t>
            </w:r>
          </w:p>
        </w:tc>
        <w:tc>
          <w:tcPr>
            <w:tcW w:w="260" w:type="pct"/>
            <w:vAlign w:val="center"/>
          </w:tcPr>
          <w:p w14:paraId="63C22A10">
            <w:pPr>
              <w:widowControl/>
              <w:adjustRightInd w:val="0"/>
              <w:snapToGrid w:val="0"/>
              <w:ind w:left="-105" w:leftChars="-50" w:right="-105" w:rightChars="-50"/>
              <w:jc w:val="center"/>
              <w:rPr>
                <w:bCs/>
                <w:szCs w:val="21"/>
              </w:rPr>
            </w:pPr>
            <w:r>
              <w:rPr>
                <w:rFonts w:hint="eastAsia"/>
                <w:bCs/>
                <w:szCs w:val="21"/>
              </w:rPr>
              <w:t>0.00</w:t>
            </w:r>
            <w:r>
              <w:rPr>
                <w:bCs/>
                <w:szCs w:val="21"/>
              </w:rPr>
              <w:t>1</w:t>
            </w:r>
          </w:p>
        </w:tc>
        <w:tc>
          <w:tcPr>
            <w:tcW w:w="279" w:type="pct"/>
            <w:vAlign w:val="center"/>
          </w:tcPr>
          <w:p w14:paraId="2AD49E47">
            <w:pPr>
              <w:widowControl/>
              <w:adjustRightInd w:val="0"/>
              <w:snapToGrid w:val="0"/>
              <w:ind w:left="-105" w:leftChars="-50" w:right="-105" w:rightChars="-50"/>
              <w:jc w:val="center"/>
              <w:rPr>
                <w:bCs/>
                <w:szCs w:val="21"/>
              </w:rPr>
            </w:pPr>
            <w:r>
              <w:rPr>
                <w:bCs/>
                <w:szCs w:val="21"/>
              </w:rPr>
              <w:t>0.0002</w:t>
            </w:r>
          </w:p>
        </w:tc>
        <w:tc>
          <w:tcPr>
            <w:tcW w:w="260" w:type="pct"/>
            <w:vAlign w:val="center"/>
          </w:tcPr>
          <w:p w14:paraId="39C8C3F0">
            <w:pPr>
              <w:widowControl/>
              <w:adjustRightInd w:val="0"/>
              <w:snapToGrid w:val="0"/>
              <w:ind w:left="-105" w:leftChars="-50" w:right="-105" w:rightChars="-50"/>
              <w:jc w:val="center"/>
              <w:rPr>
                <w:bCs/>
                <w:szCs w:val="21"/>
              </w:rPr>
            </w:pPr>
            <w:r>
              <w:rPr>
                <w:bCs/>
                <w:szCs w:val="21"/>
              </w:rPr>
              <w:t>0.006</w:t>
            </w:r>
          </w:p>
        </w:tc>
        <w:tc>
          <w:tcPr>
            <w:tcW w:w="457" w:type="pct"/>
            <w:vMerge w:val="continue"/>
            <w:vAlign w:val="center"/>
          </w:tcPr>
          <w:p w14:paraId="6611A63A">
            <w:pPr>
              <w:widowControl/>
              <w:adjustRightInd w:val="0"/>
              <w:snapToGrid w:val="0"/>
              <w:ind w:left="-105" w:leftChars="-50" w:right="-105" w:rightChars="-50"/>
              <w:jc w:val="center"/>
              <w:rPr>
                <w:bCs/>
                <w:kern w:val="0"/>
                <w:szCs w:val="21"/>
              </w:rPr>
            </w:pPr>
          </w:p>
        </w:tc>
      </w:tr>
      <w:tr w14:paraId="3B7D45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 w:type="pct"/>
            <w:vAlign w:val="center"/>
          </w:tcPr>
          <w:p w14:paraId="2982C182">
            <w:pPr>
              <w:widowControl/>
              <w:adjustRightInd w:val="0"/>
              <w:snapToGrid w:val="0"/>
              <w:ind w:left="-105" w:leftChars="-50" w:right="-105" w:rightChars="-50"/>
              <w:jc w:val="center"/>
              <w:rPr>
                <w:kern w:val="0"/>
                <w:szCs w:val="21"/>
              </w:rPr>
            </w:pPr>
            <w:r>
              <w:rPr>
                <w:rFonts w:hint="eastAsia"/>
                <w:kern w:val="0"/>
                <w:szCs w:val="21"/>
              </w:rPr>
              <w:t>G2</w:t>
            </w:r>
          </w:p>
        </w:tc>
        <w:tc>
          <w:tcPr>
            <w:tcW w:w="182" w:type="pct"/>
            <w:vAlign w:val="center"/>
          </w:tcPr>
          <w:p w14:paraId="18466209">
            <w:pPr>
              <w:widowControl/>
              <w:adjustRightInd w:val="0"/>
              <w:snapToGrid w:val="0"/>
              <w:ind w:left="-105" w:leftChars="-50" w:right="-105" w:rightChars="-50"/>
              <w:jc w:val="center"/>
              <w:rPr>
                <w:kern w:val="0"/>
                <w:szCs w:val="21"/>
              </w:rPr>
            </w:pPr>
            <w:r>
              <w:rPr>
                <w:rFonts w:hint="eastAsia"/>
                <w:kern w:val="0"/>
                <w:szCs w:val="21"/>
              </w:rPr>
              <w:t>煤仓无组织废气</w:t>
            </w:r>
          </w:p>
        </w:tc>
        <w:tc>
          <w:tcPr>
            <w:tcW w:w="191" w:type="pct"/>
            <w:vAlign w:val="center"/>
          </w:tcPr>
          <w:p w14:paraId="5F2BA386">
            <w:pPr>
              <w:widowControl/>
              <w:adjustRightInd w:val="0"/>
              <w:snapToGrid w:val="0"/>
              <w:ind w:left="-105" w:leftChars="-50" w:right="-105" w:rightChars="-50"/>
              <w:jc w:val="center"/>
              <w:rPr>
                <w:kern w:val="0"/>
                <w:szCs w:val="21"/>
              </w:rPr>
            </w:pPr>
            <w:r>
              <w:rPr>
                <w:rFonts w:hint="eastAsia"/>
                <w:kern w:val="0"/>
                <w:szCs w:val="21"/>
              </w:rPr>
              <w:t>煤仓</w:t>
            </w:r>
          </w:p>
        </w:tc>
        <w:tc>
          <w:tcPr>
            <w:tcW w:w="194" w:type="pct"/>
            <w:vAlign w:val="center"/>
          </w:tcPr>
          <w:p w14:paraId="282D249F">
            <w:pPr>
              <w:widowControl/>
              <w:adjustRightInd w:val="0"/>
              <w:snapToGrid w:val="0"/>
              <w:ind w:left="-105" w:leftChars="-50" w:right="-105" w:rightChars="-50"/>
              <w:jc w:val="center"/>
              <w:rPr>
                <w:kern w:val="0"/>
                <w:szCs w:val="21"/>
              </w:rPr>
            </w:pPr>
            <w:r>
              <w:rPr>
                <w:rFonts w:hint="eastAsia"/>
                <w:kern w:val="0"/>
                <w:szCs w:val="21"/>
              </w:rPr>
              <w:t>装卸运输废气</w:t>
            </w:r>
          </w:p>
        </w:tc>
        <w:tc>
          <w:tcPr>
            <w:tcW w:w="194" w:type="pct"/>
            <w:vAlign w:val="center"/>
          </w:tcPr>
          <w:p w14:paraId="66E2B28A">
            <w:pPr>
              <w:widowControl/>
              <w:adjustRightInd w:val="0"/>
              <w:snapToGrid w:val="0"/>
              <w:ind w:left="-105" w:leftChars="-50" w:right="-105" w:rightChars="-50"/>
              <w:jc w:val="center"/>
              <w:rPr>
                <w:kern w:val="0"/>
                <w:szCs w:val="21"/>
              </w:rPr>
            </w:pPr>
            <w:r>
              <w:rPr>
                <w:rFonts w:hint="eastAsia"/>
                <w:kern w:val="0"/>
                <w:szCs w:val="21"/>
              </w:rPr>
              <w:t>颗粒物</w:t>
            </w:r>
          </w:p>
        </w:tc>
        <w:tc>
          <w:tcPr>
            <w:tcW w:w="300" w:type="pct"/>
            <w:vAlign w:val="center"/>
          </w:tcPr>
          <w:p w14:paraId="21E83C9D">
            <w:pPr>
              <w:widowControl/>
              <w:adjustRightInd w:val="0"/>
              <w:snapToGrid w:val="0"/>
              <w:ind w:left="-105" w:leftChars="-50" w:right="-105" w:rightChars="-50"/>
              <w:jc w:val="center"/>
              <w:rPr>
                <w:szCs w:val="21"/>
              </w:rPr>
            </w:pPr>
            <w:r>
              <w:rPr>
                <w:rFonts w:hint="eastAsia"/>
                <w:szCs w:val="21"/>
              </w:rPr>
              <w:t>5.87</w:t>
            </w:r>
          </w:p>
        </w:tc>
        <w:tc>
          <w:tcPr>
            <w:tcW w:w="257" w:type="pct"/>
            <w:vAlign w:val="center"/>
          </w:tcPr>
          <w:p w14:paraId="656A1CC3">
            <w:pPr>
              <w:widowControl/>
              <w:adjustRightInd w:val="0"/>
              <w:snapToGrid w:val="0"/>
              <w:ind w:left="-105" w:leftChars="-50" w:right="-105" w:rightChars="-50"/>
              <w:jc w:val="center"/>
              <w:rPr>
                <w:kern w:val="0"/>
                <w:szCs w:val="21"/>
              </w:rPr>
            </w:pPr>
            <w:r>
              <w:rPr>
                <w:rFonts w:hint="eastAsia"/>
                <w:kern w:val="0"/>
                <w:szCs w:val="21"/>
              </w:rPr>
              <w:t>/</w:t>
            </w:r>
          </w:p>
        </w:tc>
        <w:tc>
          <w:tcPr>
            <w:tcW w:w="340" w:type="pct"/>
            <w:vAlign w:val="center"/>
          </w:tcPr>
          <w:p w14:paraId="32DE5ADA">
            <w:pPr>
              <w:widowControl/>
              <w:adjustRightInd w:val="0"/>
              <w:snapToGrid w:val="0"/>
              <w:ind w:left="-105" w:leftChars="-50" w:right="-105" w:rightChars="-50"/>
              <w:jc w:val="center"/>
              <w:rPr>
                <w:kern w:val="0"/>
                <w:szCs w:val="21"/>
              </w:rPr>
            </w:pPr>
            <w:r>
              <w:rPr>
                <w:rFonts w:hint="eastAsia"/>
                <w:kern w:val="0"/>
                <w:szCs w:val="21"/>
              </w:rPr>
              <w:t>/</w:t>
            </w:r>
          </w:p>
        </w:tc>
        <w:tc>
          <w:tcPr>
            <w:tcW w:w="120" w:type="pct"/>
            <w:vAlign w:val="center"/>
          </w:tcPr>
          <w:p w14:paraId="17503A42">
            <w:pPr>
              <w:widowControl/>
              <w:adjustRightInd w:val="0"/>
              <w:snapToGrid w:val="0"/>
              <w:ind w:left="-105" w:leftChars="-50" w:right="-105" w:rightChars="-50"/>
              <w:jc w:val="center"/>
              <w:rPr>
                <w:kern w:val="0"/>
                <w:szCs w:val="21"/>
              </w:rPr>
            </w:pPr>
            <w:r>
              <w:rPr>
                <w:rFonts w:hint="eastAsia"/>
                <w:kern w:val="0"/>
                <w:szCs w:val="21"/>
              </w:rPr>
              <w:t>无组织</w:t>
            </w:r>
          </w:p>
        </w:tc>
        <w:tc>
          <w:tcPr>
            <w:tcW w:w="162" w:type="pct"/>
            <w:vAlign w:val="center"/>
          </w:tcPr>
          <w:p w14:paraId="7BD7C061">
            <w:pPr>
              <w:widowControl/>
              <w:adjustRightInd w:val="0"/>
              <w:snapToGrid w:val="0"/>
              <w:ind w:left="-105" w:leftChars="-50" w:right="-105" w:rightChars="-50"/>
              <w:jc w:val="center"/>
              <w:rPr>
                <w:kern w:val="0"/>
                <w:szCs w:val="21"/>
              </w:rPr>
            </w:pPr>
            <w:r>
              <w:rPr>
                <w:rFonts w:hint="eastAsia"/>
                <w:kern w:val="0"/>
                <w:szCs w:val="21"/>
              </w:rPr>
              <w:t>/</w:t>
            </w:r>
          </w:p>
        </w:tc>
        <w:tc>
          <w:tcPr>
            <w:tcW w:w="276" w:type="pct"/>
            <w:vAlign w:val="center"/>
          </w:tcPr>
          <w:p w14:paraId="1EFC313E">
            <w:pPr>
              <w:widowControl/>
              <w:adjustRightInd w:val="0"/>
              <w:snapToGrid w:val="0"/>
              <w:ind w:left="-105" w:leftChars="-50" w:right="-105" w:rightChars="-50"/>
              <w:jc w:val="center"/>
              <w:rPr>
                <w:kern w:val="0"/>
                <w:szCs w:val="21"/>
              </w:rPr>
            </w:pPr>
            <w:r>
              <w:rPr>
                <w:rFonts w:hint="eastAsia"/>
                <w:kern w:val="0"/>
                <w:szCs w:val="21"/>
              </w:rPr>
              <w:t>/</w:t>
            </w:r>
          </w:p>
        </w:tc>
        <w:tc>
          <w:tcPr>
            <w:tcW w:w="129" w:type="pct"/>
            <w:vAlign w:val="center"/>
          </w:tcPr>
          <w:p w14:paraId="4BF9CF7F">
            <w:pPr>
              <w:widowControl/>
              <w:adjustRightInd w:val="0"/>
              <w:snapToGrid w:val="0"/>
              <w:ind w:left="-105" w:leftChars="-50" w:right="-105" w:rightChars="-50"/>
              <w:jc w:val="center"/>
              <w:rPr>
                <w:kern w:val="0"/>
                <w:szCs w:val="21"/>
              </w:rPr>
            </w:pPr>
            <w:r>
              <w:rPr>
                <w:rFonts w:hint="eastAsia"/>
                <w:kern w:val="0"/>
                <w:szCs w:val="21"/>
              </w:rPr>
              <w:t>/</w:t>
            </w:r>
          </w:p>
        </w:tc>
        <w:tc>
          <w:tcPr>
            <w:tcW w:w="140" w:type="pct"/>
            <w:vAlign w:val="center"/>
          </w:tcPr>
          <w:p w14:paraId="499A08E9">
            <w:pPr>
              <w:widowControl/>
              <w:adjustRightInd w:val="0"/>
              <w:snapToGrid w:val="0"/>
              <w:ind w:left="-105" w:leftChars="-50" w:right="-105" w:rightChars="-50"/>
              <w:jc w:val="center"/>
              <w:rPr>
                <w:kern w:val="0"/>
                <w:szCs w:val="21"/>
              </w:rPr>
            </w:pPr>
            <w:r>
              <w:rPr>
                <w:rFonts w:hint="eastAsia"/>
                <w:kern w:val="0"/>
                <w:szCs w:val="21"/>
              </w:rPr>
              <w:t>/</w:t>
            </w:r>
          </w:p>
        </w:tc>
        <w:tc>
          <w:tcPr>
            <w:tcW w:w="611" w:type="pct"/>
            <w:vAlign w:val="center"/>
          </w:tcPr>
          <w:p w14:paraId="3554C151">
            <w:pPr>
              <w:widowControl/>
              <w:adjustRightInd w:val="0"/>
              <w:snapToGrid w:val="0"/>
              <w:ind w:left="-105" w:leftChars="-50" w:right="-105" w:rightChars="-50"/>
              <w:jc w:val="center"/>
              <w:rPr>
                <w:bCs/>
                <w:szCs w:val="21"/>
              </w:rPr>
            </w:pPr>
            <w:r>
              <w:rPr>
                <w:rFonts w:hint="eastAsia"/>
                <w:bCs/>
                <w:szCs w:val="21"/>
              </w:rPr>
              <w:t>煤仓全封闭</w:t>
            </w:r>
          </w:p>
        </w:tc>
        <w:tc>
          <w:tcPr>
            <w:tcW w:w="182" w:type="pct"/>
            <w:vAlign w:val="center"/>
          </w:tcPr>
          <w:p w14:paraId="0F88FEC5">
            <w:pPr>
              <w:widowControl/>
              <w:adjustRightInd w:val="0"/>
              <w:snapToGrid w:val="0"/>
              <w:ind w:left="-105" w:leftChars="-50" w:right="-105" w:rightChars="-50"/>
              <w:jc w:val="center"/>
              <w:rPr>
                <w:kern w:val="0"/>
                <w:szCs w:val="21"/>
              </w:rPr>
            </w:pPr>
            <w:r>
              <w:rPr>
                <w:rFonts w:hint="eastAsia"/>
                <w:kern w:val="0"/>
                <w:szCs w:val="21"/>
              </w:rPr>
              <w:t>90</w:t>
            </w:r>
          </w:p>
        </w:tc>
        <w:tc>
          <w:tcPr>
            <w:tcW w:w="203" w:type="pct"/>
            <w:vAlign w:val="center"/>
          </w:tcPr>
          <w:p w14:paraId="15A283D7">
            <w:pPr>
              <w:widowControl/>
              <w:adjustRightInd w:val="0"/>
              <w:snapToGrid w:val="0"/>
              <w:ind w:left="-105" w:leftChars="-50" w:right="-105" w:rightChars="-50"/>
              <w:jc w:val="center"/>
              <w:rPr>
                <w:kern w:val="0"/>
                <w:szCs w:val="21"/>
              </w:rPr>
            </w:pPr>
            <w:r>
              <w:rPr>
                <w:rFonts w:hint="eastAsia"/>
                <w:kern w:val="0"/>
                <w:szCs w:val="21"/>
              </w:rPr>
              <w:t>是</w:t>
            </w:r>
          </w:p>
        </w:tc>
        <w:tc>
          <w:tcPr>
            <w:tcW w:w="260" w:type="pct"/>
            <w:vAlign w:val="center"/>
          </w:tcPr>
          <w:p w14:paraId="16A89265">
            <w:pPr>
              <w:widowControl/>
              <w:adjustRightInd w:val="0"/>
              <w:snapToGrid w:val="0"/>
              <w:ind w:left="-105" w:leftChars="-50" w:right="-105" w:rightChars="-50"/>
              <w:jc w:val="center"/>
              <w:rPr>
                <w:kern w:val="0"/>
                <w:szCs w:val="21"/>
              </w:rPr>
            </w:pPr>
            <w:r>
              <w:rPr>
                <w:szCs w:val="21"/>
              </w:rPr>
              <w:t>0.587</w:t>
            </w:r>
          </w:p>
        </w:tc>
        <w:tc>
          <w:tcPr>
            <w:tcW w:w="279" w:type="pct"/>
            <w:vAlign w:val="center"/>
          </w:tcPr>
          <w:p w14:paraId="5C04E483">
            <w:pPr>
              <w:widowControl/>
              <w:adjustRightInd w:val="0"/>
              <w:snapToGrid w:val="0"/>
              <w:ind w:left="-105" w:leftChars="-50" w:right="-105" w:rightChars="-50"/>
              <w:jc w:val="center"/>
              <w:rPr>
                <w:kern w:val="0"/>
                <w:szCs w:val="21"/>
              </w:rPr>
            </w:pPr>
            <w:r>
              <w:rPr>
                <w:rFonts w:hint="eastAsia"/>
                <w:kern w:val="0"/>
                <w:szCs w:val="21"/>
              </w:rPr>
              <w:t>/</w:t>
            </w:r>
          </w:p>
        </w:tc>
        <w:tc>
          <w:tcPr>
            <w:tcW w:w="260" w:type="pct"/>
            <w:vAlign w:val="center"/>
          </w:tcPr>
          <w:p w14:paraId="42BF5BCB">
            <w:pPr>
              <w:widowControl/>
              <w:adjustRightInd w:val="0"/>
              <w:snapToGrid w:val="0"/>
              <w:ind w:left="-105" w:leftChars="-50" w:right="-105" w:rightChars="-50"/>
              <w:jc w:val="center"/>
              <w:rPr>
                <w:kern w:val="0"/>
                <w:szCs w:val="21"/>
              </w:rPr>
            </w:pPr>
            <w:r>
              <w:rPr>
                <w:rFonts w:hint="eastAsia"/>
                <w:kern w:val="0"/>
                <w:szCs w:val="21"/>
              </w:rPr>
              <w:t>/</w:t>
            </w:r>
          </w:p>
        </w:tc>
        <w:tc>
          <w:tcPr>
            <w:tcW w:w="457" w:type="pct"/>
            <w:vMerge w:val="restart"/>
            <w:vAlign w:val="center"/>
          </w:tcPr>
          <w:p w14:paraId="42314B4B">
            <w:pPr>
              <w:widowControl/>
              <w:adjustRightInd w:val="0"/>
              <w:snapToGrid w:val="0"/>
              <w:ind w:left="-105" w:leftChars="-50" w:right="-105" w:rightChars="-50"/>
              <w:jc w:val="center"/>
              <w:rPr>
                <w:bCs/>
                <w:kern w:val="0"/>
                <w:szCs w:val="21"/>
              </w:rPr>
            </w:pPr>
            <w:r>
              <w:rPr>
                <w:rFonts w:hint="eastAsia"/>
                <w:bCs/>
                <w:kern w:val="0"/>
                <w:szCs w:val="21"/>
              </w:rPr>
              <w:t>《煤炭工业污染物排放标准》（GB20426-2006）表5标准</w:t>
            </w:r>
          </w:p>
        </w:tc>
      </w:tr>
      <w:tr w14:paraId="025C18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 w:type="pct"/>
            <w:vAlign w:val="center"/>
          </w:tcPr>
          <w:p w14:paraId="79C53FE7">
            <w:pPr>
              <w:widowControl/>
              <w:adjustRightInd w:val="0"/>
              <w:snapToGrid w:val="0"/>
              <w:ind w:left="-105" w:leftChars="-50" w:right="-105" w:rightChars="-50"/>
              <w:jc w:val="center"/>
              <w:rPr>
                <w:kern w:val="0"/>
                <w:szCs w:val="21"/>
              </w:rPr>
            </w:pPr>
            <w:r>
              <w:rPr>
                <w:rFonts w:hint="eastAsia"/>
                <w:kern w:val="0"/>
                <w:szCs w:val="21"/>
              </w:rPr>
              <w:t>G3</w:t>
            </w:r>
          </w:p>
        </w:tc>
        <w:tc>
          <w:tcPr>
            <w:tcW w:w="182" w:type="pct"/>
            <w:vAlign w:val="center"/>
          </w:tcPr>
          <w:p w14:paraId="1F317163">
            <w:pPr>
              <w:widowControl/>
              <w:adjustRightInd w:val="0"/>
              <w:snapToGrid w:val="0"/>
              <w:ind w:left="-105" w:leftChars="-50" w:right="-105" w:rightChars="-50"/>
              <w:jc w:val="center"/>
              <w:rPr>
                <w:kern w:val="0"/>
                <w:szCs w:val="21"/>
              </w:rPr>
            </w:pPr>
            <w:r>
              <w:rPr>
                <w:rFonts w:hint="eastAsia"/>
                <w:kern w:val="0"/>
                <w:szCs w:val="21"/>
              </w:rPr>
              <w:t>渣仓无组织废气</w:t>
            </w:r>
          </w:p>
        </w:tc>
        <w:tc>
          <w:tcPr>
            <w:tcW w:w="191" w:type="pct"/>
            <w:vAlign w:val="center"/>
          </w:tcPr>
          <w:p w14:paraId="46D7AF2B">
            <w:pPr>
              <w:widowControl/>
              <w:adjustRightInd w:val="0"/>
              <w:snapToGrid w:val="0"/>
              <w:ind w:left="-105" w:leftChars="-50" w:right="-105" w:rightChars="-50"/>
              <w:jc w:val="center"/>
              <w:rPr>
                <w:kern w:val="0"/>
                <w:szCs w:val="21"/>
              </w:rPr>
            </w:pPr>
            <w:r>
              <w:rPr>
                <w:rFonts w:hint="eastAsia"/>
                <w:kern w:val="0"/>
                <w:szCs w:val="21"/>
              </w:rPr>
              <w:t>渣仓</w:t>
            </w:r>
          </w:p>
        </w:tc>
        <w:tc>
          <w:tcPr>
            <w:tcW w:w="194" w:type="pct"/>
            <w:vAlign w:val="center"/>
          </w:tcPr>
          <w:p w14:paraId="5B67D40B">
            <w:pPr>
              <w:widowControl/>
              <w:adjustRightInd w:val="0"/>
              <w:snapToGrid w:val="0"/>
              <w:ind w:left="-105" w:leftChars="-50" w:right="-105" w:rightChars="-50"/>
              <w:jc w:val="center"/>
              <w:rPr>
                <w:kern w:val="0"/>
                <w:szCs w:val="21"/>
              </w:rPr>
            </w:pPr>
            <w:r>
              <w:rPr>
                <w:rFonts w:hint="eastAsia"/>
                <w:kern w:val="0"/>
                <w:szCs w:val="21"/>
              </w:rPr>
              <w:t>装卸运输废气</w:t>
            </w:r>
          </w:p>
        </w:tc>
        <w:tc>
          <w:tcPr>
            <w:tcW w:w="194" w:type="pct"/>
            <w:vAlign w:val="center"/>
          </w:tcPr>
          <w:p w14:paraId="393E9884">
            <w:pPr>
              <w:widowControl/>
              <w:adjustRightInd w:val="0"/>
              <w:snapToGrid w:val="0"/>
              <w:ind w:left="-105" w:leftChars="-50" w:right="-105" w:rightChars="-50"/>
              <w:jc w:val="center"/>
              <w:rPr>
                <w:kern w:val="0"/>
                <w:szCs w:val="21"/>
              </w:rPr>
            </w:pPr>
            <w:r>
              <w:rPr>
                <w:rFonts w:hint="eastAsia"/>
                <w:kern w:val="0"/>
                <w:szCs w:val="21"/>
              </w:rPr>
              <w:t>颗粒物</w:t>
            </w:r>
          </w:p>
        </w:tc>
        <w:tc>
          <w:tcPr>
            <w:tcW w:w="300" w:type="pct"/>
            <w:vAlign w:val="center"/>
          </w:tcPr>
          <w:p w14:paraId="316DD6B9">
            <w:pPr>
              <w:widowControl/>
              <w:adjustRightInd w:val="0"/>
              <w:snapToGrid w:val="0"/>
              <w:ind w:left="-105" w:leftChars="-50" w:right="-105" w:rightChars="-50"/>
              <w:jc w:val="center"/>
              <w:rPr>
                <w:szCs w:val="21"/>
              </w:rPr>
            </w:pPr>
            <w:r>
              <w:rPr>
                <w:rFonts w:hint="eastAsia"/>
                <w:szCs w:val="21"/>
              </w:rPr>
              <w:t>5.27</w:t>
            </w:r>
          </w:p>
        </w:tc>
        <w:tc>
          <w:tcPr>
            <w:tcW w:w="257" w:type="pct"/>
            <w:vAlign w:val="center"/>
          </w:tcPr>
          <w:p w14:paraId="5DD337B8">
            <w:pPr>
              <w:widowControl/>
              <w:adjustRightInd w:val="0"/>
              <w:snapToGrid w:val="0"/>
              <w:ind w:left="-105" w:leftChars="-50" w:right="-105" w:rightChars="-50"/>
              <w:jc w:val="center"/>
              <w:rPr>
                <w:kern w:val="0"/>
                <w:szCs w:val="21"/>
              </w:rPr>
            </w:pPr>
            <w:r>
              <w:rPr>
                <w:rFonts w:hint="eastAsia"/>
                <w:kern w:val="0"/>
                <w:szCs w:val="21"/>
              </w:rPr>
              <w:t>/</w:t>
            </w:r>
          </w:p>
        </w:tc>
        <w:tc>
          <w:tcPr>
            <w:tcW w:w="340" w:type="pct"/>
            <w:vAlign w:val="center"/>
          </w:tcPr>
          <w:p w14:paraId="0B0D76BF">
            <w:pPr>
              <w:widowControl/>
              <w:adjustRightInd w:val="0"/>
              <w:snapToGrid w:val="0"/>
              <w:ind w:left="-105" w:leftChars="-50" w:right="-105" w:rightChars="-50"/>
              <w:jc w:val="center"/>
              <w:rPr>
                <w:kern w:val="0"/>
                <w:szCs w:val="21"/>
              </w:rPr>
            </w:pPr>
            <w:r>
              <w:rPr>
                <w:rFonts w:hint="eastAsia"/>
                <w:kern w:val="0"/>
                <w:szCs w:val="21"/>
              </w:rPr>
              <w:t>/</w:t>
            </w:r>
          </w:p>
        </w:tc>
        <w:tc>
          <w:tcPr>
            <w:tcW w:w="120" w:type="pct"/>
            <w:vAlign w:val="center"/>
          </w:tcPr>
          <w:p w14:paraId="1E913C41">
            <w:pPr>
              <w:widowControl/>
              <w:adjustRightInd w:val="0"/>
              <w:snapToGrid w:val="0"/>
              <w:ind w:left="-105" w:leftChars="-50" w:right="-105" w:rightChars="-50"/>
              <w:jc w:val="center"/>
              <w:rPr>
                <w:kern w:val="0"/>
                <w:szCs w:val="21"/>
              </w:rPr>
            </w:pPr>
            <w:r>
              <w:rPr>
                <w:rFonts w:hint="eastAsia"/>
                <w:kern w:val="0"/>
                <w:szCs w:val="21"/>
              </w:rPr>
              <w:t>无组织</w:t>
            </w:r>
          </w:p>
        </w:tc>
        <w:tc>
          <w:tcPr>
            <w:tcW w:w="162" w:type="pct"/>
            <w:vAlign w:val="center"/>
          </w:tcPr>
          <w:p w14:paraId="44C14C4D">
            <w:pPr>
              <w:widowControl/>
              <w:adjustRightInd w:val="0"/>
              <w:snapToGrid w:val="0"/>
              <w:ind w:left="-105" w:leftChars="-50" w:right="-105" w:rightChars="-50"/>
              <w:jc w:val="center"/>
              <w:rPr>
                <w:kern w:val="0"/>
                <w:szCs w:val="21"/>
              </w:rPr>
            </w:pPr>
            <w:r>
              <w:rPr>
                <w:rFonts w:hint="eastAsia"/>
                <w:kern w:val="0"/>
                <w:szCs w:val="21"/>
              </w:rPr>
              <w:t>/</w:t>
            </w:r>
          </w:p>
        </w:tc>
        <w:tc>
          <w:tcPr>
            <w:tcW w:w="276" w:type="pct"/>
            <w:vAlign w:val="center"/>
          </w:tcPr>
          <w:p w14:paraId="4698F2C6">
            <w:pPr>
              <w:widowControl/>
              <w:adjustRightInd w:val="0"/>
              <w:snapToGrid w:val="0"/>
              <w:ind w:left="-105" w:leftChars="-50" w:right="-105" w:rightChars="-50"/>
              <w:jc w:val="center"/>
              <w:rPr>
                <w:kern w:val="0"/>
                <w:szCs w:val="21"/>
              </w:rPr>
            </w:pPr>
            <w:r>
              <w:rPr>
                <w:rFonts w:hint="eastAsia"/>
                <w:kern w:val="0"/>
                <w:szCs w:val="21"/>
              </w:rPr>
              <w:t>/</w:t>
            </w:r>
          </w:p>
        </w:tc>
        <w:tc>
          <w:tcPr>
            <w:tcW w:w="129" w:type="pct"/>
            <w:vAlign w:val="center"/>
          </w:tcPr>
          <w:p w14:paraId="74A676BC">
            <w:pPr>
              <w:widowControl/>
              <w:adjustRightInd w:val="0"/>
              <w:snapToGrid w:val="0"/>
              <w:ind w:left="-105" w:leftChars="-50" w:right="-105" w:rightChars="-50"/>
              <w:jc w:val="center"/>
              <w:rPr>
                <w:kern w:val="0"/>
                <w:szCs w:val="21"/>
              </w:rPr>
            </w:pPr>
            <w:r>
              <w:rPr>
                <w:rFonts w:hint="eastAsia"/>
                <w:kern w:val="0"/>
                <w:szCs w:val="21"/>
              </w:rPr>
              <w:t>/</w:t>
            </w:r>
          </w:p>
        </w:tc>
        <w:tc>
          <w:tcPr>
            <w:tcW w:w="140" w:type="pct"/>
            <w:vAlign w:val="center"/>
          </w:tcPr>
          <w:p w14:paraId="3125FE36">
            <w:pPr>
              <w:widowControl/>
              <w:adjustRightInd w:val="0"/>
              <w:snapToGrid w:val="0"/>
              <w:ind w:left="-105" w:leftChars="-50" w:right="-105" w:rightChars="-50"/>
              <w:jc w:val="center"/>
              <w:rPr>
                <w:kern w:val="0"/>
                <w:szCs w:val="21"/>
              </w:rPr>
            </w:pPr>
            <w:r>
              <w:rPr>
                <w:rFonts w:hint="eastAsia"/>
                <w:kern w:val="0"/>
                <w:szCs w:val="21"/>
              </w:rPr>
              <w:t>/</w:t>
            </w:r>
          </w:p>
        </w:tc>
        <w:tc>
          <w:tcPr>
            <w:tcW w:w="611" w:type="pct"/>
            <w:vAlign w:val="center"/>
          </w:tcPr>
          <w:p w14:paraId="19963775">
            <w:pPr>
              <w:widowControl/>
              <w:adjustRightInd w:val="0"/>
              <w:snapToGrid w:val="0"/>
              <w:ind w:left="-105" w:leftChars="-50" w:right="-105" w:rightChars="-50"/>
              <w:jc w:val="center"/>
              <w:rPr>
                <w:bCs/>
                <w:szCs w:val="21"/>
              </w:rPr>
            </w:pPr>
            <w:r>
              <w:rPr>
                <w:rFonts w:hint="eastAsia"/>
                <w:bCs/>
                <w:szCs w:val="21"/>
              </w:rPr>
              <w:t>渣仓全封闭</w:t>
            </w:r>
          </w:p>
        </w:tc>
        <w:tc>
          <w:tcPr>
            <w:tcW w:w="182" w:type="pct"/>
            <w:vAlign w:val="center"/>
          </w:tcPr>
          <w:p w14:paraId="32DA552D">
            <w:pPr>
              <w:widowControl/>
              <w:adjustRightInd w:val="0"/>
              <w:snapToGrid w:val="0"/>
              <w:ind w:left="-105" w:leftChars="-50" w:right="-105" w:rightChars="-50"/>
              <w:jc w:val="center"/>
              <w:rPr>
                <w:kern w:val="0"/>
                <w:szCs w:val="21"/>
              </w:rPr>
            </w:pPr>
            <w:r>
              <w:rPr>
                <w:rFonts w:hint="eastAsia"/>
                <w:kern w:val="0"/>
                <w:szCs w:val="21"/>
              </w:rPr>
              <w:t>90</w:t>
            </w:r>
          </w:p>
        </w:tc>
        <w:tc>
          <w:tcPr>
            <w:tcW w:w="203" w:type="pct"/>
            <w:vAlign w:val="center"/>
          </w:tcPr>
          <w:p w14:paraId="7D0278BC">
            <w:pPr>
              <w:widowControl/>
              <w:adjustRightInd w:val="0"/>
              <w:snapToGrid w:val="0"/>
              <w:ind w:left="-105" w:leftChars="-50" w:right="-105" w:rightChars="-50"/>
              <w:jc w:val="center"/>
              <w:rPr>
                <w:kern w:val="0"/>
                <w:szCs w:val="21"/>
              </w:rPr>
            </w:pPr>
            <w:r>
              <w:rPr>
                <w:rFonts w:hint="eastAsia"/>
                <w:kern w:val="0"/>
                <w:szCs w:val="21"/>
              </w:rPr>
              <w:t>是</w:t>
            </w:r>
          </w:p>
        </w:tc>
        <w:tc>
          <w:tcPr>
            <w:tcW w:w="260" w:type="pct"/>
            <w:vAlign w:val="center"/>
          </w:tcPr>
          <w:p w14:paraId="62DEB8E2">
            <w:pPr>
              <w:widowControl/>
              <w:adjustRightInd w:val="0"/>
              <w:snapToGrid w:val="0"/>
              <w:ind w:left="-105" w:leftChars="-50" w:right="-105" w:rightChars="-50"/>
              <w:jc w:val="center"/>
              <w:rPr>
                <w:szCs w:val="21"/>
              </w:rPr>
            </w:pPr>
            <w:r>
              <w:rPr>
                <w:szCs w:val="21"/>
              </w:rPr>
              <w:t>0.527</w:t>
            </w:r>
          </w:p>
        </w:tc>
        <w:tc>
          <w:tcPr>
            <w:tcW w:w="279" w:type="pct"/>
            <w:vAlign w:val="center"/>
          </w:tcPr>
          <w:p w14:paraId="1567A838">
            <w:pPr>
              <w:widowControl/>
              <w:adjustRightInd w:val="0"/>
              <w:snapToGrid w:val="0"/>
              <w:ind w:left="-105" w:leftChars="-50" w:right="-105" w:rightChars="-50"/>
              <w:jc w:val="center"/>
              <w:rPr>
                <w:kern w:val="0"/>
                <w:szCs w:val="21"/>
              </w:rPr>
            </w:pPr>
            <w:r>
              <w:rPr>
                <w:rFonts w:hint="eastAsia"/>
                <w:kern w:val="0"/>
                <w:szCs w:val="21"/>
              </w:rPr>
              <w:t>/</w:t>
            </w:r>
          </w:p>
        </w:tc>
        <w:tc>
          <w:tcPr>
            <w:tcW w:w="260" w:type="pct"/>
            <w:vAlign w:val="center"/>
          </w:tcPr>
          <w:p w14:paraId="44AD3852">
            <w:pPr>
              <w:widowControl/>
              <w:adjustRightInd w:val="0"/>
              <w:snapToGrid w:val="0"/>
              <w:ind w:left="-105" w:leftChars="-50" w:right="-105" w:rightChars="-50"/>
              <w:jc w:val="center"/>
              <w:rPr>
                <w:kern w:val="0"/>
                <w:szCs w:val="21"/>
              </w:rPr>
            </w:pPr>
            <w:r>
              <w:rPr>
                <w:rFonts w:hint="eastAsia"/>
                <w:kern w:val="0"/>
                <w:szCs w:val="21"/>
              </w:rPr>
              <w:t>/</w:t>
            </w:r>
          </w:p>
        </w:tc>
        <w:tc>
          <w:tcPr>
            <w:tcW w:w="457" w:type="pct"/>
            <w:vMerge w:val="continue"/>
            <w:vAlign w:val="center"/>
          </w:tcPr>
          <w:p w14:paraId="445682AC">
            <w:pPr>
              <w:widowControl/>
              <w:adjustRightInd w:val="0"/>
              <w:snapToGrid w:val="0"/>
              <w:ind w:left="-105" w:leftChars="-50" w:right="-105" w:rightChars="-50"/>
              <w:jc w:val="center"/>
              <w:rPr>
                <w:bCs/>
                <w:kern w:val="0"/>
                <w:szCs w:val="21"/>
              </w:rPr>
            </w:pPr>
          </w:p>
        </w:tc>
      </w:tr>
      <w:tr w14:paraId="60D460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 w:type="pct"/>
            <w:vAlign w:val="center"/>
          </w:tcPr>
          <w:p w14:paraId="7CE3D28F">
            <w:pPr>
              <w:widowControl/>
              <w:adjustRightInd w:val="0"/>
              <w:snapToGrid w:val="0"/>
              <w:ind w:left="-105" w:leftChars="-50" w:right="-105" w:rightChars="-50"/>
              <w:jc w:val="center"/>
              <w:rPr>
                <w:kern w:val="0"/>
                <w:szCs w:val="21"/>
              </w:rPr>
            </w:pPr>
            <w:r>
              <w:rPr>
                <w:rFonts w:hint="eastAsia"/>
                <w:kern w:val="0"/>
                <w:szCs w:val="21"/>
              </w:rPr>
              <w:t>G4</w:t>
            </w:r>
          </w:p>
        </w:tc>
        <w:tc>
          <w:tcPr>
            <w:tcW w:w="182" w:type="pct"/>
            <w:vAlign w:val="center"/>
          </w:tcPr>
          <w:p w14:paraId="4B11A532">
            <w:pPr>
              <w:widowControl/>
              <w:adjustRightInd w:val="0"/>
              <w:snapToGrid w:val="0"/>
              <w:ind w:left="-105" w:leftChars="-50" w:right="-105" w:rightChars="-50"/>
              <w:jc w:val="center"/>
              <w:rPr>
                <w:kern w:val="0"/>
                <w:szCs w:val="21"/>
              </w:rPr>
            </w:pPr>
            <w:r>
              <w:rPr>
                <w:rFonts w:hint="eastAsia"/>
                <w:kern w:val="0"/>
                <w:szCs w:val="21"/>
              </w:rPr>
              <w:t>氨逃逸（采暖期）</w:t>
            </w:r>
          </w:p>
        </w:tc>
        <w:tc>
          <w:tcPr>
            <w:tcW w:w="191" w:type="pct"/>
            <w:vAlign w:val="center"/>
          </w:tcPr>
          <w:p w14:paraId="7EFB42B5">
            <w:pPr>
              <w:widowControl/>
              <w:adjustRightInd w:val="0"/>
              <w:snapToGrid w:val="0"/>
              <w:ind w:left="-105" w:leftChars="-50" w:right="-105" w:rightChars="-50"/>
              <w:jc w:val="center"/>
              <w:rPr>
                <w:kern w:val="0"/>
                <w:szCs w:val="21"/>
              </w:rPr>
            </w:pPr>
            <w:r>
              <w:rPr>
                <w:rFonts w:hint="eastAsia"/>
                <w:kern w:val="0"/>
                <w:szCs w:val="21"/>
              </w:rPr>
              <w:t>SCR</w:t>
            </w:r>
          </w:p>
        </w:tc>
        <w:tc>
          <w:tcPr>
            <w:tcW w:w="194" w:type="pct"/>
            <w:vAlign w:val="center"/>
          </w:tcPr>
          <w:p w14:paraId="083B07E7">
            <w:pPr>
              <w:widowControl/>
              <w:adjustRightInd w:val="0"/>
              <w:snapToGrid w:val="0"/>
              <w:ind w:left="-105" w:leftChars="-50" w:right="-105" w:rightChars="-50"/>
              <w:jc w:val="center"/>
              <w:rPr>
                <w:kern w:val="0"/>
                <w:szCs w:val="21"/>
              </w:rPr>
            </w:pPr>
            <w:r>
              <w:rPr>
                <w:rFonts w:hint="eastAsia"/>
                <w:kern w:val="0"/>
                <w:szCs w:val="21"/>
              </w:rPr>
              <w:t>氨逃逸</w:t>
            </w:r>
          </w:p>
        </w:tc>
        <w:tc>
          <w:tcPr>
            <w:tcW w:w="194" w:type="pct"/>
            <w:vAlign w:val="center"/>
          </w:tcPr>
          <w:p w14:paraId="5BAADCFE">
            <w:pPr>
              <w:widowControl/>
              <w:adjustRightInd w:val="0"/>
              <w:snapToGrid w:val="0"/>
              <w:ind w:left="-105" w:leftChars="-50" w:right="-105" w:rightChars="-50"/>
              <w:jc w:val="center"/>
              <w:rPr>
                <w:kern w:val="0"/>
                <w:szCs w:val="21"/>
              </w:rPr>
            </w:pPr>
            <w:r>
              <w:rPr>
                <w:rFonts w:hint="eastAsia"/>
                <w:kern w:val="0"/>
                <w:szCs w:val="21"/>
              </w:rPr>
              <w:t>氨</w:t>
            </w:r>
          </w:p>
        </w:tc>
        <w:tc>
          <w:tcPr>
            <w:tcW w:w="300" w:type="pct"/>
            <w:vAlign w:val="center"/>
          </w:tcPr>
          <w:p w14:paraId="44ECDF54">
            <w:pPr>
              <w:widowControl/>
              <w:adjustRightInd w:val="0"/>
              <w:snapToGrid w:val="0"/>
              <w:ind w:left="-105" w:leftChars="-50" w:right="-105" w:rightChars="-50"/>
              <w:jc w:val="center"/>
              <w:rPr>
                <w:szCs w:val="21"/>
              </w:rPr>
            </w:pPr>
            <w:r>
              <w:rPr>
                <w:bCs/>
                <w:szCs w:val="21"/>
              </w:rPr>
              <w:t>0.723</w:t>
            </w:r>
          </w:p>
        </w:tc>
        <w:tc>
          <w:tcPr>
            <w:tcW w:w="257" w:type="pct"/>
            <w:vAlign w:val="center"/>
          </w:tcPr>
          <w:p w14:paraId="4E40784D">
            <w:pPr>
              <w:widowControl/>
              <w:adjustRightInd w:val="0"/>
              <w:snapToGrid w:val="0"/>
              <w:ind w:left="-105" w:leftChars="-50" w:right="-105" w:rightChars="-50"/>
              <w:jc w:val="center"/>
              <w:rPr>
                <w:kern w:val="0"/>
                <w:szCs w:val="21"/>
              </w:rPr>
            </w:pPr>
            <w:r>
              <w:rPr>
                <w:bCs/>
                <w:szCs w:val="21"/>
              </w:rPr>
              <w:t>0.22</w:t>
            </w:r>
          </w:p>
        </w:tc>
        <w:tc>
          <w:tcPr>
            <w:tcW w:w="340" w:type="pct"/>
            <w:vAlign w:val="center"/>
          </w:tcPr>
          <w:p w14:paraId="1A53F333">
            <w:pPr>
              <w:widowControl/>
              <w:adjustRightInd w:val="0"/>
              <w:snapToGrid w:val="0"/>
              <w:ind w:left="-105" w:leftChars="-50" w:right="-105" w:rightChars="-50"/>
              <w:jc w:val="center"/>
              <w:rPr>
                <w:kern w:val="0"/>
                <w:szCs w:val="21"/>
              </w:rPr>
            </w:pPr>
            <w:r>
              <w:rPr>
                <w:kern w:val="0"/>
                <w:szCs w:val="21"/>
              </w:rPr>
              <w:t>2.5</w:t>
            </w:r>
          </w:p>
        </w:tc>
        <w:tc>
          <w:tcPr>
            <w:tcW w:w="120" w:type="pct"/>
            <w:vAlign w:val="center"/>
          </w:tcPr>
          <w:p w14:paraId="21A59B1C">
            <w:pPr>
              <w:widowControl/>
              <w:adjustRightInd w:val="0"/>
              <w:snapToGrid w:val="0"/>
              <w:ind w:left="-105" w:leftChars="-50" w:right="-105" w:rightChars="-50"/>
              <w:jc w:val="center"/>
              <w:rPr>
                <w:kern w:val="0"/>
                <w:szCs w:val="21"/>
              </w:rPr>
            </w:pPr>
            <w:r>
              <w:rPr>
                <w:rFonts w:hint="eastAsia"/>
                <w:kern w:val="0"/>
                <w:szCs w:val="21"/>
              </w:rPr>
              <w:t>有组织</w:t>
            </w:r>
          </w:p>
        </w:tc>
        <w:tc>
          <w:tcPr>
            <w:tcW w:w="162" w:type="pct"/>
            <w:vAlign w:val="center"/>
          </w:tcPr>
          <w:p w14:paraId="693C41C2">
            <w:pPr>
              <w:widowControl/>
              <w:adjustRightInd w:val="0"/>
              <w:snapToGrid w:val="0"/>
              <w:ind w:left="-105" w:leftChars="-50" w:right="-105" w:rightChars="-50"/>
              <w:jc w:val="center"/>
              <w:rPr>
                <w:kern w:val="0"/>
                <w:szCs w:val="21"/>
              </w:rPr>
            </w:pPr>
            <w:r>
              <w:rPr>
                <w:rFonts w:hint="eastAsia"/>
                <w:kern w:val="0"/>
                <w:szCs w:val="21"/>
              </w:rPr>
              <w:t>主要排放口</w:t>
            </w:r>
          </w:p>
        </w:tc>
        <w:tc>
          <w:tcPr>
            <w:tcW w:w="276" w:type="pct"/>
            <w:vAlign w:val="center"/>
          </w:tcPr>
          <w:p w14:paraId="47B39F58">
            <w:pPr>
              <w:widowControl/>
              <w:adjustRightInd w:val="0"/>
              <w:snapToGrid w:val="0"/>
              <w:ind w:left="-105" w:leftChars="-50" w:right="-105" w:rightChars="-50"/>
              <w:jc w:val="center"/>
              <w:rPr>
                <w:kern w:val="0"/>
                <w:szCs w:val="21"/>
              </w:rPr>
            </w:pPr>
            <w:r>
              <w:rPr>
                <w:rFonts w:hint="eastAsia"/>
                <w:kern w:val="0"/>
                <w:szCs w:val="21"/>
              </w:rPr>
              <w:t>DA001</w:t>
            </w:r>
          </w:p>
        </w:tc>
        <w:tc>
          <w:tcPr>
            <w:tcW w:w="129" w:type="pct"/>
            <w:vAlign w:val="center"/>
          </w:tcPr>
          <w:p w14:paraId="50F4D413">
            <w:pPr>
              <w:widowControl/>
              <w:adjustRightInd w:val="0"/>
              <w:snapToGrid w:val="0"/>
              <w:ind w:left="-105" w:leftChars="-50" w:right="-105" w:rightChars="-50"/>
              <w:jc w:val="center"/>
              <w:rPr>
                <w:kern w:val="0"/>
                <w:szCs w:val="21"/>
              </w:rPr>
            </w:pPr>
            <w:r>
              <w:rPr>
                <w:rFonts w:hint="eastAsia"/>
                <w:kern w:val="0"/>
                <w:szCs w:val="21"/>
              </w:rPr>
              <w:t>45</w:t>
            </w:r>
          </w:p>
        </w:tc>
        <w:tc>
          <w:tcPr>
            <w:tcW w:w="140" w:type="pct"/>
            <w:vAlign w:val="center"/>
          </w:tcPr>
          <w:p w14:paraId="5B78C653">
            <w:pPr>
              <w:widowControl/>
              <w:adjustRightInd w:val="0"/>
              <w:snapToGrid w:val="0"/>
              <w:ind w:left="-105" w:leftChars="-50" w:right="-105" w:rightChars="-50"/>
              <w:jc w:val="center"/>
              <w:rPr>
                <w:kern w:val="0"/>
                <w:szCs w:val="21"/>
              </w:rPr>
            </w:pPr>
            <w:r>
              <w:rPr>
                <w:rFonts w:hint="eastAsia"/>
                <w:kern w:val="0"/>
                <w:szCs w:val="21"/>
              </w:rPr>
              <w:t>1.6</w:t>
            </w:r>
          </w:p>
        </w:tc>
        <w:tc>
          <w:tcPr>
            <w:tcW w:w="611" w:type="pct"/>
            <w:vAlign w:val="center"/>
          </w:tcPr>
          <w:p w14:paraId="435D4DCC">
            <w:pPr>
              <w:widowControl/>
              <w:adjustRightInd w:val="0"/>
              <w:snapToGrid w:val="0"/>
              <w:ind w:left="-105" w:leftChars="-50" w:right="-105" w:rightChars="-50"/>
              <w:jc w:val="center"/>
              <w:rPr>
                <w:bCs/>
                <w:szCs w:val="21"/>
              </w:rPr>
            </w:pPr>
            <w:r>
              <w:rPr>
                <w:rFonts w:hint="eastAsia"/>
                <w:bCs/>
                <w:szCs w:val="21"/>
              </w:rPr>
              <w:t>1根45m高排气筒（DA001）排放</w:t>
            </w:r>
          </w:p>
        </w:tc>
        <w:tc>
          <w:tcPr>
            <w:tcW w:w="182" w:type="pct"/>
            <w:vAlign w:val="center"/>
          </w:tcPr>
          <w:p w14:paraId="6D7E574F">
            <w:pPr>
              <w:widowControl/>
              <w:adjustRightInd w:val="0"/>
              <w:snapToGrid w:val="0"/>
              <w:ind w:left="-105" w:leftChars="-50" w:right="-105" w:rightChars="-50"/>
              <w:jc w:val="center"/>
              <w:rPr>
                <w:kern w:val="0"/>
                <w:szCs w:val="21"/>
              </w:rPr>
            </w:pPr>
            <w:r>
              <w:rPr>
                <w:rFonts w:hint="eastAsia"/>
                <w:kern w:val="0"/>
                <w:szCs w:val="21"/>
              </w:rPr>
              <w:t>/</w:t>
            </w:r>
          </w:p>
        </w:tc>
        <w:tc>
          <w:tcPr>
            <w:tcW w:w="203" w:type="pct"/>
            <w:vAlign w:val="center"/>
          </w:tcPr>
          <w:p w14:paraId="22E8677D">
            <w:pPr>
              <w:widowControl/>
              <w:adjustRightInd w:val="0"/>
              <w:snapToGrid w:val="0"/>
              <w:ind w:left="-105" w:leftChars="-50" w:right="-105" w:rightChars="-50"/>
              <w:jc w:val="center"/>
              <w:rPr>
                <w:kern w:val="0"/>
                <w:szCs w:val="21"/>
              </w:rPr>
            </w:pPr>
            <w:r>
              <w:rPr>
                <w:rFonts w:hint="eastAsia"/>
                <w:kern w:val="0"/>
                <w:szCs w:val="21"/>
              </w:rPr>
              <w:t>/</w:t>
            </w:r>
          </w:p>
        </w:tc>
        <w:tc>
          <w:tcPr>
            <w:tcW w:w="260" w:type="pct"/>
            <w:vAlign w:val="center"/>
          </w:tcPr>
          <w:p w14:paraId="48D6EE91">
            <w:pPr>
              <w:widowControl/>
              <w:adjustRightInd w:val="0"/>
              <w:snapToGrid w:val="0"/>
              <w:ind w:left="-105" w:leftChars="-50" w:right="-105" w:rightChars="-50"/>
              <w:jc w:val="center"/>
              <w:rPr>
                <w:szCs w:val="21"/>
              </w:rPr>
            </w:pPr>
            <w:r>
              <w:rPr>
                <w:bCs/>
                <w:szCs w:val="21"/>
              </w:rPr>
              <w:t>0.723</w:t>
            </w:r>
          </w:p>
        </w:tc>
        <w:tc>
          <w:tcPr>
            <w:tcW w:w="279" w:type="pct"/>
            <w:vAlign w:val="center"/>
          </w:tcPr>
          <w:p w14:paraId="788B0771">
            <w:pPr>
              <w:widowControl/>
              <w:adjustRightInd w:val="0"/>
              <w:snapToGrid w:val="0"/>
              <w:ind w:left="-105" w:leftChars="-50" w:right="-105" w:rightChars="-50"/>
              <w:jc w:val="center"/>
              <w:rPr>
                <w:kern w:val="0"/>
                <w:szCs w:val="21"/>
              </w:rPr>
            </w:pPr>
            <w:r>
              <w:rPr>
                <w:bCs/>
                <w:szCs w:val="21"/>
              </w:rPr>
              <w:t>0.22</w:t>
            </w:r>
          </w:p>
        </w:tc>
        <w:tc>
          <w:tcPr>
            <w:tcW w:w="260" w:type="pct"/>
            <w:vAlign w:val="center"/>
          </w:tcPr>
          <w:p w14:paraId="08A960EE">
            <w:pPr>
              <w:widowControl/>
              <w:adjustRightInd w:val="0"/>
              <w:snapToGrid w:val="0"/>
              <w:ind w:left="-105" w:leftChars="-50" w:right="-105" w:rightChars="-50"/>
              <w:jc w:val="center"/>
              <w:rPr>
                <w:kern w:val="0"/>
                <w:szCs w:val="21"/>
              </w:rPr>
            </w:pPr>
            <w:r>
              <w:rPr>
                <w:kern w:val="0"/>
                <w:szCs w:val="21"/>
              </w:rPr>
              <w:t>2.5</w:t>
            </w:r>
          </w:p>
        </w:tc>
        <w:tc>
          <w:tcPr>
            <w:tcW w:w="457" w:type="pct"/>
            <w:vAlign w:val="center"/>
          </w:tcPr>
          <w:p w14:paraId="64F84D12">
            <w:pPr>
              <w:widowControl/>
              <w:adjustRightInd w:val="0"/>
              <w:snapToGrid w:val="0"/>
              <w:ind w:left="-105" w:leftChars="-50" w:right="-105" w:rightChars="-50"/>
              <w:jc w:val="center"/>
              <w:rPr>
                <w:bCs/>
                <w:kern w:val="0"/>
                <w:szCs w:val="21"/>
              </w:rPr>
            </w:pPr>
            <w:r>
              <w:rPr>
                <w:rFonts w:hint="eastAsia"/>
                <w:bCs/>
                <w:kern w:val="0"/>
                <w:szCs w:val="21"/>
              </w:rPr>
              <w:t>《火电厂烟气脱硝工程技术规范 选择性催化还原法》（HJ563-2010）</w:t>
            </w:r>
          </w:p>
        </w:tc>
      </w:tr>
      <w:tr w14:paraId="243F1F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263" w:type="pct"/>
            <w:vAlign w:val="center"/>
          </w:tcPr>
          <w:p w14:paraId="38C228F3">
            <w:pPr>
              <w:widowControl/>
              <w:adjustRightInd w:val="0"/>
              <w:snapToGrid w:val="0"/>
              <w:ind w:left="-105" w:leftChars="-50" w:right="-105" w:rightChars="-50"/>
              <w:jc w:val="center"/>
              <w:rPr>
                <w:kern w:val="0"/>
                <w:szCs w:val="21"/>
              </w:rPr>
            </w:pPr>
            <w:r>
              <w:rPr>
                <w:rFonts w:hint="eastAsia"/>
                <w:kern w:val="0"/>
                <w:szCs w:val="21"/>
              </w:rPr>
              <w:t>G4</w:t>
            </w:r>
          </w:p>
        </w:tc>
        <w:tc>
          <w:tcPr>
            <w:tcW w:w="182" w:type="pct"/>
            <w:vAlign w:val="center"/>
          </w:tcPr>
          <w:p w14:paraId="0BA9C826">
            <w:pPr>
              <w:widowControl/>
              <w:adjustRightInd w:val="0"/>
              <w:snapToGrid w:val="0"/>
              <w:ind w:left="-105" w:leftChars="-50" w:right="-105" w:rightChars="-50"/>
              <w:jc w:val="center"/>
              <w:rPr>
                <w:kern w:val="0"/>
                <w:szCs w:val="21"/>
              </w:rPr>
            </w:pPr>
            <w:r>
              <w:rPr>
                <w:rFonts w:hint="eastAsia"/>
                <w:kern w:val="0"/>
                <w:szCs w:val="21"/>
              </w:rPr>
              <w:t>氨逃逸（非采暖期）</w:t>
            </w:r>
          </w:p>
        </w:tc>
        <w:tc>
          <w:tcPr>
            <w:tcW w:w="191" w:type="pct"/>
            <w:vAlign w:val="center"/>
          </w:tcPr>
          <w:p w14:paraId="0B70136E">
            <w:pPr>
              <w:widowControl/>
              <w:adjustRightInd w:val="0"/>
              <w:snapToGrid w:val="0"/>
              <w:ind w:left="-105" w:leftChars="-50" w:right="-105" w:rightChars="-50"/>
              <w:jc w:val="center"/>
              <w:rPr>
                <w:kern w:val="0"/>
                <w:szCs w:val="21"/>
              </w:rPr>
            </w:pPr>
            <w:r>
              <w:rPr>
                <w:rFonts w:hint="eastAsia"/>
                <w:kern w:val="0"/>
                <w:szCs w:val="21"/>
              </w:rPr>
              <w:t>SCR</w:t>
            </w:r>
          </w:p>
        </w:tc>
        <w:tc>
          <w:tcPr>
            <w:tcW w:w="194" w:type="pct"/>
            <w:vAlign w:val="center"/>
          </w:tcPr>
          <w:p w14:paraId="65A60A39">
            <w:pPr>
              <w:widowControl/>
              <w:adjustRightInd w:val="0"/>
              <w:snapToGrid w:val="0"/>
              <w:ind w:left="-105" w:leftChars="-50" w:right="-105" w:rightChars="-50"/>
              <w:jc w:val="center"/>
              <w:rPr>
                <w:kern w:val="0"/>
                <w:szCs w:val="21"/>
              </w:rPr>
            </w:pPr>
            <w:r>
              <w:rPr>
                <w:rFonts w:hint="eastAsia"/>
                <w:kern w:val="0"/>
                <w:szCs w:val="21"/>
              </w:rPr>
              <w:t>氨逃逸</w:t>
            </w:r>
          </w:p>
        </w:tc>
        <w:tc>
          <w:tcPr>
            <w:tcW w:w="194" w:type="pct"/>
            <w:vAlign w:val="center"/>
          </w:tcPr>
          <w:p w14:paraId="2DE30D71">
            <w:pPr>
              <w:widowControl/>
              <w:adjustRightInd w:val="0"/>
              <w:snapToGrid w:val="0"/>
              <w:ind w:left="-105" w:leftChars="-50" w:right="-105" w:rightChars="-50"/>
              <w:jc w:val="center"/>
              <w:rPr>
                <w:kern w:val="0"/>
                <w:szCs w:val="21"/>
              </w:rPr>
            </w:pPr>
            <w:r>
              <w:rPr>
                <w:rFonts w:hint="eastAsia"/>
                <w:kern w:val="0"/>
                <w:szCs w:val="21"/>
              </w:rPr>
              <w:t>氨</w:t>
            </w:r>
          </w:p>
        </w:tc>
        <w:tc>
          <w:tcPr>
            <w:tcW w:w="300" w:type="pct"/>
            <w:vAlign w:val="center"/>
          </w:tcPr>
          <w:p w14:paraId="7A876EA1">
            <w:pPr>
              <w:widowControl/>
              <w:adjustRightInd w:val="0"/>
              <w:snapToGrid w:val="0"/>
              <w:ind w:left="-105" w:leftChars="-50" w:right="-105" w:rightChars="-50"/>
              <w:jc w:val="center"/>
              <w:rPr>
                <w:szCs w:val="21"/>
              </w:rPr>
            </w:pPr>
            <w:r>
              <w:rPr>
                <w:bCs/>
                <w:szCs w:val="21"/>
              </w:rPr>
              <w:t>0.241</w:t>
            </w:r>
          </w:p>
        </w:tc>
        <w:tc>
          <w:tcPr>
            <w:tcW w:w="257" w:type="pct"/>
            <w:vAlign w:val="center"/>
          </w:tcPr>
          <w:p w14:paraId="38AC1ABD">
            <w:pPr>
              <w:widowControl/>
              <w:adjustRightInd w:val="0"/>
              <w:snapToGrid w:val="0"/>
              <w:ind w:left="-105" w:leftChars="-50" w:right="-105" w:rightChars="-50"/>
              <w:jc w:val="center"/>
              <w:rPr>
                <w:kern w:val="0"/>
                <w:szCs w:val="21"/>
              </w:rPr>
            </w:pPr>
            <w:r>
              <w:rPr>
                <w:bCs/>
                <w:szCs w:val="21"/>
              </w:rPr>
              <w:t>0.06</w:t>
            </w:r>
          </w:p>
        </w:tc>
        <w:tc>
          <w:tcPr>
            <w:tcW w:w="340" w:type="pct"/>
            <w:vAlign w:val="center"/>
          </w:tcPr>
          <w:p w14:paraId="3D8A8F10">
            <w:pPr>
              <w:widowControl/>
              <w:adjustRightInd w:val="0"/>
              <w:snapToGrid w:val="0"/>
              <w:ind w:left="-105" w:leftChars="-50" w:right="-105" w:rightChars="-50"/>
              <w:jc w:val="center"/>
              <w:rPr>
                <w:kern w:val="0"/>
                <w:szCs w:val="21"/>
              </w:rPr>
            </w:pPr>
            <w:r>
              <w:rPr>
                <w:kern w:val="0"/>
                <w:szCs w:val="21"/>
              </w:rPr>
              <w:t>2.5</w:t>
            </w:r>
          </w:p>
        </w:tc>
        <w:tc>
          <w:tcPr>
            <w:tcW w:w="120" w:type="pct"/>
            <w:vAlign w:val="center"/>
          </w:tcPr>
          <w:p w14:paraId="079F40D1">
            <w:pPr>
              <w:widowControl/>
              <w:adjustRightInd w:val="0"/>
              <w:snapToGrid w:val="0"/>
              <w:ind w:left="-105" w:leftChars="-50" w:right="-105" w:rightChars="-50"/>
              <w:jc w:val="center"/>
              <w:rPr>
                <w:kern w:val="0"/>
                <w:szCs w:val="21"/>
              </w:rPr>
            </w:pPr>
            <w:r>
              <w:rPr>
                <w:rFonts w:hint="eastAsia"/>
                <w:kern w:val="0"/>
                <w:szCs w:val="21"/>
              </w:rPr>
              <w:t>有组织</w:t>
            </w:r>
          </w:p>
        </w:tc>
        <w:tc>
          <w:tcPr>
            <w:tcW w:w="162" w:type="pct"/>
            <w:vAlign w:val="center"/>
          </w:tcPr>
          <w:p w14:paraId="038649E7">
            <w:pPr>
              <w:widowControl/>
              <w:adjustRightInd w:val="0"/>
              <w:snapToGrid w:val="0"/>
              <w:ind w:left="-105" w:leftChars="-50" w:right="-105" w:rightChars="-50"/>
              <w:jc w:val="center"/>
              <w:rPr>
                <w:kern w:val="0"/>
                <w:szCs w:val="21"/>
              </w:rPr>
            </w:pPr>
            <w:r>
              <w:rPr>
                <w:rFonts w:hint="eastAsia"/>
                <w:kern w:val="0"/>
                <w:szCs w:val="21"/>
              </w:rPr>
              <w:t>主要排放口</w:t>
            </w:r>
          </w:p>
        </w:tc>
        <w:tc>
          <w:tcPr>
            <w:tcW w:w="276" w:type="pct"/>
            <w:vAlign w:val="center"/>
          </w:tcPr>
          <w:p w14:paraId="51CDCA54">
            <w:pPr>
              <w:widowControl/>
              <w:adjustRightInd w:val="0"/>
              <w:snapToGrid w:val="0"/>
              <w:ind w:left="-105" w:leftChars="-50" w:right="-105" w:rightChars="-50"/>
              <w:jc w:val="center"/>
              <w:rPr>
                <w:kern w:val="0"/>
                <w:szCs w:val="21"/>
              </w:rPr>
            </w:pPr>
            <w:r>
              <w:rPr>
                <w:rFonts w:hint="eastAsia"/>
                <w:kern w:val="0"/>
                <w:szCs w:val="21"/>
              </w:rPr>
              <w:t>DA001</w:t>
            </w:r>
          </w:p>
        </w:tc>
        <w:tc>
          <w:tcPr>
            <w:tcW w:w="129" w:type="pct"/>
            <w:vAlign w:val="center"/>
          </w:tcPr>
          <w:p w14:paraId="5ED7E72F">
            <w:pPr>
              <w:widowControl/>
              <w:adjustRightInd w:val="0"/>
              <w:snapToGrid w:val="0"/>
              <w:ind w:left="-105" w:leftChars="-50" w:right="-105" w:rightChars="-50"/>
              <w:jc w:val="center"/>
              <w:rPr>
                <w:kern w:val="0"/>
                <w:szCs w:val="21"/>
              </w:rPr>
            </w:pPr>
            <w:r>
              <w:rPr>
                <w:rFonts w:hint="eastAsia"/>
                <w:kern w:val="0"/>
                <w:szCs w:val="21"/>
              </w:rPr>
              <w:t>45</w:t>
            </w:r>
          </w:p>
        </w:tc>
        <w:tc>
          <w:tcPr>
            <w:tcW w:w="140" w:type="pct"/>
            <w:vAlign w:val="center"/>
          </w:tcPr>
          <w:p w14:paraId="1BCCDAC8">
            <w:pPr>
              <w:widowControl/>
              <w:adjustRightInd w:val="0"/>
              <w:snapToGrid w:val="0"/>
              <w:ind w:left="-105" w:leftChars="-50" w:right="-105" w:rightChars="-50"/>
              <w:jc w:val="center"/>
              <w:rPr>
                <w:kern w:val="0"/>
                <w:szCs w:val="21"/>
              </w:rPr>
            </w:pPr>
            <w:r>
              <w:rPr>
                <w:rFonts w:hint="eastAsia"/>
                <w:kern w:val="0"/>
                <w:szCs w:val="21"/>
              </w:rPr>
              <w:t>1.6</w:t>
            </w:r>
          </w:p>
        </w:tc>
        <w:tc>
          <w:tcPr>
            <w:tcW w:w="611" w:type="pct"/>
            <w:vAlign w:val="center"/>
          </w:tcPr>
          <w:p w14:paraId="1CF1E2EE">
            <w:pPr>
              <w:widowControl/>
              <w:adjustRightInd w:val="0"/>
              <w:snapToGrid w:val="0"/>
              <w:ind w:left="-105" w:leftChars="-50" w:right="-105" w:rightChars="-50"/>
              <w:jc w:val="center"/>
              <w:rPr>
                <w:bCs/>
                <w:szCs w:val="21"/>
              </w:rPr>
            </w:pPr>
            <w:r>
              <w:rPr>
                <w:rFonts w:hint="eastAsia"/>
                <w:bCs/>
                <w:szCs w:val="21"/>
              </w:rPr>
              <w:t>1根45m高排气筒（DA001）排放</w:t>
            </w:r>
          </w:p>
        </w:tc>
        <w:tc>
          <w:tcPr>
            <w:tcW w:w="182" w:type="pct"/>
            <w:vAlign w:val="center"/>
          </w:tcPr>
          <w:p w14:paraId="069B87C0">
            <w:pPr>
              <w:widowControl/>
              <w:adjustRightInd w:val="0"/>
              <w:snapToGrid w:val="0"/>
              <w:ind w:left="-105" w:leftChars="-50" w:right="-105" w:rightChars="-50"/>
              <w:jc w:val="center"/>
              <w:rPr>
                <w:kern w:val="0"/>
                <w:szCs w:val="21"/>
              </w:rPr>
            </w:pPr>
            <w:r>
              <w:rPr>
                <w:rFonts w:hint="eastAsia"/>
                <w:kern w:val="0"/>
                <w:szCs w:val="21"/>
              </w:rPr>
              <w:t>/</w:t>
            </w:r>
          </w:p>
        </w:tc>
        <w:tc>
          <w:tcPr>
            <w:tcW w:w="203" w:type="pct"/>
            <w:vAlign w:val="center"/>
          </w:tcPr>
          <w:p w14:paraId="17B38893">
            <w:pPr>
              <w:widowControl/>
              <w:adjustRightInd w:val="0"/>
              <w:snapToGrid w:val="0"/>
              <w:ind w:left="-105" w:leftChars="-50" w:right="-105" w:rightChars="-50"/>
              <w:jc w:val="center"/>
              <w:rPr>
                <w:kern w:val="0"/>
                <w:szCs w:val="21"/>
              </w:rPr>
            </w:pPr>
            <w:r>
              <w:rPr>
                <w:rFonts w:hint="eastAsia"/>
                <w:kern w:val="0"/>
                <w:szCs w:val="21"/>
              </w:rPr>
              <w:t>/</w:t>
            </w:r>
          </w:p>
        </w:tc>
        <w:tc>
          <w:tcPr>
            <w:tcW w:w="260" w:type="pct"/>
            <w:vAlign w:val="center"/>
          </w:tcPr>
          <w:p w14:paraId="5D8B2F3D">
            <w:pPr>
              <w:widowControl/>
              <w:adjustRightInd w:val="0"/>
              <w:snapToGrid w:val="0"/>
              <w:ind w:left="-105" w:leftChars="-50" w:right="-105" w:rightChars="-50"/>
              <w:jc w:val="center"/>
              <w:rPr>
                <w:szCs w:val="21"/>
              </w:rPr>
            </w:pPr>
            <w:r>
              <w:rPr>
                <w:bCs/>
                <w:szCs w:val="21"/>
              </w:rPr>
              <w:t>0.241</w:t>
            </w:r>
          </w:p>
        </w:tc>
        <w:tc>
          <w:tcPr>
            <w:tcW w:w="279" w:type="pct"/>
            <w:vAlign w:val="center"/>
          </w:tcPr>
          <w:p w14:paraId="3FA02E12">
            <w:pPr>
              <w:widowControl/>
              <w:adjustRightInd w:val="0"/>
              <w:snapToGrid w:val="0"/>
              <w:ind w:left="-105" w:leftChars="-50" w:right="-105" w:rightChars="-50"/>
              <w:jc w:val="center"/>
              <w:rPr>
                <w:kern w:val="0"/>
                <w:szCs w:val="21"/>
              </w:rPr>
            </w:pPr>
            <w:r>
              <w:rPr>
                <w:bCs/>
                <w:szCs w:val="21"/>
              </w:rPr>
              <w:t>0.06</w:t>
            </w:r>
          </w:p>
        </w:tc>
        <w:tc>
          <w:tcPr>
            <w:tcW w:w="260" w:type="pct"/>
            <w:vAlign w:val="center"/>
          </w:tcPr>
          <w:p w14:paraId="7F144C7D">
            <w:pPr>
              <w:widowControl/>
              <w:adjustRightInd w:val="0"/>
              <w:snapToGrid w:val="0"/>
              <w:ind w:left="-105" w:leftChars="-50" w:right="-105" w:rightChars="-50"/>
              <w:jc w:val="center"/>
              <w:rPr>
                <w:kern w:val="0"/>
                <w:szCs w:val="21"/>
              </w:rPr>
            </w:pPr>
            <w:r>
              <w:rPr>
                <w:kern w:val="0"/>
                <w:szCs w:val="21"/>
              </w:rPr>
              <w:t>2.5</w:t>
            </w:r>
          </w:p>
        </w:tc>
        <w:tc>
          <w:tcPr>
            <w:tcW w:w="457" w:type="pct"/>
            <w:vAlign w:val="center"/>
          </w:tcPr>
          <w:p w14:paraId="48C76373">
            <w:pPr>
              <w:widowControl/>
              <w:adjustRightInd w:val="0"/>
              <w:snapToGrid w:val="0"/>
              <w:ind w:left="-105" w:leftChars="-50" w:right="-105" w:rightChars="-50"/>
              <w:jc w:val="center"/>
              <w:rPr>
                <w:bCs/>
                <w:kern w:val="0"/>
                <w:szCs w:val="21"/>
              </w:rPr>
            </w:pPr>
            <w:r>
              <w:rPr>
                <w:rFonts w:hint="eastAsia"/>
                <w:bCs/>
                <w:kern w:val="0"/>
                <w:szCs w:val="21"/>
              </w:rPr>
              <w:t>《火电厂烟气脱硝工程技术规范 选择性催化还原法》（HJ563-2010）</w:t>
            </w:r>
          </w:p>
        </w:tc>
      </w:tr>
      <w:bookmarkEnd w:id="30"/>
    </w:tbl>
    <w:p w14:paraId="4FD76D5D">
      <w:pPr>
        <w:sectPr>
          <w:pgSz w:w="16840" w:h="11907" w:orient="landscape"/>
          <w:pgMar w:top="851" w:right="1105" w:bottom="1531" w:left="1134" w:header="851" w:footer="851" w:gutter="0"/>
          <w:cols w:space="720" w:num="1"/>
          <w:docGrid w:linePitch="312" w:charSpace="0"/>
        </w:sectPr>
      </w:pPr>
    </w:p>
    <w:tbl>
      <w:tblPr>
        <w:tblStyle w:val="31"/>
        <w:tblW w:w="925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8553"/>
      </w:tblGrid>
      <w:tr w14:paraId="2CC2F61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47" w:hRule="atLeast"/>
          <w:jc w:val="center"/>
        </w:trPr>
        <w:tc>
          <w:tcPr>
            <w:tcW w:w="697" w:type="dxa"/>
            <w:tcMar>
              <w:left w:w="28" w:type="dxa"/>
              <w:right w:w="28" w:type="dxa"/>
            </w:tcMar>
            <w:vAlign w:val="center"/>
          </w:tcPr>
          <w:p w14:paraId="3BFC7ABD">
            <w:pPr>
              <w:adjustRightInd w:val="0"/>
              <w:snapToGrid w:val="0"/>
              <w:jc w:val="center"/>
              <w:rPr>
                <w:rFonts w:hint="eastAsia" w:ascii="宋体" w:hAnsi="宋体" w:cs="宋体"/>
                <w:bCs/>
                <w:sz w:val="24"/>
              </w:rPr>
            </w:pPr>
            <w:r>
              <w:rPr>
                <w:rFonts w:hint="eastAsia" w:ascii="宋体" w:hAnsi="宋体" w:cs="宋体"/>
                <w:bCs/>
                <w:sz w:val="24"/>
              </w:rPr>
              <w:t>运营</w:t>
            </w:r>
          </w:p>
          <w:p w14:paraId="5FFD671F">
            <w:pPr>
              <w:adjustRightInd w:val="0"/>
              <w:snapToGrid w:val="0"/>
              <w:jc w:val="center"/>
              <w:rPr>
                <w:rFonts w:hint="eastAsia" w:ascii="宋体" w:hAnsi="宋体" w:cs="宋体"/>
                <w:bCs/>
                <w:sz w:val="24"/>
              </w:rPr>
            </w:pPr>
            <w:r>
              <w:rPr>
                <w:rFonts w:hint="eastAsia" w:ascii="宋体" w:hAnsi="宋体" w:cs="宋体"/>
                <w:bCs/>
                <w:sz w:val="24"/>
              </w:rPr>
              <w:t>期环</w:t>
            </w:r>
          </w:p>
          <w:p w14:paraId="1769EE86">
            <w:pPr>
              <w:adjustRightInd w:val="0"/>
              <w:snapToGrid w:val="0"/>
              <w:jc w:val="center"/>
              <w:rPr>
                <w:rFonts w:hint="eastAsia" w:ascii="宋体" w:hAnsi="宋体" w:cs="宋体"/>
                <w:bCs/>
                <w:sz w:val="24"/>
              </w:rPr>
            </w:pPr>
            <w:r>
              <w:rPr>
                <w:rFonts w:hint="eastAsia" w:ascii="宋体" w:hAnsi="宋体" w:cs="宋体"/>
                <w:bCs/>
                <w:sz w:val="24"/>
              </w:rPr>
              <w:t>境影</w:t>
            </w:r>
          </w:p>
          <w:p w14:paraId="55F0517C">
            <w:pPr>
              <w:adjustRightInd w:val="0"/>
              <w:snapToGrid w:val="0"/>
              <w:jc w:val="center"/>
              <w:rPr>
                <w:rFonts w:hint="eastAsia" w:ascii="宋体" w:hAnsi="宋体" w:cs="宋体"/>
                <w:bCs/>
                <w:sz w:val="24"/>
              </w:rPr>
            </w:pPr>
            <w:r>
              <w:rPr>
                <w:rFonts w:hint="eastAsia" w:ascii="宋体" w:hAnsi="宋体" w:cs="宋体"/>
                <w:bCs/>
                <w:sz w:val="24"/>
              </w:rPr>
              <w:t>响和</w:t>
            </w:r>
          </w:p>
          <w:p w14:paraId="7F72F4D5">
            <w:pPr>
              <w:adjustRightInd w:val="0"/>
              <w:snapToGrid w:val="0"/>
              <w:jc w:val="center"/>
              <w:rPr>
                <w:rFonts w:hint="eastAsia" w:ascii="宋体" w:hAnsi="宋体" w:cs="宋体"/>
                <w:bCs/>
                <w:sz w:val="24"/>
              </w:rPr>
            </w:pPr>
            <w:r>
              <w:rPr>
                <w:rFonts w:hint="eastAsia" w:ascii="宋体" w:hAnsi="宋体" w:cs="宋体"/>
                <w:bCs/>
                <w:sz w:val="24"/>
              </w:rPr>
              <w:t>保护</w:t>
            </w:r>
          </w:p>
          <w:p w14:paraId="78279A11">
            <w:pPr>
              <w:adjustRightInd w:val="0"/>
              <w:snapToGrid w:val="0"/>
              <w:jc w:val="center"/>
            </w:pPr>
            <w:r>
              <w:rPr>
                <w:rFonts w:hint="eastAsia" w:ascii="宋体" w:hAnsi="宋体" w:cs="宋体"/>
                <w:bCs/>
                <w:sz w:val="24"/>
              </w:rPr>
              <w:t>措施</w:t>
            </w:r>
          </w:p>
        </w:tc>
        <w:tc>
          <w:tcPr>
            <w:tcW w:w="8553" w:type="dxa"/>
            <w:vAlign w:val="center"/>
          </w:tcPr>
          <w:p w14:paraId="224E86C6">
            <w:pPr>
              <w:adjustRightInd w:val="0"/>
              <w:snapToGrid w:val="0"/>
              <w:spacing w:before="120" w:beforeLines="50" w:line="360" w:lineRule="auto"/>
              <w:ind w:firstLine="482" w:firstLineChars="200"/>
              <w:rPr>
                <w:b/>
                <w:sz w:val="24"/>
              </w:rPr>
            </w:pPr>
            <w:r>
              <w:rPr>
                <w:rFonts w:hint="eastAsia"/>
                <w:b/>
                <w:sz w:val="24"/>
              </w:rPr>
              <w:t>（2）</w:t>
            </w:r>
            <w:r>
              <w:rPr>
                <w:b/>
                <w:sz w:val="24"/>
              </w:rPr>
              <w:t>正常工况下废气达标分析</w:t>
            </w:r>
          </w:p>
          <w:p w14:paraId="39951280">
            <w:pPr>
              <w:adjustRightInd w:val="0"/>
              <w:snapToGrid w:val="0"/>
              <w:spacing w:line="360" w:lineRule="auto"/>
              <w:ind w:firstLine="480" w:firstLineChars="200"/>
              <w:rPr>
                <w:bCs/>
                <w:sz w:val="24"/>
              </w:rPr>
            </w:pPr>
            <w:r>
              <w:rPr>
                <w:bCs/>
                <w:sz w:val="24"/>
              </w:rPr>
              <w:t>根据上述源强分析，本项目</w:t>
            </w:r>
            <w:r>
              <w:rPr>
                <w:rFonts w:hint="eastAsia"/>
                <w:bCs/>
                <w:sz w:val="24"/>
              </w:rPr>
              <w:t>主要有</w:t>
            </w:r>
            <w:r>
              <w:rPr>
                <w:bCs/>
                <w:sz w:val="24"/>
              </w:rPr>
              <w:t>组织废气为</w:t>
            </w:r>
            <w:r>
              <w:rPr>
                <w:rFonts w:hint="eastAsia"/>
                <w:bCs/>
                <w:sz w:val="24"/>
              </w:rPr>
              <w:t>锅炉废气</w:t>
            </w:r>
            <w:r>
              <w:rPr>
                <w:bCs/>
                <w:sz w:val="24"/>
              </w:rPr>
              <w:t>，</w:t>
            </w:r>
            <w:r>
              <w:rPr>
                <w:rFonts w:hint="eastAsia"/>
                <w:bCs/>
                <w:sz w:val="24"/>
              </w:rPr>
              <w:t>炉内SNCR+3套SCR+3套旋风除尘+袋式除尘+1套氧化镁湿法脱硫处理，烟气由1根45m高排气筒（DA001）排放（高于周围2</w:t>
            </w:r>
            <w:r>
              <w:rPr>
                <w:bCs/>
                <w:sz w:val="24"/>
              </w:rPr>
              <w:t>00</w:t>
            </w:r>
            <w:r>
              <w:rPr>
                <w:rFonts w:hint="eastAsia"/>
                <w:bCs/>
                <w:sz w:val="24"/>
              </w:rPr>
              <w:t>m范围内建构筑物3m）</w:t>
            </w:r>
            <w:r>
              <w:rPr>
                <w:bCs/>
                <w:sz w:val="24"/>
              </w:rPr>
              <w:t>，满足</w:t>
            </w:r>
            <w:r>
              <w:rPr>
                <w:rFonts w:hint="eastAsia"/>
                <w:bCs/>
                <w:sz w:val="24"/>
              </w:rPr>
              <w:t>《锅炉大气污染物排放标准》（GB13271-2014）表2中燃煤锅炉标准</w:t>
            </w:r>
            <w:r>
              <w:rPr>
                <w:bCs/>
                <w:sz w:val="24"/>
              </w:rPr>
              <w:t>要求。</w:t>
            </w:r>
            <w:r>
              <w:rPr>
                <w:rFonts w:hint="eastAsia"/>
                <w:bCs/>
                <w:sz w:val="24"/>
              </w:rPr>
              <w:t>无组织废气为煤仓、渣仓废气，主要污染物为颗粒物，煤仓、渣仓为全封闭，正常不会发生外泄，对周围环境影响较小，满足《煤炭工业污染物排放标准》（GB20426-2006）表5煤炭工业无组织排放限值标准规定。</w:t>
            </w:r>
          </w:p>
          <w:p w14:paraId="26F397A9">
            <w:pPr>
              <w:adjustRightInd w:val="0"/>
              <w:snapToGrid w:val="0"/>
              <w:spacing w:before="120" w:beforeLines="50" w:line="360" w:lineRule="auto"/>
              <w:ind w:firstLine="482" w:firstLineChars="200"/>
              <w:rPr>
                <w:b/>
                <w:sz w:val="24"/>
              </w:rPr>
            </w:pPr>
            <w:r>
              <w:rPr>
                <w:rFonts w:hint="eastAsia"/>
                <w:b/>
                <w:sz w:val="24"/>
              </w:rPr>
              <w:t>（3）</w:t>
            </w:r>
            <w:r>
              <w:rPr>
                <w:b/>
                <w:sz w:val="24"/>
              </w:rPr>
              <w:t>废气污染</w:t>
            </w:r>
            <w:r>
              <w:rPr>
                <w:rFonts w:hint="eastAsia"/>
                <w:b/>
                <w:sz w:val="24"/>
              </w:rPr>
              <w:t>防治</w:t>
            </w:r>
            <w:r>
              <w:rPr>
                <w:b/>
                <w:sz w:val="24"/>
              </w:rPr>
              <w:t>措施可行性</w:t>
            </w:r>
          </w:p>
          <w:p w14:paraId="5310AD4F">
            <w:pPr>
              <w:adjustRightInd w:val="0"/>
              <w:snapToGrid w:val="0"/>
              <w:spacing w:line="360" w:lineRule="auto"/>
              <w:ind w:firstLine="480" w:firstLineChars="200"/>
              <w:rPr>
                <w:bCs/>
                <w:sz w:val="24"/>
              </w:rPr>
            </w:pPr>
            <w:r>
              <w:rPr>
                <w:rFonts w:hint="eastAsia"/>
                <w:bCs/>
                <w:sz w:val="24"/>
              </w:rPr>
              <w:t>根据《排污许可证申请与核发技术规范 锅炉》(HJ953-2018)中表7锅炉烟气污染防治可行技术包括：炉型包括层燃炉、流化床炉、室燃炉，二氧化硫脱除采用燃用低硫煤、干法/半干法脱硫技术、湿法脱硫技术，氮氧化物脱除采用</w:t>
            </w:r>
            <w:r>
              <w:rPr>
                <w:bCs/>
                <w:sz w:val="24"/>
              </w:rPr>
              <w:t>低氮燃烧技术、低氮燃烧+SNCR 脱硝技术、低氮燃烧+SCR 脱硝技术、低氮燃烧+（SNCR-SCR 联合）脱硝技术、SNCR 脱硝技术、SCR脱硝技术、SNCR-SCR 联合脱硝技术</w:t>
            </w:r>
            <w:r>
              <w:rPr>
                <w:rFonts w:hint="eastAsia"/>
                <w:bCs/>
                <w:sz w:val="24"/>
              </w:rPr>
              <w:t>，颗粒物去除采用袋式除尘技术、电除尘技术、电袋复合除尘技术、湿式电除尘技术。</w:t>
            </w:r>
          </w:p>
          <w:p w14:paraId="6A0DFC18">
            <w:pPr>
              <w:adjustRightInd w:val="0"/>
              <w:snapToGrid w:val="0"/>
              <w:spacing w:line="360" w:lineRule="auto"/>
              <w:ind w:firstLine="480" w:firstLineChars="200"/>
              <w:rPr>
                <w:bCs/>
                <w:sz w:val="24"/>
              </w:rPr>
            </w:pPr>
            <w:r>
              <w:rPr>
                <w:rFonts w:hint="eastAsia"/>
                <w:bCs/>
                <w:sz w:val="24"/>
              </w:rPr>
              <w:t>本项目燃煤蒸汽锅炉炉型采用层燃炉，二氧化硫脱除采用湿法氧化镁脱硫技术，氮氧化物污染防治采用SNCR+SCR联合技术脱硝，颗粒物污染防治采用旋风除尘+袋式除尘器，所用措施均为可行性技术。煤仓及灰仓设置全封闭，一般情况下密封性较好，废气对周围环境影响较小，措施可行。</w:t>
            </w:r>
          </w:p>
          <w:p w14:paraId="14CF22EE">
            <w:pPr>
              <w:adjustRightInd w:val="0"/>
              <w:snapToGrid w:val="0"/>
              <w:spacing w:before="120" w:beforeLines="50" w:line="360" w:lineRule="auto"/>
              <w:ind w:firstLine="482" w:firstLineChars="200"/>
              <w:rPr>
                <w:bCs/>
                <w:sz w:val="24"/>
              </w:rPr>
            </w:pPr>
            <w:r>
              <w:rPr>
                <w:rFonts w:hint="eastAsia"/>
                <w:b/>
                <w:sz w:val="24"/>
              </w:rPr>
              <w:t>（4）锅炉气排气量及高度设置的合理性分析</w:t>
            </w:r>
          </w:p>
          <w:p w14:paraId="3FEA04BB">
            <w:pPr>
              <w:adjustRightInd w:val="0"/>
              <w:snapToGrid w:val="0"/>
              <w:spacing w:line="360" w:lineRule="auto"/>
              <w:ind w:firstLine="480" w:firstLineChars="200"/>
              <w:rPr>
                <w:bCs/>
                <w:sz w:val="24"/>
              </w:rPr>
            </w:pPr>
            <w:r>
              <w:rPr>
                <w:rFonts w:hint="eastAsia"/>
                <w:bCs/>
                <w:sz w:val="24"/>
              </w:rPr>
              <w:t>根据《锅炉大气污染物排放标准》 (GB13271-2014) ，每个新建燃煤锅炉房只能设一根烟囱，锅炉房装机总容量≥20t/h时，烟囱最低运行高度为45m。本项目锅炉房设置1根排气筒，高度设置为45m，高出</w:t>
            </w:r>
            <w:r>
              <w:rPr>
                <w:bCs/>
                <w:sz w:val="24"/>
              </w:rPr>
              <w:t>周围半径200m距离内</w:t>
            </w:r>
            <w:r>
              <w:rPr>
                <w:rFonts w:hint="eastAsia"/>
                <w:bCs/>
                <w:sz w:val="24"/>
              </w:rPr>
              <w:t>最高</w:t>
            </w:r>
            <w:r>
              <w:rPr>
                <w:bCs/>
                <w:sz w:val="24"/>
              </w:rPr>
              <w:t>建筑物3m以上</w:t>
            </w:r>
            <w:r>
              <w:rPr>
                <w:rFonts w:hint="eastAsia"/>
                <w:bCs/>
                <w:sz w:val="24"/>
              </w:rPr>
              <w:t>。综上，本项目锅炉废气排气筒数量及高度设置合理。</w:t>
            </w:r>
          </w:p>
          <w:p w14:paraId="358D0C6C">
            <w:pPr>
              <w:adjustRightInd w:val="0"/>
              <w:snapToGrid w:val="0"/>
              <w:spacing w:before="120" w:beforeLines="50" w:line="360" w:lineRule="auto"/>
              <w:ind w:firstLine="482" w:firstLineChars="200"/>
              <w:rPr>
                <w:b/>
                <w:sz w:val="24"/>
              </w:rPr>
            </w:pPr>
            <w:r>
              <w:rPr>
                <w:rFonts w:hint="eastAsia"/>
                <w:b/>
                <w:sz w:val="24"/>
              </w:rPr>
              <w:t>（5）</w:t>
            </w:r>
            <w:r>
              <w:rPr>
                <w:b/>
                <w:sz w:val="24"/>
              </w:rPr>
              <w:t>废气污染物排放影响分析</w:t>
            </w:r>
          </w:p>
          <w:p w14:paraId="7F224DB1">
            <w:pPr>
              <w:tabs>
                <w:tab w:val="left" w:pos="0"/>
              </w:tabs>
              <w:adjustRightInd w:val="0"/>
              <w:snapToGrid w:val="0"/>
              <w:spacing w:before="120" w:beforeLines="50" w:line="360" w:lineRule="auto"/>
              <w:ind w:firstLine="480" w:firstLineChars="200"/>
              <w:rPr>
                <w:bCs/>
                <w:sz w:val="24"/>
              </w:rPr>
            </w:pPr>
            <w:r>
              <w:rPr>
                <w:bCs/>
                <w:sz w:val="24"/>
              </w:rPr>
              <w:t>项目所在区域为环境空气质量达标区，项目周边500m范围内</w:t>
            </w:r>
            <w:r>
              <w:rPr>
                <w:rFonts w:hint="eastAsia"/>
                <w:bCs/>
                <w:sz w:val="24"/>
              </w:rPr>
              <w:t>无</w:t>
            </w:r>
            <w:r>
              <w:rPr>
                <w:bCs/>
                <w:sz w:val="24"/>
              </w:rPr>
              <w:t>大气环境保护目标</w:t>
            </w:r>
            <w:r>
              <w:rPr>
                <w:rFonts w:hint="eastAsia"/>
                <w:bCs/>
                <w:sz w:val="24"/>
              </w:rPr>
              <w:t>，项目对各有组织和无组织废气产生环节均采取有效的污染防治措施，正常工况下污染物均能稳定达标排放，对周边大气环境影响较小。</w:t>
            </w:r>
          </w:p>
          <w:p w14:paraId="620B83EC">
            <w:pPr>
              <w:tabs>
                <w:tab w:val="left" w:pos="0"/>
              </w:tabs>
              <w:adjustRightInd w:val="0"/>
              <w:snapToGrid w:val="0"/>
              <w:spacing w:before="120" w:beforeLines="50" w:line="360" w:lineRule="auto"/>
              <w:ind w:firstLine="482" w:firstLineChars="200"/>
              <w:rPr>
                <w:b/>
                <w:sz w:val="24"/>
              </w:rPr>
            </w:pPr>
            <w:r>
              <w:rPr>
                <w:b/>
                <w:sz w:val="24"/>
              </w:rPr>
              <w:t>2</w:t>
            </w:r>
            <w:r>
              <w:rPr>
                <w:rFonts w:hint="eastAsia"/>
                <w:b/>
                <w:sz w:val="24"/>
              </w:rPr>
              <w:t>、</w:t>
            </w:r>
            <w:r>
              <w:rPr>
                <w:b/>
                <w:sz w:val="24"/>
              </w:rPr>
              <w:t>废水</w:t>
            </w:r>
          </w:p>
          <w:p w14:paraId="6ED0E20D">
            <w:pPr>
              <w:tabs>
                <w:tab w:val="left" w:pos="0"/>
              </w:tabs>
              <w:adjustRightInd w:val="0"/>
              <w:snapToGrid w:val="0"/>
              <w:spacing w:before="120" w:beforeLines="50" w:line="360" w:lineRule="auto"/>
              <w:ind w:firstLine="482" w:firstLineChars="200"/>
              <w:rPr>
                <w:b/>
                <w:sz w:val="24"/>
              </w:rPr>
            </w:pPr>
            <w:bookmarkStart w:id="31" w:name="_Hlk151459724"/>
            <w:r>
              <w:rPr>
                <w:rFonts w:hint="eastAsia"/>
                <w:b/>
                <w:sz w:val="24"/>
              </w:rPr>
              <w:t>（1）</w:t>
            </w:r>
            <w:r>
              <w:rPr>
                <w:b/>
                <w:sz w:val="24"/>
              </w:rPr>
              <w:t>废水产生及排放情况</w:t>
            </w:r>
          </w:p>
          <w:p w14:paraId="5E7D0D73">
            <w:pPr>
              <w:tabs>
                <w:tab w:val="left" w:pos="0"/>
              </w:tabs>
              <w:adjustRightInd w:val="0"/>
              <w:snapToGrid w:val="0"/>
              <w:spacing w:before="120" w:beforeLines="50" w:line="360" w:lineRule="auto"/>
              <w:ind w:firstLine="480" w:firstLineChars="200"/>
              <w:rPr>
                <w:bCs/>
                <w:sz w:val="24"/>
              </w:rPr>
            </w:pPr>
            <w:r>
              <w:rPr>
                <w:rFonts w:hint="eastAsia"/>
                <w:bCs/>
                <w:sz w:val="24"/>
              </w:rPr>
              <w:t>根据工程分析，二氧化硫吸收液达到一定浓度时需从循环池排出部分进入沉淀池并通过管式曝气器强制氧化，将处理后的硫酸盐沉淀，然后上层清水返回至脱硫系统循环使用，不外排。本项目产生的污废水主要为软水制备排污水、锅炉排污水，软水制备排污水、锅炉排污水属清净下水，排入脱硫系统用做补充水。本</w:t>
            </w:r>
            <w:r>
              <w:rPr>
                <w:bCs/>
                <w:sz w:val="24"/>
              </w:rPr>
              <w:t>项目污水中主要污染物产生、排放情况见表4-</w:t>
            </w:r>
            <w:r>
              <w:rPr>
                <w:rFonts w:hint="eastAsia"/>
                <w:bCs/>
                <w:sz w:val="24"/>
              </w:rPr>
              <w:t>4</w:t>
            </w:r>
            <w:r>
              <w:rPr>
                <w:bCs/>
                <w:sz w:val="24"/>
              </w:rPr>
              <w:t>。</w:t>
            </w:r>
          </w:p>
          <w:p w14:paraId="7E79D103">
            <w:pPr>
              <w:tabs>
                <w:tab w:val="left" w:pos="0"/>
              </w:tabs>
              <w:adjustRightInd w:val="0"/>
              <w:snapToGrid w:val="0"/>
              <w:spacing w:before="120" w:beforeLines="50" w:line="360" w:lineRule="auto"/>
              <w:ind w:firstLine="482" w:firstLineChars="200"/>
              <w:rPr>
                <w:b/>
                <w:sz w:val="24"/>
              </w:rPr>
            </w:pPr>
            <w:r>
              <w:rPr>
                <w:rFonts w:hint="eastAsia"/>
                <w:b/>
                <w:sz w:val="24"/>
              </w:rPr>
              <w:t>（2）</w:t>
            </w:r>
            <w:r>
              <w:rPr>
                <w:b/>
                <w:sz w:val="24"/>
              </w:rPr>
              <w:t>废水处置可行性</w:t>
            </w:r>
          </w:p>
          <w:p w14:paraId="579584B7">
            <w:pPr>
              <w:tabs>
                <w:tab w:val="left" w:pos="0"/>
              </w:tabs>
              <w:adjustRightInd w:val="0"/>
              <w:snapToGrid w:val="0"/>
              <w:spacing w:before="120" w:beforeLines="50" w:line="360" w:lineRule="auto"/>
              <w:ind w:firstLine="480" w:firstLineChars="200"/>
              <w:rPr>
                <w:bCs/>
                <w:sz w:val="24"/>
              </w:rPr>
            </w:pPr>
            <w:r>
              <w:rPr>
                <w:rFonts w:hint="eastAsia"/>
                <w:bCs/>
                <w:sz w:val="24"/>
              </w:rPr>
              <w:t>项目生产废水主要为软水制备排污水、锅炉排污水，属清净下水，废水量较小且水质简单，排入脱硫系统用做补充水，对环境影响较小</w:t>
            </w:r>
            <w:bookmarkEnd w:id="31"/>
            <w:r>
              <w:rPr>
                <w:bCs/>
                <w:sz w:val="24"/>
              </w:rPr>
              <w:t>，因此项目废水</w:t>
            </w:r>
            <w:r>
              <w:rPr>
                <w:rFonts w:hint="eastAsia"/>
                <w:bCs/>
                <w:sz w:val="24"/>
              </w:rPr>
              <w:t>处理措施</w:t>
            </w:r>
            <w:r>
              <w:rPr>
                <w:bCs/>
                <w:sz w:val="24"/>
              </w:rPr>
              <w:t>是可行的。</w:t>
            </w:r>
          </w:p>
          <w:p w14:paraId="4D1B561A">
            <w:pPr>
              <w:snapToGrid w:val="0"/>
              <w:spacing w:before="120" w:beforeLines="50" w:line="360" w:lineRule="auto"/>
              <w:ind w:firstLine="482" w:firstLineChars="200"/>
              <w:rPr>
                <w:b/>
                <w:sz w:val="24"/>
              </w:rPr>
            </w:pPr>
          </w:p>
        </w:tc>
      </w:tr>
    </w:tbl>
    <w:p w14:paraId="4E67B79B">
      <w:pPr>
        <w:sectPr>
          <w:pgSz w:w="11907" w:h="16840"/>
          <w:pgMar w:top="1701" w:right="1531" w:bottom="2127" w:left="1531" w:header="851" w:footer="851" w:gutter="0"/>
          <w:cols w:space="720" w:num="1"/>
          <w:docGrid w:linePitch="312" w:charSpace="0"/>
        </w:sectPr>
      </w:pPr>
      <w:r>
        <w:br w:type="page"/>
      </w:r>
    </w:p>
    <w:p w14:paraId="7BFB9AAF">
      <w:pPr>
        <w:ind w:firstLine="482"/>
        <w:jc w:val="center"/>
        <w:rPr>
          <w:b/>
          <w:szCs w:val="21"/>
        </w:rPr>
      </w:pPr>
      <w:r>
        <w:rPr>
          <w:rFonts w:ascii="宋体" w:hAnsi="宋体"/>
          <w:b/>
        </w:rPr>
        <w:t>表</w:t>
      </w:r>
      <w:r>
        <w:rPr>
          <w:b/>
        </w:rPr>
        <w:t>4-</w:t>
      </w:r>
      <w:r>
        <w:rPr>
          <w:rFonts w:hint="eastAsia"/>
          <w:b/>
        </w:rPr>
        <w:t xml:space="preserve">5 </w:t>
      </w:r>
      <w:r>
        <w:rPr>
          <w:rFonts w:ascii="宋体" w:hAnsi="宋体"/>
          <w:b/>
        </w:rPr>
        <w:t>废</w:t>
      </w:r>
      <w:r>
        <w:rPr>
          <w:rFonts w:hint="eastAsia" w:ascii="宋体" w:hAnsi="宋体"/>
          <w:b/>
        </w:rPr>
        <w:t>水</w:t>
      </w:r>
      <w:r>
        <w:rPr>
          <w:rFonts w:ascii="宋体" w:hAnsi="宋体"/>
          <w:b/>
        </w:rPr>
        <w:t>产排污节点、污染物及污染治理设施信息表</w:t>
      </w:r>
      <w:r>
        <w:rPr>
          <w:rFonts w:hint="eastAsia" w:ascii="宋体" w:hAnsi="宋体"/>
          <w:b/>
        </w:rPr>
        <w:t>（采暖期）</w:t>
      </w:r>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05"/>
        <w:gridCol w:w="502"/>
        <w:gridCol w:w="458"/>
        <w:gridCol w:w="927"/>
        <w:gridCol w:w="728"/>
        <w:gridCol w:w="854"/>
        <w:gridCol w:w="475"/>
        <w:gridCol w:w="625"/>
        <w:gridCol w:w="475"/>
        <w:gridCol w:w="475"/>
        <w:gridCol w:w="475"/>
        <w:gridCol w:w="625"/>
        <w:gridCol w:w="775"/>
        <w:gridCol w:w="775"/>
        <w:gridCol w:w="475"/>
        <w:gridCol w:w="540"/>
        <w:gridCol w:w="473"/>
        <w:gridCol w:w="787"/>
        <w:gridCol w:w="775"/>
        <w:gridCol w:w="775"/>
        <w:gridCol w:w="1048"/>
        <w:gridCol w:w="1228"/>
      </w:tblGrid>
      <w:tr w14:paraId="39D38C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 w:type="pct"/>
            <w:vMerge w:val="restart"/>
            <w:vAlign w:val="center"/>
          </w:tcPr>
          <w:p w14:paraId="7E6A228F">
            <w:pPr>
              <w:pStyle w:val="70"/>
              <w:ind w:left="-105" w:leftChars="-50" w:right="-105" w:rightChars="-50"/>
              <w:jc w:val="center"/>
              <w:rPr>
                <w:rFonts w:ascii="Times New Roman" w:hAnsi="Times New Roman"/>
                <w:szCs w:val="21"/>
              </w:rPr>
            </w:pPr>
            <w:r>
              <w:rPr>
                <w:rFonts w:ascii="Times New Roman" w:hAnsi="Times New Roman"/>
                <w:szCs w:val="21"/>
              </w:rPr>
              <w:t>序号</w:t>
            </w:r>
          </w:p>
        </w:tc>
        <w:tc>
          <w:tcPr>
            <w:tcW w:w="171" w:type="pct"/>
            <w:vMerge w:val="restart"/>
            <w:vAlign w:val="center"/>
          </w:tcPr>
          <w:p w14:paraId="48BCB2DF">
            <w:pPr>
              <w:pStyle w:val="70"/>
              <w:ind w:left="-105" w:leftChars="-50" w:right="-105" w:rightChars="-50"/>
              <w:jc w:val="center"/>
              <w:rPr>
                <w:rFonts w:ascii="Times New Roman" w:hAnsi="Times New Roman"/>
                <w:szCs w:val="21"/>
              </w:rPr>
            </w:pPr>
            <w:r>
              <w:rPr>
                <w:rFonts w:ascii="Times New Roman" w:hAnsi="Times New Roman"/>
                <w:szCs w:val="21"/>
              </w:rPr>
              <w:t>对应产污环节名称</w:t>
            </w:r>
          </w:p>
        </w:tc>
        <w:tc>
          <w:tcPr>
            <w:tcW w:w="156" w:type="pct"/>
            <w:vMerge w:val="restart"/>
            <w:vAlign w:val="center"/>
          </w:tcPr>
          <w:p w14:paraId="0A26F6A6">
            <w:pPr>
              <w:pStyle w:val="70"/>
              <w:ind w:left="-105" w:leftChars="-50" w:right="-105" w:rightChars="-50"/>
              <w:jc w:val="center"/>
              <w:rPr>
                <w:rFonts w:ascii="Times New Roman" w:hAnsi="Times New Roman"/>
                <w:szCs w:val="21"/>
              </w:rPr>
            </w:pPr>
            <w:r>
              <w:rPr>
                <w:rFonts w:ascii="Times New Roman" w:hAnsi="Times New Roman"/>
                <w:szCs w:val="21"/>
              </w:rPr>
              <w:t>废水类别</w:t>
            </w:r>
          </w:p>
        </w:tc>
        <w:tc>
          <w:tcPr>
            <w:tcW w:w="316" w:type="pct"/>
            <w:vMerge w:val="restart"/>
            <w:vAlign w:val="center"/>
          </w:tcPr>
          <w:p w14:paraId="13D0E56C">
            <w:pPr>
              <w:pStyle w:val="70"/>
              <w:ind w:left="-105" w:leftChars="-50" w:right="-105" w:rightChars="-50"/>
              <w:jc w:val="center"/>
              <w:rPr>
                <w:rFonts w:ascii="Times New Roman" w:hAnsi="Times New Roman"/>
                <w:szCs w:val="21"/>
              </w:rPr>
            </w:pPr>
            <w:r>
              <w:rPr>
                <w:rFonts w:ascii="Times New Roman" w:hAnsi="Times New Roman"/>
                <w:szCs w:val="21"/>
              </w:rPr>
              <w:t>污染物种类</w:t>
            </w:r>
          </w:p>
        </w:tc>
        <w:tc>
          <w:tcPr>
            <w:tcW w:w="248" w:type="pct"/>
            <w:vMerge w:val="restart"/>
            <w:vAlign w:val="center"/>
          </w:tcPr>
          <w:p w14:paraId="4FFE0CAB">
            <w:pPr>
              <w:pStyle w:val="70"/>
              <w:ind w:left="-105" w:leftChars="-50" w:right="-105" w:rightChars="-50"/>
              <w:jc w:val="center"/>
              <w:rPr>
                <w:rFonts w:ascii="Times New Roman" w:hAnsi="Times New Roman"/>
                <w:szCs w:val="21"/>
              </w:rPr>
            </w:pPr>
            <w:r>
              <w:rPr>
                <w:rFonts w:ascii="Times New Roman" w:hAnsi="Times New Roman"/>
                <w:szCs w:val="21"/>
              </w:rPr>
              <w:t>污染物产生浓度mg/L</w:t>
            </w:r>
          </w:p>
        </w:tc>
        <w:tc>
          <w:tcPr>
            <w:tcW w:w="291" w:type="pct"/>
            <w:vMerge w:val="restart"/>
            <w:vAlign w:val="center"/>
          </w:tcPr>
          <w:p w14:paraId="6038CAF2">
            <w:pPr>
              <w:pStyle w:val="70"/>
              <w:ind w:left="-105" w:leftChars="-50" w:right="-105" w:rightChars="-50"/>
              <w:jc w:val="center"/>
              <w:rPr>
                <w:rFonts w:ascii="Times New Roman" w:hAnsi="Times New Roman"/>
                <w:szCs w:val="21"/>
              </w:rPr>
            </w:pPr>
            <w:r>
              <w:rPr>
                <w:rFonts w:ascii="Times New Roman" w:hAnsi="Times New Roman"/>
                <w:szCs w:val="21"/>
              </w:rPr>
              <w:t>污染物产生量t/a</w:t>
            </w:r>
          </w:p>
        </w:tc>
        <w:tc>
          <w:tcPr>
            <w:tcW w:w="860" w:type="pct"/>
            <w:gridSpan w:val="5"/>
            <w:vAlign w:val="center"/>
          </w:tcPr>
          <w:p w14:paraId="7DCE830C">
            <w:pPr>
              <w:pStyle w:val="70"/>
              <w:ind w:left="-105" w:leftChars="-50" w:right="-105" w:rightChars="-50"/>
              <w:jc w:val="center"/>
              <w:rPr>
                <w:rFonts w:ascii="Times New Roman" w:hAnsi="Times New Roman"/>
                <w:szCs w:val="21"/>
              </w:rPr>
            </w:pPr>
            <w:r>
              <w:rPr>
                <w:rFonts w:ascii="Times New Roman" w:hAnsi="Times New Roman"/>
                <w:szCs w:val="21"/>
              </w:rPr>
              <w:t>污染治理设施</w:t>
            </w:r>
          </w:p>
        </w:tc>
        <w:tc>
          <w:tcPr>
            <w:tcW w:w="213" w:type="pct"/>
            <w:vMerge w:val="restart"/>
            <w:vAlign w:val="center"/>
          </w:tcPr>
          <w:p w14:paraId="76865B17">
            <w:pPr>
              <w:pStyle w:val="70"/>
              <w:ind w:left="-105" w:leftChars="-50" w:right="-105" w:rightChars="-50"/>
              <w:jc w:val="center"/>
              <w:rPr>
                <w:rFonts w:ascii="Times New Roman" w:hAnsi="Times New Roman"/>
                <w:szCs w:val="21"/>
              </w:rPr>
            </w:pPr>
            <w:r>
              <w:rPr>
                <w:rFonts w:ascii="Times New Roman" w:hAnsi="Times New Roman"/>
                <w:kern w:val="21"/>
                <w:szCs w:val="21"/>
              </w:rPr>
              <w:t>废水排放量m</w:t>
            </w:r>
            <w:r>
              <w:rPr>
                <w:rFonts w:ascii="Times New Roman" w:hAnsi="Times New Roman"/>
                <w:kern w:val="21"/>
                <w:szCs w:val="21"/>
                <w:vertAlign w:val="superscript"/>
              </w:rPr>
              <w:t>3</w:t>
            </w:r>
            <w:r>
              <w:rPr>
                <w:rFonts w:ascii="Times New Roman" w:hAnsi="Times New Roman"/>
                <w:kern w:val="21"/>
                <w:szCs w:val="21"/>
              </w:rPr>
              <w:t>/</w:t>
            </w:r>
            <w:r>
              <w:rPr>
                <w:rFonts w:hint="eastAsia" w:ascii="Times New Roman" w:hAnsi="Times New Roman"/>
                <w:kern w:val="21"/>
                <w:szCs w:val="21"/>
              </w:rPr>
              <w:t>a</w:t>
            </w:r>
          </w:p>
        </w:tc>
        <w:tc>
          <w:tcPr>
            <w:tcW w:w="264" w:type="pct"/>
            <w:vMerge w:val="restart"/>
            <w:vAlign w:val="center"/>
          </w:tcPr>
          <w:p w14:paraId="1B618BC0">
            <w:pPr>
              <w:pStyle w:val="70"/>
              <w:ind w:left="-105" w:leftChars="-50" w:right="-105" w:rightChars="-50"/>
              <w:jc w:val="center"/>
              <w:rPr>
                <w:rFonts w:ascii="Times New Roman" w:hAnsi="Times New Roman"/>
                <w:szCs w:val="21"/>
              </w:rPr>
            </w:pPr>
            <w:r>
              <w:rPr>
                <w:rFonts w:ascii="Times New Roman" w:hAnsi="Times New Roman"/>
                <w:kern w:val="21"/>
                <w:szCs w:val="21"/>
              </w:rPr>
              <w:t>污染物排放量</w:t>
            </w:r>
            <w:r>
              <w:rPr>
                <w:rFonts w:hint="eastAsia" w:ascii="Times New Roman" w:hAnsi="Times New Roman"/>
                <w:kern w:val="21"/>
                <w:szCs w:val="21"/>
              </w:rPr>
              <w:t>t</w:t>
            </w:r>
            <w:r>
              <w:rPr>
                <w:rFonts w:ascii="Times New Roman" w:hAnsi="Times New Roman"/>
                <w:kern w:val="21"/>
                <w:szCs w:val="21"/>
              </w:rPr>
              <w:t>/a</w:t>
            </w:r>
          </w:p>
        </w:tc>
        <w:tc>
          <w:tcPr>
            <w:tcW w:w="264" w:type="pct"/>
            <w:vMerge w:val="restart"/>
            <w:vAlign w:val="center"/>
          </w:tcPr>
          <w:p w14:paraId="083B0B1D">
            <w:pPr>
              <w:pStyle w:val="70"/>
              <w:ind w:left="-105" w:leftChars="-50" w:right="-105" w:rightChars="-50"/>
              <w:jc w:val="center"/>
              <w:rPr>
                <w:rFonts w:ascii="Times New Roman" w:hAnsi="Times New Roman"/>
                <w:kern w:val="21"/>
                <w:szCs w:val="21"/>
              </w:rPr>
            </w:pPr>
            <w:r>
              <w:rPr>
                <w:rFonts w:ascii="Times New Roman" w:hAnsi="Times New Roman"/>
                <w:szCs w:val="21"/>
              </w:rPr>
              <w:t>污染物排放浓度mg/L</w:t>
            </w:r>
          </w:p>
        </w:tc>
        <w:tc>
          <w:tcPr>
            <w:tcW w:w="162" w:type="pct"/>
            <w:vMerge w:val="restart"/>
            <w:vAlign w:val="center"/>
          </w:tcPr>
          <w:p w14:paraId="5C25FA27">
            <w:pPr>
              <w:pStyle w:val="70"/>
              <w:ind w:left="-105" w:leftChars="-50" w:right="-105" w:rightChars="-50"/>
              <w:jc w:val="center"/>
              <w:rPr>
                <w:rFonts w:ascii="Times New Roman" w:hAnsi="Times New Roman"/>
                <w:kern w:val="21"/>
                <w:szCs w:val="21"/>
              </w:rPr>
            </w:pPr>
            <w:r>
              <w:rPr>
                <w:rFonts w:ascii="Times New Roman" w:hAnsi="Times New Roman"/>
                <w:kern w:val="21"/>
                <w:szCs w:val="21"/>
              </w:rPr>
              <w:t>排放方式</w:t>
            </w:r>
          </w:p>
        </w:tc>
        <w:tc>
          <w:tcPr>
            <w:tcW w:w="184" w:type="pct"/>
            <w:vMerge w:val="restart"/>
            <w:vAlign w:val="center"/>
          </w:tcPr>
          <w:p w14:paraId="37FA80DC">
            <w:pPr>
              <w:pStyle w:val="70"/>
              <w:ind w:left="-105" w:leftChars="-50" w:right="-105" w:rightChars="-50"/>
              <w:jc w:val="center"/>
              <w:rPr>
                <w:rFonts w:ascii="Times New Roman" w:hAnsi="Times New Roman"/>
                <w:kern w:val="21"/>
                <w:szCs w:val="21"/>
              </w:rPr>
            </w:pPr>
            <w:r>
              <w:rPr>
                <w:rFonts w:ascii="Times New Roman" w:hAnsi="Times New Roman"/>
                <w:kern w:val="21"/>
                <w:szCs w:val="21"/>
              </w:rPr>
              <w:t>排放去向</w:t>
            </w:r>
          </w:p>
        </w:tc>
        <w:tc>
          <w:tcPr>
            <w:tcW w:w="161" w:type="pct"/>
            <w:vMerge w:val="restart"/>
            <w:vAlign w:val="center"/>
          </w:tcPr>
          <w:p w14:paraId="202E57D5">
            <w:pPr>
              <w:pStyle w:val="70"/>
              <w:ind w:left="-105" w:leftChars="-50" w:right="-105" w:rightChars="-50"/>
              <w:jc w:val="center"/>
              <w:rPr>
                <w:rFonts w:ascii="Times New Roman" w:hAnsi="Times New Roman"/>
                <w:szCs w:val="21"/>
              </w:rPr>
            </w:pPr>
            <w:r>
              <w:rPr>
                <w:rFonts w:ascii="Times New Roman" w:hAnsi="Times New Roman"/>
                <w:kern w:val="21"/>
                <w:szCs w:val="21"/>
              </w:rPr>
              <w:t>排放规律</w:t>
            </w:r>
          </w:p>
        </w:tc>
        <w:tc>
          <w:tcPr>
            <w:tcW w:w="1153" w:type="pct"/>
            <w:gridSpan w:val="4"/>
            <w:vAlign w:val="center"/>
          </w:tcPr>
          <w:p w14:paraId="2CEC4D0A">
            <w:pPr>
              <w:pStyle w:val="70"/>
              <w:ind w:left="-105" w:leftChars="-50" w:right="-105" w:rightChars="-50"/>
              <w:jc w:val="center"/>
              <w:rPr>
                <w:rFonts w:ascii="Times New Roman" w:hAnsi="Times New Roman"/>
                <w:kern w:val="21"/>
                <w:szCs w:val="21"/>
              </w:rPr>
            </w:pPr>
            <w:r>
              <w:rPr>
                <w:rFonts w:ascii="Times New Roman" w:hAnsi="Times New Roman"/>
                <w:kern w:val="21"/>
                <w:szCs w:val="21"/>
              </w:rPr>
              <w:t>排放口</w:t>
            </w:r>
          </w:p>
        </w:tc>
        <w:tc>
          <w:tcPr>
            <w:tcW w:w="418" w:type="pct"/>
            <w:vMerge w:val="restart"/>
            <w:vAlign w:val="center"/>
          </w:tcPr>
          <w:p w14:paraId="00543721">
            <w:pPr>
              <w:pStyle w:val="70"/>
              <w:ind w:left="-105" w:leftChars="-50" w:right="-105" w:rightChars="-50"/>
              <w:jc w:val="center"/>
              <w:rPr>
                <w:rFonts w:ascii="Times New Roman" w:hAnsi="Times New Roman"/>
                <w:szCs w:val="21"/>
              </w:rPr>
            </w:pPr>
            <w:r>
              <w:rPr>
                <w:rFonts w:ascii="Times New Roman" w:hAnsi="Times New Roman"/>
                <w:kern w:val="21"/>
                <w:szCs w:val="21"/>
              </w:rPr>
              <w:t>排放标准</w:t>
            </w:r>
          </w:p>
        </w:tc>
      </w:tr>
      <w:tr w14:paraId="4A9CEE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 w:type="pct"/>
            <w:vMerge w:val="continue"/>
            <w:vAlign w:val="center"/>
          </w:tcPr>
          <w:p w14:paraId="03CEA8CB">
            <w:pPr>
              <w:widowControl/>
              <w:ind w:left="-105" w:leftChars="-50" w:right="-105" w:rightChars="-50"/>
              <w:jc w:val="center"/>
              <w:rPr>
                <w:szCs w:val="21"/>
              </w:rPr>
            </w:pPr>
          </w:p>
        </w:tc>
        <w:tc>
          <w:tcPr>
            <w:tcW w:w="171" w:type="pct"/>
            <w:vMerge w:val="continue"/>
            <w:vAlign w:val="center"/>
          </w:tcPr>
          <w:p w14:paraId="2A2E1457">
            <w:pPr>
              <w:widowControl/>
              <w:ind w:left="-105" w:leftChars="-50" w:right="-105" w:rightChars="-50"/>
              <w:jc w:val="center"/>
              <w:rPr>
                <w:szCs w:val="21"/>
              </w:rPr>
            </w:pPr>
          </w:p>
        </w:tc>
        <w:tc>
          <w:tcPr>
            <w:tcW w:w="156" w:type="pct"/>
            <w:vMerge w:val="continue"/>
            <w:vAlign w:val="center"/>
          </w:tcPr>
          <w:p w14:paraId="44CF27F8">
            <w:pPr>
              <w:widowControl/>
              <w:ind w:left="-105" w:leftChars="-50" w:right="-105" w:rightChars="-50"/>
              <w:jc w:val="center"/>
              <w:rPr>
                <w:szCs w:val="21"/>
              </w:rPr>
            </w:pPr>
          </w:p>
        </w:tc>
        <w:tc>
          <w:tcPr>
            <w:tcW w:w="316" w:type="pct"/>
            <w:vMerge w:val="continue"/>
            <w:vAlign w:val="center"/>
          </w:tcPr>
          <w:p w14:paraId="5A3D312E">
            <w:pPr>
              <w:widowControl/>
              <w:ind w:left="-105" w:leftChars="-50" w:right="-105" w:rightChars="-50"/>
              <w:jc w:val="center"/>
              <w:rPr>
                <w:szCs w:val="21"/>
              </w:rPr>
            </w:pPr>
          </w:p>
        </w:tc>
        <w:tc>
          <w:tcPr>
            <w:tcW w:w="248" w:type="pct"/>
            <w:vMerge w:val="continue"/>
            <w:vAlign w:val="center"/>
          </w:tcPr>
          <w:p w14:paraId="7894949D">
            <w:pPr>
              <w:widowControl/>
              <w:ind w:left="-105" w:leftChars="-50" w:right="-105" w:rightChars="-50"/>
              <w:jc w:val="center"/>
              <w:rPr>
                <w:szCs w:val="21"/>
              </w:rPr>
            </w:pPr>
          </w:p>
        </w:tc>
        <w:tc>
          <w:tcPr>
            <w:tcW w:w="291" w:type="pct"/>
            <w:vMerge w:val="continue"/>
            <w:vAlign w:val="center"/>
          </w:tcPr>
          <w:p w14:paraId="7716423E">
            <w:pPr>
              <w:widowControl/>
              <w:ind w:left="-105" w:leftChars="-50" w:right="-105" w:rightChars="-50"/>
              <w:jc w:val="center"/>
              <w:rPr>
                <w:szCs w:val="21"/>
              </w:rPr>
            </w:pPr>
          </w:p>
        </w:tc>
        <w:tc>
          <w:tcPr>
            <w:tcW w:w="162" w:type="pct"/>
            <w:vAlign w:val="center"/>
          </w:tcPr>
          <w:p w14:paraId="2BF8446D">
            <w:pPr>
              <w:pStyle w:val="70"/>
              <w:ind w:left="-105" w:leftChars="-50" w:right="-105" w:rightChars="-50"/>
              <w:jc w:val="center"/>
              <w:rPr>
                <w:rFonts w:ascii="Times New Roman" w:hAnsi="Times New Roman"/>
                <w:szCs w:val="21"/>
              </w:rPr>
            </w:pPr>
            <w:r>
              <w:rPr>
                <w:rFonts w:ascii="Times New Roman" w:hAnsi="Times New Roman"/>
                <w:szCs w:val="21"/>
              </w:rPr>
              <w:t>设施名称</w:t>
            </w:r>
          </w:p>
        </w:tc>
        <w:tc>
          <w:tcPr>
            <w:tcW w:w="213" w:type="pct"/>
            <w:vAlign w:val="center"/>
          </w:tcPr>
          <w:p w14:paraId="6E65E5D5">
            <w:pPr>
              <w:pStyle w:val="70"/>
              <w:ind w:left="-105" w:leftChars="-50" w:right="-105" w:rightChars="-50"/>
              <w:jc w:val="center"/>
              <w:rPr>
                <w:rFonts w:ascii="Times New Roman" w:hAnsi="Times New Roman"/>
                <w:szCs w:val="21"/>
              </w:rPr>
            </w:pPr>
            <w:r>
              <w:rPr>
                <w:rFonts w:ascii="Times New Roman" w:hAnsi="Times New Roman"/>
                <w:szCs w:val="21"/>
              </w:rPr>
              <w:t>处理能力m</w:t>
            </w:r>
            <w:r>
              <w:rPr>
                <w:rFonts w:ascii="Times New Roman" w:hAnsi="Times New Roman"/>
                <w:szCs w:val="21"/>
                <w:vertAlign w:val="superscript"/>
              </w:rPr>
              <w:t>3</w:t>
            </w:r>
            <w:r>
              <w:rPr>
                <w:rFonts w:ascii="Times New Roman" w:hAnsi="Times New Roman"/>
                <w:szCs w:val="21"/>
              </w:rPr>
              <w:t>/a</w:t>
            </w:r>
          </w:p>
        </w:tc>
        <w:tc>
          <w:tcPr>
            <w:tcW w:w="162" w:type="pct"/>
            <w:vAlign w:val="center"/>
          </w:tcPr>
          <w:p w14:paraId="562F0D38">
            <w:pPr>
              <w:pStyle w:val="70"/>
              <w:ind w:left="-105" w:leftChars="-50" w:right="-105" w:rightChars="-50"/>
              <w:jc w:val="center"/>
              <w:rPr>
                <w:rFonts w:ascii="Times New Roman" w:hAnsi="Times New Roman"/>
                <w:szCs w:val="21"/>
              </w:rPr>
            </w:pPr>
            <w:r>
              <w:rPr>
                <w:rFonts w:ascii="Times New Roman" w:hAnsi="Times New Roman"/>
                <w:szCs w:val="21"/>
              </w:rPr>
              <w:t>治理工艺</w:t>
            </w:r>
          </w:p>
        </w:tc>
        <w:tc>
          <w:tcPr>
            <w:tcW w:w="162" w:type="pct"/>
            <w:vAlign w:val="center"/>
          </w:tcPr>
          <w:p w14:paraId="661B0C76">
            <w:pPr>
              <w:pStyle w:val="70"/>
              <w:ind w:left="-105" w:leftChars="-50" w:right="-105" w:rightChars="-50"/>
              <w:jc w:val="center"/>
              <w:rPr>
                <w:rFonts w:ascii="Times New Roman" w:hAnsi="Times New Roman"/>
                <w:szCs w:val="21"/>
              </w:rPr>
            </w:pPr>
            <w:r>
              <w:rPr>
                <w:rFonts w:ascii="Times New Roman" w:hAnsi="Times New Roman"/>
                <w:szCs w:val="21"/>
              </w:rPr>
              <w:t>治理效率</w:t>
            </w:r>
          </w:p>
        </w:tc>
        <w:tc>
          <w:tcPr>
            <w:tcW w:w="162" w:type="pct"/>
            <w:vAlign w:val="center"/>
          </w:tcPr>
          <w:p w14:paraId="36B9F305">
            <w:pPr>
              <w:pStyle w:val="70"/>
              <w:ind w:left="-105" w:leftChars="-50" w:right="-105" w:rightChars="-50"/>
              <w:jc w:val="center"/>
              <w:rPr>
                <w:rFonts w:ascii="Times New Roman" w:hAnsi="Times New Roman"/>
                <w:szCs w:val="21"/>
              </w:rPr>
            </w:pPr>
            <w:r>
              <w:rPr>
                <w:rFonts w:ascii="Times New Roman" w:hAnsi="Times New Roman"/>
                <w:szCs w:val="21"/>
              </w:rPr>
              <w:t>是否可行性技术</w:t>
            </w:r>
          </w:p>
        </w:tc>
        <w:tc>
          <w:tcPr>
            <w:tcW w:w="213" w:type="pct"/>
            <w:vMerge w:val="continue"/>
            <w:vAlign w:val="center"/>
          </w:tcPr>
          <w:p w14:paraId="16ACCCBA">
            <w:pPr>
              <w:widowControl/>
              <w:ind w:left="-105" w:leftChars="-50" w:right="-105" w:rightChars="-50"/>
              <w:jc w:val="center"/>
              <w:rPr>
                <w:szCs w:val="21"/>
              </w:rPr>
            </w:pPr>
          </w:p>
        </w:tc>
        <w:tc>
          <w:tcPr>
            <w:tcW w:w="264" w:type="pct"/>
            <w:vMerge w:val="continue"/>
            <w:vAlign w:val="center"/>
          </w:tcPr>
          <w:p w14:paraId="7E36C11A">
            <w:pPr>
              <w:widowControl/>
              <w:ind w:left="-105" w:leftChars="-50" w:right="-105" w:rightChars="-50"/>
              <w:jc w:val="center"/>
              <w:rPr>
                <w:szCs w:val="21"/>
              </w:rPr>
            </w:pPr>
          </w:p>
        </w:tc>
        <w:tc>
          <w:tcPr>
            <w:tcW w:w="264" w:type="pct"/>
            <w:vMerge w:val="continue"/>
            <w:vAlign w:val="center"/>
          </w:tcPr>
          <w:p w14:paraId="159AF1DE">
            <w:pPr>
              <w:widowControl/>
              <w:ind w:left="-105" w:leftChars="-50" w:right="-105" w:rightChars="-50"/>
              <w:jc w:val="center"/>
              <w:rPr>
                <w:kern w:val="21"/>
                <w:szCs w:val="21"/>
              </w:rPr>
            </w:pPr>
          </w:p>
        </w:tc>
        <w:tc>
          <w:tcPr>
            <w:tcW w:w="162" w:type="pct"/>
            <w:vMerge w:val="continue"/>
            <w:vAlign w:val="center"/>
          </w:tcPr>
          <w:p w14:paraId="743D8905">
            <w:pPr>
              <w:widowControl/>
              <w:ind w:left="-105" w:leftChars="-50" w:right="-105" w:rightChars="-50"/>
              <w:jc w:val="center"/>
              <w:rPr>
                <w:kern w:val="21"/>
                <w:szCs w:val="21"/>
              </w:rPr>
            </w:pPr>
          </w:p>
        </w:tc>
        <w:tc>
          <w:tcPr>
            <w:tcW w:w="184" w:type="pct"/>
            <w:vMerge w:val="continue"/>
            <w:vAlign w:val="center"/>
          </w:tcPr>
          <w:p w14:paraId="77BE6792">
            <w:pPr>
              <w:widowControl/>
              <w:ind w:left="-105" w:leftChars="-50" w:right="-105" w:rightChars="-50"/>
              <w:jc w:val="center"/>
              <w:rPr>
                <w:kern w:val="21"/>
                <w:szCs w:val="21"/>
              </w:rPr>
            </w:pPr>
          </w:p>
        </w:tc>
        <w:tc>
          <w:tcPr>
            <w:tcW w:w="161" w:type="pct"/>
            <w:vMerge w:val="continue"/>
            <w:vAlign w:val="center"/>
          </w:tcPr>
          <w:p w14:paraId="5E983576">
            <w:pPr>
              <w:widowControl/>
              <w:ind w:left="-105" w:leftChars="-50" w:right="-105" w:rightChars="-50"/>
              <w:jc w:val="center"/>
              <w:rPr>
                <w:szCs w:val="21"/>
              </w:rPr>
            </w:pPr>
          </w:p>
        </w:tc>
        <w:tc>
          <w:tcPr>
            <w:tcW w:w="268" w:type="pct"/>
            <w:vAlign w:val="center"/>
          </w:tcPr>
          <w:p w14:paraId="1047DF97">
            <w:pPr>
              <w:pStyle w:val="70"/>
              <w:ind w:left="-105" w:leftChars="-50" w:right="-105" w:rightChars="-50"/>
              <w:jc w:val="center"/>
              <w:rPr>
                <w:rFonts w:ascii="Times New Roman" w:hAnsi="Times New Roman"/>
                <w:szCs w:val="21"/>
              </w:rPr>
            </w:pPr>
            <w:r>
              <w:rPr>
                <w:rFonts w:ascii="Times New Roman" w:hAnsi="Times New Roman"/>
                <w:szCs w:val="21"/>
              </w:rPr>
              <w:t>编号</w:t>
            </w:r>
          </w:p>
        </w:tc>
        <w:tc>
          <w:tcPr>
            <w:tcW w:w="264" w:type="pct"/>
            <w:vAlign w:val="center"/>
          </w:tcPr>
          <w:p w14:paraId="305950AA">
            <w:pPr>
              <w:pStyle w:val="70"/>
              <w:ind w:left="-105" w:leftChars="-50" w:right="-105" w:rightChars="-50"/>
              <w:jc w:val="center"/>
              <w:rPr>
                <w:rFonts w:ascii="Times New Roman" w:hAnsi="Times New Roman"/>
                <w:szCs w:val="21"/>
              </w:rPr>
            </w:pPr>
            <w:r>
              <w:rPr>
                <w:rFonts w:ascii="Times New Roman" w:hAnsi="Times New Roman"/>
                <w:szCs w:val="21"/>
              </w:rPr>
              <w:t>排放口名称</w:t>
            </w:r>
          </w:p>
        </w:tc>
        <w:tc>
          <w:tcPr>
            <w:tcW w:w="264" w:type="pct"/>
            <w:vAlign w:val="center"/>
          </w:tcPr>
          <w:p w14:paraId="6D78550F">
            <w:pPr>
              <w:pStyle w:val="70"/>
              <w:ind w:left="-105" w:leftChars="-50" w:right="-105" w:rightChars="-50"/>
              <w:jc w:val="center"/>
              <w:rPr>
                <w:rFonts w:ascii="Times New Roman" w:hAnsi="Times New Roman"/>
                <w:szCs w:val="21"/>
              </w:rPr>
            </w:pPr>
            <w:r>
              <w:rPr>
                <w:rFonts w:ascii="Times New Roman" w:hAnsi="Times New Roman"/>
                <w:szCs w:val="21"/>
              </w:rPr>
              <w:t>排放口类型</w:t>
            </w:r>
          </w:p>
        </w:tc>
        <w:tc>
          <w:tcPr>
            <w:tcW w:w="357" w:type="pct"/>
            <w:vAlign w:val="center"/>
          </w:tcPr>
          <w:p w14:paraId="3C640F58">
            <w:pPr>
              <w:pStyle w:val="70"/>
              <w:ind w:left="-105" w:leftChars="-50" w:right="-105" w:rightChars="-50"/>
              <w:jc w:val="center"/>
              <w:rPr>
                <w:rFonts w:ascii="Times New Roman" w:hAnsi="Times New Roman"/>
                <w:szCs w:val="21"/>
              </w:rPr>
            </w:pPr>
            <w:r>
              <w:rPr>
                <w:rFonts w:ascii="Times New Roman" w:hAnsi="Times New Roman"/>
                <w:szCs w:val="21"/>
              </w:rPr>
              <w:t>地理坐标</w:t>
            </w:r>
          </w:p>
        </w:tc>
        <w:tc>
          <w:tcPr>
            <w:tcW w:w="418" w:type="pct"/>
            <w:vMerge w:val="continue"/>
            <w:vAlign w:val="center"/>
          </w:tcPr>
          <w:p w14:paraId="65AD7636">
            <w:pPr>
              <w:widowControl/>
              <w:ind w:left="-105" w:leftChars="-50" w:right="-105" w:rightChars="-50"/>
              <w:jc w:val="center"/>
              <w:rPr>
                <w:szCs w:val="21"/>
              </w:rPr>
            </w:pPr>
          </w:p>
        </w:tc>
      </w:tr>
      <w:tr w14:paraId="0968C5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 w:type="pct"/>
            <w:vAlign w:val="center"/>
          </w:tcPr>
          <w:p w14:paraId="506F1D6A">
            <w:pPr>
              <w:pStyle w:val="70"/>
              <w:ind w:left="-105" w:leftChars="-50" w:right="-105" w:rightChars="-50"/>
              <w:jc w:val="center"/>
              <w:rPr>
                <w:rFonts w:ascii="Times New Roman" w:hAnsi="Times New Roman"/>
                <w:szCs w:val="21"/>
              </w:rPr>
            </w:pPr>
            <w:r>
              <w:rPr>
                <w:rFonts w:hint="eastAsia" w:ascii="Times New Roman" w:hAnsi="Times New Roman"/>
                <w:szCs w:val="21"/>
              </w:rPr>
              <w:t>1</w:t>
            </w:r>
          </w:p>
        </w:tc>
        <w:tc>
          <w:tcPr>
            <w:tcW w:w="171" w:type="pct"/>
            <w:vAlign w:val="center"/>
          </w:tcPr>
          <w:p w14:paraId="51C83E27">
            <w:pPr>
              <w:pStyle w:val="70"/>
              <w:ind w:left="-105" w:leftChars="-50" w:right="-105" w:rightChars="-50"/>
              <w:jc w:val="center"/>
              <w:rPr>
                <w:rFonts w:ascii="Times New Roman" w:hAnsi="Times New Roman"/>
                <w:szCs w:val="21"/>
              </w:rPr>
            </w:pPr>
            <w:r>
              <w:rPr>
                <w:rFonts w:hint="eastAsia" w:ascii="Times New Roman" w:hAnsi="Times New Roman"/>
                <w:kern w:val="0"/>
                <w:szCs w:val="21"/>
              </w:rPr>
              <w:t>锅炉排污水</w:t>
            </w:r>
          </w:p>
        </w:tc>
        <w:tc>
          <w:tcPr>
            <w:tcW w:w="156" w:type="pct"/>
            <w:vAlign w:val="center"/>
          </w:tcPr>
          <w:p w14:paraId="0A05456C">
            <w:pPr>
              <w:pStyle w:val="70"/>
              <w:ind w:left="-105" w:leftChars="-50" w:right="-105" w:rightChars="-50"/>
              <w:jc w:val="center"/>
              <w:rPr>
                <w:rFonts w:ascii="Times New Roman" w:hAnsi="Times New Roman"/>
                <w:szCs w:val="21"/>
              </w:rPr>
            </w:pPr>
            <w:r>
              <w:rPr>
                <w:rFonts w:hint="eastAsia" w:ascii="Times New Roman" w:hAnsi="Times New Roman"/>
                <w:kern w:val="0"/>
                <w:szCs w:val="21"/>
              </w:rPr>
              <w:t>生产</w:t>
            </w:r>
            <w:r>
              <w:rPr>
                <w:rFonts w:ascii="Times New Roman" w:hAnsi="Times New Roman"/>
                <w:kern w:val="0"/>
                <w:szCs w:val="21"/>
              </w:rPr>
              <w:t>废水</w:t>
            </w:r>
          </w:p>
        </w:tc>
        <w:tc>
          <w:tcPr>
            <w:tcW w:w="316" w:type="pct"/>
            <w:vAlign w:val="center"/>
          </w:tcPr>
          <w:p w14:paraId="0744FF41">
            <w:pPr>
              <w:pStyle w:val="70"/>
              <w:ind w:left="-105" w:leftChars="-50" w:right="-105" w:rightChars="-50"/>
              <w:jc w:val="center"/>
              <w:rPr>
                <w:rFonts w:ascii="Times New Roman" w:hAnsi="Times New Roman"/>
                <w:kern w:val="0"/>
                <w:szCs w:val="21"/>
              </w:rPr>
            </w:pPr>
            <w:r>
              <w:rPr>
                <w:rFonts w:hint="eastAsia" w:ascii="Times New Roman" w:hAnsi="Times New Roman"/>
                <w:kern w:val="0"/>
                <w:szCs w:val="21"/>
              </w:rPr>
              <w:t>TDS</w:t>
            </w:r>
          </w:p>
        </w:tc>
        <w:tc>
          <w:tcPr>
            <w:tcW w:w="248" w:type="pct"/>
            <w:vAlign w:val="center"/>
          </w:tcPr>
          <w:p w14:paraId="7D010ADF">
            <w:pPr>
              <w:pStyle w:val="70"/>
              <w:ind w:left="-105" w:leftChars="-50" w:right="-105" w:rightChars="-50"/>
              <w:jc w:val="center"/>
              <w:rPr>
                <w:rFonts w:ascii="Times New Roman" w:hAnsi="Times New Roman"/>
                <w:szCs w:val="21"/>
              </w:rPr>
            </w:pPr>
            <w:r>
              <w:rPr>
                <w:rFonts w:hint="eastAsia" w:ascii="Times New Roman" w:hAnsi="Times New Roman"/>
                <w:szCs w:val="21"/>
              </w:rPr>
              <w:t>10</w:t>
            </w:r>
            <w:r>
              <w:rPr>
                <w:rFonts w:ascii="Times New Roman" w:hAnsi="Times New Roman"/>
                <w:szCs w:val="21"/>
              </w:rPr>
              <w:t>00</w:t>
            </w:r>
          </w:p>
        </w:tc>
        <w:tc>
          <w:tcPr>
            <w:tcW w:w="291" w:type="pct"/>
            <w:vAlign w:val="center"/>
          </w:tcPr>
          <w:p w14:paraId="2C0AF7F0">
            <w:pPr>
              <w:pStyle w:val="70"/>
              <w:ind w:left="-105" w:leftChars="-50" w:right="-105" w:rightChars="-50"/>
              <w:jc w:val="center"/>
              <w:rPr>
                <w:rFonts w:ascii="Times New Roman" w:hAnsi="Times New Roman"/>
                <w:szCs w:val="21"/>
              </w:rPr>
            </w:pPr>
            <w:r>
              <w:rPr>
                <w:rFonts w:hint="eastAsia" w:ascii="Times New Roman" w:hAnsi="Times New Roman"/>
                <w:szCs w:val="21"/>
              </w:rPr>
              <w:t>10.08</w:t>
            </w:r>
          </w:p>
        </w:tc>
        <w:tc>
          <w:tcPr>
            <w:tcW w:w="162" w:type="pct"/>
            <w:vAlign w:val="center"/>
          </w:tcPr>
          <w:p w14:paraId="3BD66D75">
            <w:pPr>
              <w:pStyle w:val="70"/>
              <w:ind w:left="-105" w:leftChars="-50" w:right="-105" w:rightChars="-50"/>
              <w:jc w:val="center"/>
              <w:rPr>
                <w:rFonts w:ascii="Times New Roman" w:hAnsi="Times New Roman"/>
                <w:szCs w:val="21"/>
              </w:rPr>
            </w:pPr>
            <w:r>
              <w:rPr>
                <w:rFonts w:hint="eastAsia" w:ascii="Times New Roman" w:hAnsi="Times New Roman"/>
                <w:szCs w:val="21"/>
              </w:rPr>
              <w:t>/</w:t>
            </w:r>
          </w:p>
        </w:tc>
        <w:tc>
          <w:tcPr>
            <w:tcW w:w="213" w:type="pct"/>
            <w:vAlign w:val="center"/>
          </w:tcPr>
          <w:p w14:paraId="2C31EEFB">
            <w:pPr>
              <w:pStyle w:val="70"/>
              <w:ind w:left="-105" w:leftChars="-50" w:right="-105" w:rightChars="-50"/>
              <w:jc w:val="center"/>
              <w:rPr>
                <w:rFonts w:ascii="Times New Roman" w:hAnsi="Times New Roman"/>
                <w:szCs w:val="21"/>
              </w:rPr>
            </w:pPr>
            <w:r>
              <w:rPr>
                <w:rFonts w:hint="eastAsia" w:ascii="Times New Roman" w:hAnsi="Times New Roman"/>
                <w:szCs w:val="21"/>
              </w:rPr>
              <w:t>/</w:t>
            </w:r>
          </w:p>
        </w:tc>
        <w:tc>
          <w:tcPr>
            <w:tcW w:w="162" w:type="pct"/>
            <w:vAlign w:val="center"/>
          </w:tcPr>
          <w:p w14:paraId="12A9E5FC">
            <w:pPr>
              <w:pStyle w:val="70"/>
              <w:ind w:left="-105" w:leftChars="-50" w:right="-105" w:rightChars="-50"/>
              <w:jc w:val="center"/>
              <w:rPr>
                <w:rFonts w:ascii="Times New Roman" w:hAnsi="Times New Roman"/>
                <w:szCs w:val="21"/>
              </w:rPr>
            </w:pPr>
            <w:r>
              <w:rPr>
                <w:rFonts w:ascii="Times New Roman" w:hAnsi="Times New Roman"/>
                <w:szCs w:val="21"/>
              </w:rPr>
              <w:t>/</w:t>
            </w:r>
          </w:p>
        </w:tc>
        <w:tc>
          <w:tcPr>
            <w:tcW w:w="162" w:type="pct"/>
            <w:vAlign w:val="center"/>
          </w:tcPr>
          <w:p w14:paraId="1AE89D03">
            <w:pPr>
              <w:pStyle w:val="70"/>
              <w:ind w:left="-105" w:leftChars="-50" w:right="-105" w:rightChars="-50"/>
              <w:jc w:val="center"/>
              <w:rPr>
                <w:rFonts w:ascii="Times New Roman" w:hAnsi="Times New Roman"/>
                <w:szCs w:val="21"/>
              </w:rPr>
            </w:pPr>
            <w:r>
              <w:rPr>
                <w:rFonts w:ascii="Times New Roman" w:hAnsi="Times New Roman"/>
                <w:szCs w:val="21"/>
              </w:rPr>
              <w:t>/</w:t>
            </w:r>
          </w:p>
        </w:tc>
        <w:tc>
          <w:tcPr>
            <w:tcW w:w="162" w:type="pct"/>
            <w:vAlign w:val="center"/>
          </w:tcPr>
          <w:p w14:paraId="68DC32DC">
            <w:pPr>
              <w:pStyle w:val="70"/>
              <w:ind w:left="-105" w:leftChars="-50" w:right="-105" w:rightChars="-50"/>
              <w:jc w:val="center"/>
              <w:rPr>
                <w:rFonts w:ascii="Times New Roman" w:hAnsi="Times New Roman"/>
                <w:szCs w:val="21"/>
              </w:rPr>
            </w:pPr>
            <w:r>
              <w:rPr>
                <w:rFonts w:hint="eastAsia" w:ascii="Times New Roman" w:hAnsi="Times New Roman"/>
                <w:szCs w:val="21"/>
              </w:rPr>
              <w:t>是</w:t>
            </w:r>
          </w:p>
        </w:tc>
        <w:tc>
          <w:tcPr>
            <w:tcW w:w="213" w:type="pct"/>
            <w:vAlign w:val="center"/>
          </w:tcPr>
          <w:p w14:paraId="629819A8">
            <w:pPr>
              <w:pStyle w:val="70"/>
              <w:ind w:left="-105" w:leftChars="-50" w:right="-105" w:rightChars="-50"/>
              <w:jc w:val="center"/>
              <w:rPr>
                <w:rFonts w:ascii="Times New Roman" w:hAnsi="Times New Roman"/>
                <w:szCs w:val="21"/>
              </w:rPr>
            </w:pPr>
            <w:r>
              <w:rPr>
                <w:rFonts w:hint="eastAsia" w:ascii="Times New Roman" w:hAnsi="Times New Roman"/>
                <w:szCs w:val="21"/>
              </w:rPr>
              <w:t>10080</w:t>
            </w:r>
          </w:p>
        </w:tc>
        <w:tc>
          <w:tcPr>
            <w:tcW w:w="264" w:type="pct"/>
            <w:vAlign w:val="center"/>
          </w:tcPr>
          <w:p w14:paraId="001D25EA">
            <w:pPr>
              <w:pStyle w:val="70"/>
              <w:ind w:left="-105" w:leftChars="-50" w:right="-105" w:rightChars="-50"/>
              <w:jc w:val="center"/>
              <w:rPr>
                <w:rFonts w:ascii="Times New Roman" w:hAnsi="Times New Roman"/>
                <w:szCs w:val="21"/>
              </w:rPr>
            </w:pPr>
            <w:r>
              <w:rPr>
                <w:rFonts w:hint="eastAsia" w:ascii="Times New Roman" w:hAnsi="Times New Roman"/>
                <w:szCs w:val="21"/>
              </w:rPr>
              <w:t>10.08</w:t>
            </w:r>
          </w:p>
        </w:tc>
        <w:tc>
          <w:tcPr>
            <w:tcW w:w="264" w:type="pct"/>
            <w:vAlign w:val="center"/>
          </w:tcPr>
          <w:p w14:paraId="79443A5A">
            <w:pPr>
              <w:pStyle w:val="70"/>
              <w:ind w:left="-105" w:leftChars="-50" w:right="-105" w:rightChars="-50"/>
              <w:jc w:val="center"/>
              <w:rPr>
                <w:rFonts w:ascii="Times New Roman" w:hAnsi="Times New Roman"/>
                <w:szCs w:val="21"/>
              </w:rPr>
            </w:pPr>
            <w:r>
              <w:rPr>
                <w:rFonts w:hint="eastAsia" w:ascii="Times New Roman" w:hAnsi="Times New Roman"/>
                <w:szCs w:val="21"/>
              </w:rPr>
              <w:t>10</w:t>
            </w:r>
            <w:r>
              <w:rPr>
                <w:rFonts w:ascii="Times New Roman" w:hAnsi="Times New Roman"/>
                <w:szCs w:val="21"/>
              </w:rPr>
              <w:t>00</w:t>
            </w:r>
          </w:p>
        </w:tc>
        <w:tc>
          <w:tcPr>
            <w:tcW w:w="162" w:type="pct"/>
            <w:vAlign w:val="center"/>
          </w:tcPr>
          <w:p w14:paraId="497F7F50">
            <w:pPr>
              <w:pStyle w:val="70"/>
              <w:ind w:left="-105" w:leftChars="-50" w:right="-105" w:rightChars="-50"/>
              <w:jc w:val="center"/>
              <w:rPr>
                <w:rFonts w:ascii="Times New Roman" w:hAnsi="Times New Roman"/>
                <w:szCs w:val="21"/>
              </w:rPr>
            </w:pPr>
            <w:r>
              <w:rPr>
                <w:rFonts w:ascii="Times New Roman" w:hAnsi="Times New Roman"/>
                <w:szCs w:val="21"/>
              </w:rPr>
              <w:t>间接</w:t>
            </w:r>
          </w:p>
        </w:tc>
        <w:tc>
          <w:tcPr>
            <w:tcW w:w="184" w:type="pct"/>
            <w:vMerge w:val="continue"/>
            <w:vAlign w:val="center"/>
          </w:tcPr>
          <w:p w14:paraId="3B440897">
            <w:pPr>
              <w:pStyle w:val="70"/>
              <w:ind w:left="-105" w:leftChars="-50" w:right="-105" w:rightChars="-50"/>
              <w:jc w:val="center"/>
              <w:rPr>
                <w:rFonts w:ascii="Times New Roman" w:hAnsi="Times New Roman"/>
                <w:szCs w:val="21"/>
              </w:rPr>
            </w:pPr>
          </w:p>
        </w:tc>
        <w:tc>
          <w:tcPr>
            <w:tcW w:w="161" w:type="pct"/>
            <w:vAlign w:val="center"/>
          </w:tcPr>
          <w:p w14:paraId="3C0A4B3E">
            <w:pPr>
              <w:pStyle w:val="70"/>
              <w:ind w:left="-105" w:leftChars="-50" w:right="-105" w:rightChars="-50"/>
              <w:jc w:val="center"/>
              <w:rPr>
                <w:rFonts w:ascii="Times New Roman" w:hAnsi="Times New Roman"/>
                <w:szCs w:val="21"/>
              </w:rPr>
            </w:pPr>
            <w:r>
              <w:rPr>
                <w:rFonts w:hint="eastAsia" w:ascii="Times New Roman" w:hAnsi="Times New Roman"/>
                <w:szCs w:val="21"/>
              </w:rPr>
              <w:t>间断排放</w:t>
            </w:r>
          </w:p>
        </w:tc>
        <w:tc>
          <w:tcPr>
            <w:tcW w:w="268" w:type="pct"/>
            <w:vMerge w:val="restart"/>
            <w:vAlign w:val="center"/>
          </w:tcPr>
          <w:p w14:paraId="71F560D0">
            <w:pPr>
              <w:pStyle w:val="70"/>
              <w:ind w:left="-105" w:leftChars="-50" w:right="-105" w:rightChars="-50"/>
              <w:jc w:val="center"/>
              <w:rPr>
                <w:rFonts w:ascii="Times New Roman" w:hAnsi="Times New Roman"/>
                <w:szCs w:val="21"/>
              </w:rPr>
            </w:pPr>
            <w:r>
              <w:rPr>
                <w:rFonts w:hint="eastAsia" w:ascii="Times New Roman" w:hAnsi="Times New Roman"/>
                <w:szCs w:val="21"/>
              </w:rPr>
              <w:t>/</w:t>
            </w:r>
          </w:p>
        </w:tc>
        <w:tc>
          <w:tcPr>
            <w:tcW w:w="264" w:type="pct"/>
            <w:vMerge w:val="restart"/>
            <w:vAlign w:val="center"/>
          </w:tcPr>
          <w:p w14:paraId="6D8FFCDA">
            <w:pPr>
              <w:pStyle w:val="70"/>
              <w:ind w:left="-105" w:leftChars="-50" w:right="-105" w:rightChars="-50"/>
              <w:jc w:val="center"/>
              <w:rPr>
                <w:rFonts w:ascii="Times New Roman" w:hAnsi="Times New Roman"/>
                <w:szCs w:val="21"/>
              </w:rPr>
            </w:pPr>
            <w:r>
              <w:rPr>
                <w:rFonts w:hint="eastAsia" w:ascii="Times New Roman" w:hAnsi="Times New Roman"/>
                <w:szCs w:val="21"/>
              </w:rPr>
              <w:t>/</w:t>
            </w:r>
          </w:p>
        </w:tc>
        <w:tc>
          <w:tcPr>
            <w:tcW w:w="264" w:type="pct"/>
            <w:vMerge w:val="restart"/>
            <w:vAlign w:val="center"/>
          </w:tcPr>
          <w:p w14:paraId="47E4299C">
            <w:pPr>
              <w:pStyle w:val="70"/>
              <w:ind w:left="-105" w:leftChars="-50" w:right="-105" w:rightChars="-50"/>
              <w:jc w:val="center"/>
              <w:rPr>
                <w:rFonts w:ascii="Times New Roman" w:hAnsi="Times New Roman"/>
                <w:szCs w:val="21"/>
              </w:rPr>
            </w:pPr>
            <w:r>
              <w:rPr>
                <w:rFonts w:hint="eastAsia" w:ascii="Times New Roman" w:hAnsi="Times New Roman"/>
                <w:szCs w:val="21"/>
              </w:rPr>
              <w:t>/</w:t>
            </w:r>
          </w:p>
        </w:tc>
        <w:tc>
          <w:tcPr>
            <w:tcW w:w="357" w:type="pct"/>
            <w:vMerge w:val="restart"/>
            <w:vAlign w:val="center"/>
          </w:tcPr>
          <w:p w14:paraId="171D2D9A">
            <w:pPr>
              <w:pStyle w:val="70"/>
              <w:ind w:left="-105" w:leftChars="-50" w:right="-105" w:rightChars="-50"/>
              <w:jc w:val="center"/>
              <w:rPr>
                <w:rFonts w:ascii="Times New Roman" w:hAnsi="Times New Roman"/>
                <w:szCs w:val="21"/>
              </w:rPr>
            </w:pPr>
            <w:r>
              <w:rPr>
                <w:rFonts w:hint="eastAsia" w:ascii="Times New Roman" w:hAnsi="Times New Roman"/>
                <w:szCs w:val="21"/>
              </w:rPr>
              <w:t>/</w:t>
            </w:r>
          </w:p>
        </w:tc>
        <w:tc>
          <w:tcPr>
            <w:tcW w:w="418" w:type="pct"/>
            <w:vMerge w:val="restart"/>
            <w:vAlign w:val="center"/>
          </w:tcPr>
          <w:p w14:paraId="556B1DF3">
            <w:pPr>
              <w:pStyle w:val="70"/>
              <w:ind w:left="-105" w:leftChars="-50" w:right="-105" w:rightChars="-50"/>
              <w:jc w:val="center"/>
              <w:rPr>
                <w:rFonts w:ascii="Times New Roman" w:hAnsi="Times New Roman"/>
                <w:szCs w:val="21"/>
              </w:rPr>
            </w:pPr>
            <w:r>
              <w:rPr>
                <w:rFonts w:hint="eastAsia" w:ascii="Times New Roman" w:hAnsi="Times New Roman"/>
                <w:szCs w:val="21"/>
              </w:rPr>
              <w:t>/</w:t>
            </w:r>
          </w:p>
        </w:tc>
      </w:tr>
      <w:tr w14:paraId="14DE8D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 w:type="pct"/>
            <w:vAlign w:val="center"/>
          </w:tcPr>
          <w:p w14:paraId="13611748">
            <w:pPr>
              <w:pStyle w:val="70"/>
              <w:ind w:left="-105" w:leftChars="-50" w:right="-105" w:rightChars="-50"/>
              <w:jc w:val="center"/>
              <w:rPr>
                <w:rFonts w:ascii="Times New Roman" w:hAnsi="Times New Roman"/>
                <w:szCs w:val="21"/>
              </w:rPr>
            </w:pPr>
            <w:r>
              <w:rPr>
                <w:rFonts w:hint="eastAsia" w:ascii="Times New Roman" w:hAnsi="Times New Roman"/>
                <w:szCs w:val="21"/>
              </w:rPr>
              <w:t>2</w:t>
            </w:r>
          </w:p>
        </w:tc>
        <w:tc>
          <w:tcPr>
            <w:tcW w:w="171" w:type="pct"/>
            <w:vAlign w:val="center"/>
          </w:tcPr>
          <w:p w14:paraId="0EC6E706">
            <w:pPr>
              <w:pStyle w:val="70"/>
              <w:ind w:left="-105" w:leftChars="-50" w:right="-105" w:rightChars="-50"/>
              <w:jc w:val="center"/>
              <w:rPr>
                <w:rFonts w:ascii="Times New Roman" w:hAnsi="Times New Roman"/>
                <w:kern w:val="0"/>
                <w:szCs w:val="21"/>
              </w:rPr>
            </w:pPr>
            <w:r>
              <w:rPr>
                <w:rFonts w:hint="eastAsia" w:ascii="Times New Roman" w:hAnsi="Times New Roman"/>
                <w:kern w:val="0"/>
                <w:szCs w:val="21"/>
              </w:rPr>
              <w:t>软水制备排污水</w:t>
            </w:r>
          </w:p>
        </w:tc>
        <w:tc>
          <w:tcPr>
            <w:tcW w:w="156" w:type="pct"/>
            <w:vAlign w:val="center"/>
          </w:tcPr>
          <w:p w14:paraId="7F9977B0">
            <w:pPr>
              <w:pStyle w:val="70"/>
              <w:ind w:left="-105" w:leftChars="-50" w:right="-105" w:rightChars="-50"/>
              <w:jc w:val="center"/>
              <w:rPr>
                <w:rFonts w:ascii="Times New Roman" w:hAnsi="Times New Roman"/>
                <w:kern w:val="0"/>
                <w:szCs w:val="21"/>
              </w:rPr>
            </w:pPr>
            <w:r>
              <w:rPr>
                <w:rFonts w:hint="eastAsia" w:ascii="Times New Roman" w:hAnsi="Times New Roman"/>
                <w:kern w:val="0"/>
                <w:szCs w:val="21"/>
              </w:rPr>
              <w:t>生产</w:t>
            </w:r>
            <w:r>
              <w:rPr>
                <w:rFonts w:ascii="Times New Roman" w:hAnsi="Times New Roman"/>
                <w:kern w:val="0"/>
                <w:szCs w:val="21"/>
              </w:rPr>
              <w:t>废水</w:t>
            </w:r>
          </w:p>
        </w:tc>
        <w:tc>
          <w:tcPr>
            <w:tcW w:w="316" w:type="pct"/>
            <w:vAlign w:val="center"/>
          </w:tcPr>
          <w:p w14:paraId="3D91A914">
            <w:pPr>
              <w:pStyle w:val="70"/>
              <w:ind w:left="-105" w:leftChars="-50" w:right="-105" w:rightChars="-50"/>
              <w:jc w:val="center"/>
              <w:rPr>
                <w:rFonts w:ascii="Times New Roman" w:hAnsi="Times New Roman"/>
                <w:kern w:val="0"/>
                <w:szCs w:val="21"/>
              </w:rPr>
            </w:pPr>
            <w:r>
              <w:rPr>
                <w:rFonts w:hint="eastAsia" w:ascii="Times New Roman" w:hAnsi="Times New Roman"/>
                <w:kern w:val="0"/>
                <w:szCs w:val="21"/>
              </w:rPr>
              <w:t>TDS</w:t>
            </w:r>
          </w:p>
        </w:tc>
        <w:tc>
          <w:tcPr>
            <w:tcW w:w="248" w:type="pct"/>
            <w:vAlign w:val="center"/>
          </w:tcPr>
          <w:p w14:paraId="18102DC6">
            <w:pPr>
              <w:pStyle w:val="70"/>
              <w:ind w:left="-105" w:leftChars="-50" w:right="-105" w:rightChars="-50"/>
              <w:jc w:val="center"/>
              <w:rPr>
                <w:rFonts w:ascii="Times New Roman" w:hAnsi="Times New Roman"/>
                <w:szCs w:val="21"/>
              </w:rPr>
            </w:pPr>
            <w:r>
              <w:rPr>
                <w:rFonts w:hint="eastAsia" w:ascii="Times New Roman" w:hAnsi="Times New Roman"/>
                <w:szCs w:val="21"/>
              </w:rPr>
              <w:t>10</w:t>
            </w:r>
            <w:r>
              <w:rPr>
                <w:rFonts w:ascii="Times New Roman" w:hAnsi="Times New Roman"/>
                <w:szCs w:val="21"/>
              </w:rPr>
              <w:t>00</w:t>
            </w:r>
          </w:p>
        </w:tc>
        <w:tc>
          <w:tcPr>
            <w:tcW w:w="291" w:type="pct"/>
            <w:vAlign w:val="center"/>
          </w:tcPr>
          <w:p w14:paraId="3FB8BFAC">
            <w:pPr>
              <w:pStyle w:val="70"/>
              <w:ind w:left="-105" w:leftChars="-50" w:right="-105" w:rightChars="-50"/>
              <w:jc w:val="center"/>
              <w:rPr>
                <w:rFonts w:ascii="Times New Roman" w:hAnsi="Times New Roman"/>
                <w:szCs w:val="21"/>
              </w:rPr>
            </w:pPr>
            <w:r>
              <w:rPr>
                <w:rFonts w:hint="eastAsia" w:ascii="Times New Roman" w:hAnsi="Times New Roman"/>
                <w:szCs w:val="21"/>
              </w:rPr>
              <w:t>7.056</w:t>
            </w:r>
          </w:p>
        </w:tc>
        <w:tc>
          <w:tcPr>
            <w:tcW w:w="162" w:type="pct"/>
            <w:vAlign w:val="center"/>
          </w:tcPr>
          <w:p w14:paraId="2D9E12E9">
            <w:pPr>
              <w:pStyle w:val="70"/>
              <w:ind w:left="-105" w:leftChars="-50" w:right="-105" w:rightChars="-50"/>
              <w:jc w:val="center"/>
              <w:rPr>
                <w:rFonts w:ascii="Times New Roman" w:hAnsi="Times New Roman"/>
                <w:szCs w:val="21"/>
              </w:rPr>
            </w:pPr>
            <w:r>
              <w:rPr>
                <w:rFonts w:hint="eastAsia" w:ascii="Times New Roman" w:hAnsi="Times New Roman"/>
                <w:szCs w:val="21"/>
              </w:rPr>
              <w:t>/</w:t>
            </w:r>
          </w:p>
        </w:tc>
        <w:tc>
          <w:tcPr>
            <w:tcW w:w="213" w:type="pct"/>
            <w:vAlign w:val="center"/>
          </w:tcPr>
          <w:p w14:paraId="24483DED">
            <w:pPr>
              <w:pStyle w:val="70"/>
              <w:ind w:left="-105" w:leftChars="-50" w:right="-105" w:rightChars="-50"/>
              <w:jc w:val="center"/>
              <w:rPr>
                <w:rFonts w:ascii="Times New Roman" w:hAnsi="Times New Roman"/>
                <w:szCs w:val="21"/>
              </w:rPr>
            </w:pPr>
            <w:r>
              <w:rPr>
                <w:rFonts w:hint="eastAsia" w:ascii="Times New Roman" w:hAnsi="Times New Roman"/>
                <w:szCs w:val="21"/>
              </w:rPr>
              <w:t>/</w:t>
            </w:r>
          </w:p>
        </w:tc>
        <w:tc>
          <w:tcPr>
            <w:tcW w:w="162" w:type="pct"/>
            <w:vAlign w:val="center"/>
          </w:tcPr>
          <w:p w14:paraId="027C794E">
            <w:pPr>
              <w:pStyle w:val="70"/>
              <w:ind w:left="-105" w:leftChars="-50" w:right="-105" w:rightChars="-50"/>
              <w:jc w:val="center"/>
              <w:rPr>
                <w:rFonts w:ascii="Times New Roman" w:hAnsi="Times New Roman"/>
                <w:szCs w:val="21"/>
              </w:rPr>
            </w:pPr>
            <w:r>
              <w:rPr>
                <w:rFonts w:ascii="Times New Roman" w:hAnsi="Times New Roman"/>
                <w:szCs w:val="21"/>
              </w:rPr>
              <w:t>/</w:t>
            </w:r>
          </w:p>
        </w:tc>
        <w:tc>
          <w:tcPr>
            <w:tcW w:w="162" w:type="pct"/>
            <w:vAlign w:val="center"/>
          </w:tcPr>
          <w:p w14:paraId="7C464E65">
            <w:pPr>
              <w:pStyle w:val="70"/>
              <w:ind w:left="-105" w:leftChars="-50" w:right="-105" w:rightChars="-50"/>
              <w:jc w:val="center"/>
              <w:rPr>
                <w:rFonts w:ascii="Times New Roman" w:hAnsi="Times New Roman"/>
                <w:szCs w:val="21"/>
              </w:rPr>
            </w:pPr>
            <w:r>
              <w:rPr>
                <w:rFonts w:ascii="Times New Roman" w:hAnsi="Times New Roman"/>
                <w:szCs w:val="21"/>
              </w:rPr>
              <w:t>/</w:t>
            </w:r>
          </w:p>
        </w:tc>
        <w:tc>
          <w:tcPr>
            <w:tcW w:w="162" w:type="pct"/>
            <w:vAlign w:val="center"/>
          </w:tcPr>
          <w:p w14:paraId="303A6737">
            <w:pPr>
              <w:pStyle w:val="70"/>
              <w:ind w:left="-105" w:leftChars="-50" w:right="-105" w:rightChars="-50"/>
              <w:jc w:val="center"/>
              <w:rPr>
                <w:rFonts w:ascii="Times New Roman" w:hAnsi="Times New Roman"/>
                <w:szCs w:val="21"/>
              </w:rPr>
            </w:pPr>
            <w:r>
              <w:rPr>
                <w:rFonts w:hint="eastAsia" w:ascii="Times New Roman" w:hAnsi="Times New Roman"/>
                <w:szCs w:val="21"/>
              </w:rPr>
              <w:t>是</w:t>
            </w:r>
          </w:p>
        </w:tc>
        <w:tc>
          <w:tcPr>
            <w:tcW w:w="213" w:type="pct"/>
            <w:vAlign w:val="center"/>
          </w:tcPr>
          <w:p w14:paraId="4B967063">
            <w:pPr>
              <w:pStyle w:val="70"/>
              <w:ind w:left="-105" w:leftChars="-50" w:right="-105" w:rightChars="-50"/>
              <w:jc w:val="center"/>
              <w:rPr>
                <w:rFonts w:ascii="Times New Roman" w:hAnsi="Times New Roman"/>
                <w:szCs w:val="21"/>
              </w:rPr>
            </w:pPr>
            <w:r>
              <w:rPr>
                <w:rFonts w:hint="eastAsia" w:ascii="Times New Roman" w:hAnsi="Times New Roman"/>
                <w:szCs w:val="21"/>
              </w:rPr>
              <w:t>7056</w:t>
            </w:r>
          </w:p>
        </w:tc>
        <w:tc>
          <w:tcPr>
            <w:tcW w:w="264" w:type="pct"/>
            <w:vAlign w:val="center"/>
          </w:tcPr>
          <w:p w14:paraId="656263C6">
            <w:pPr>
              <w:pStyle w:val="70"/>
              <w:ind w:left="-105" w:leftChars="-50" w:right="-105" w:rightChars="-50"/>
              <w:jc w:val="center"/>
              <w:rPr>
                <w:rFonts w:ascii="Times New Roman" w:hAnsi="Times New Roman"/>
                <w:szCs w:val="21"/>
              </w:rPr>
            </w:pPr>
            <w:r>
              <w:rPr>
                <w:rFonts w:hint="eastAsia" w:ascii="Times New Roman" w:hAnsi="Times New Roman"/>
                <w:szCs w:val="21"/>
              </w:rPr>
              <w:t>7.056</w:t>
            </w:r>
          </w:p>
        </w:tc>
        <w:tc>
          <w:tcPr>
            <w:tcW w:w="264" w:type="pct"/>
            <w:vAlign w:val="center"/>
          </w:tcPr>
          <w:p w14:paraId="0A9A8CA8">
            <w:pPr>
              <w:pStyle w:val="70"/>
              <w:ind w:left="-105" w:leftChars="-50" w:right="-105" w:rightChars="-50"/>
              <w:jc w:val="center"/>
              <w:rPr>
                <w:rFonts w:ascii="Times New Roman" w:hAnsi="Times New Roman"/>
                <w:szCs w:val="21"/>
              </w:rPr>
            </w:pPr>
            <w:r>
              <w:rPr>
                <w:rFonts w:hint="eastAsia" w:ascii="Times New Roman" w:hAnsi="Times New Roman"/>
                <w:szCs w:val="21"/>
              </w:rPr>
              <w:t>10</w:t>
            </w:r>
            <w:r>
              <w:rPr>
                <w:rFonts w:ascii="Times New Roman" w:hAnsi="Times New Roman"/>
                <w:szCs w:val="21"/>
              </w:rPr>
              <w:t>00</w:t>
            </w:r>
          </w:p>
        </w:tc>
        <w:tc>
          <w:tcPr>
            <w:tcW w:w="162" w:type="pct"/>
            <w:vAlign w:val="center"/>
          </w:tcPr>
          <w:p w14:paraId="6612C7D2">
            <w:pPr>
              <w:pStyle w:val="70"/>
              <w:ind w:left="-105" w:leftChars="-50" w:right="-105" w:rightChars="-50"/>
              <w:jc w:val="center"/>
              <w:rPr>
                <w:rFonts w:ascii="Times New Roman" w:hAnsi="Times New Roman"/>
                <w:szCs w:val="21"/>
              </w:rPr>
            </w:pPr>
            <w:r>
              <w:rPr>
                <w:rFonts w:ascii="Times New Roman" w:hAnsi="Times New Roman"/>
                <w:szCs w:val="21"/>
              </w:rPr>
              <w:t>间接</w:t>
            </w:r>
          </w:p>
        </w:tc>
        <w:tc>
          <w:tcPr>
            <w:tcW w:w="184" w:type="pct"/>
            <w:vMerge w:val="continue"/>
            <w:vAlign w:val="center"/>
          </w:tcPr>
          <w:p w14:paraId="7988A55E">
            <w:pPr>
              <w:pStyle w:val="70"/>
              <w:ind w:left="-105" w:leftChars="-50" w:right="-105" w:rightChars="-50"/>
              <w:jc w:val="center"/>
              <w:rPr>
                <w:bCs/>
                <w:kern w:val="0"/>
                <w:szCs w:val="21"/>
              </w:rPr>
            </w:pPr>
          </w:p>
        </w:tc>
        <w:tc>
          <w:tcPr>
            <w:tcW w:w="161" w:type="pct"/>
            <w:vAlign w:val="center"/>
          </w:tcPr>
          <w:p w14:paraId="0A3CFE70">
            <w:pPr>
              <w:pStyle w:val="70"/>
              <w:ind w:left="-105" w:leftChars="-50" w:right="-105" w:rightChars="-50"/>
              <w:jc w:val="center"/>
              <w:rPr>
                <w:rFonts w:ascii="Times New Roman" w:hAnsi="Times New Roman"/>
                <w:szCs w:val="21"/>
              </w:rPr>
            </w:pPr>
            <w:r>
              <w:rPr>
                <w:rFonts w:hint="eastAsia" w:ascii="Times New Roman" w:hAnsi="Times New Roman"/>
                <w:szCs w:val="21"/>
              </w:rPr>
              <w:t>连续</w:t>
            </w:r>
            <w:r>
              <w:rPr>
                <w:rFonts w:ascii="Times New Roman" w:hAnsi="Times New Roman"/>
                <w:szCs w:val="21"/>
              </w:rPr>
              <w:t>排放</w:t>
            </w:r>
          </w:p>
        </w:tc>
        <w:tc>
          <w:tcPr>
            <w:tcW w:w="268" w:type="pct"/>
            <w:vMerge w:val="continue"/>
            <w:vAlign w:val="center"/>
          </w:tcPr>
          <w:p w14:paraId="60F9C8C1">
            <w:pPr>
              <w:pStyle w:val="70"/>
              <w:ind w:left="-105" w:leftChars="-50" w:right="-105" w:rightChars="-50"/>
              <w:jc w:val="center"/>
              <w:rPr>
                <w:rFonts w:ascii="Times New Roman" w:hAnsi="Times New Roman"/>
                <w:szCs w:val="21"/>
              </w:rPr>
            </w:pPr>
          </w:p>
        </w:tc>
        <w:tc>
          <w:tcPr>
            <w:tcW w:w="264" w:type="pct"/>
            <w:vMerge w:val="continue"/>
            <w:vAlign w:val="center"/>
          </w:tcPr>
          <w:p w14:paraId="69978B8C">
            <w:pPr>
              <w:pStyle w:val="70"/>
              <w:ind w:left="-105" w:leftChars="-50" w:right="-105" w:rightChars="-50"/>
              <w:jc w:val="center"/>
              <w:rPr>
                <w:rFonts w:ascii="Times New Roman" w:hAnsi="Times New Roman"/>
                <w:szCs w:val="21"/>
              </w:rPr>
            </w:pPr>
          </w:p>
        </w:tc>
        <w:tc>
          <w:tcPr>
            <w:tcW w:w="264" w:type="pct"/>
            <w:vMerge w:val="continue"/>
            <w:vAlign w:val="center"/>
          </w:tcPr>
          <w:p w14:paraId="75D1683A">
            <w:pPr>
              <w:pStyle w:val="70"/>
              <w:ind w:left="-105" w:leftChars="-50" w:right="-105" w:rightChars="-50"/>
              <w:jc w:val="center"/>
              <w:rPr>
                <w:rFonts w:ascii="Times New Roman" w:hAnsi="Times New Roman"/>
                <w:szCs w:val="21"/>
              </w:rPr>
            </w:pPr>
          </w:p>
        </w:tc>
        <w:tc>
          <w:tcPr>
            <w:tcW w:w="357" w:type="pct"/>
            <w:vMerge w:val="continue"/>
            <w:vAlign w:val="center"/>
          </w:tcPr>
          <w:p w14:paraId="7D986843">
            <w:pPr>
              <w:pStyle w:val="70"/>
              <w:ind w:left="-105" w:leftChars="-50" w:right="-105" w:rightChars="-50"/>
              <w:jc w:val="center"/>
              <w:rPr>
                <w:rFonts w:ascii="Times New Roman" w:hAnsi="Times New Roman"/>
                <w:szCs w:val="21"/>
              </w:rPr>
            </w:pPr>
          </w:p>
        </w:tc>
        <w:tc>
          <w:tcPr>
            <w:tcW w:w="418" w:type="pct"/>
            <w:vMerge w:val="continue"/>
            <w:vAlign w:val="center"/>
          </w:tcPr>
          <w:p w14:paraId="5AE4C175">
            <w:pPr>
              <w:pStyle w:val="70"/>
              <w:ind w:left="-105" w:leftChars="-50" w:right="-105" w:rightChars="-50"/>
              <w:jc w:val="center"/>
              <w:rPr>
                <w:rFonts w:ascii="Times New Roman" w:hAnsi="Times New Roman"/>
                <w:szCs w:val="21"/>
              </w:rPr>
            </w:pPr>
          </w:p>
        </w:tc>
      </w:tr>
    </w:tbl>
    <w:p w14:paraId="434FA123"/>
    <w:p w14:paraId="0B694684">
      <w:pPr>
        <w:ind w:firstLine="482"/>
        <w:jc w:val="center"/>
        <w:rPr>
          <w:b/>
          <w:szCs w:val="21"/>
        </w:rPr>
      </w:pPr>
      <w:r>
        <w:rPr>
          <w:rFonts w:ascii="宋体" w:hAnsi="宋体"/>
          <w:b/>
        </w:rPr>
        <w:t>表</w:t>
      </w:r>
      <w:r>
        <w:rPr>
          <w:b/>
        </w:rPr>
        <w:t>4-</w:t>
      </w:r>
      <w:r>
        <w:rPr>
          <w:rFonts w:hint="eastAsia"/>
          <w:b/>
        </w:rPr>
        <w:t xml:space="preserve">6 </w:t>
      </w:r>
      <w:r>
        <w:rPr>
          <w:rFonts w:ascii="宋体" w:hAnsi="宋体"/>
          <w:b/>
        </w:rPr>
        <w:t>废</w:t>
      </w:r>
      <w:r>
        <w:rPr>
          <w:rFonts w:hint="eastAsia" w:ascii="宋体" w:hAnsi="宋体"/>
          <w:b/>
        </w:rPr>
        <w:t>水</w:t>
      </w:r>
      <w:r>
        <w:rPr>
          <w:rFonts w:ascii="宋体" w:hAnsi="宋体"/>
          <w:b/>
        </w:rPr>
        <w:t>产排污节点、污染物及污染治理设施信息表</w:t>
      </w:r>
      <w:r>
        <w:rPr>
          <w:rFonts w:hint="eastAsia" w:ascii="宋体" w:hAnsi="宋体"/>
          <w:b/>
        </w:rPr>
        <w:t>（非采暖期）</w:t>
      </w:r>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05"/>
        <w:gridCol w:w="502"/>
        <w:gridCol w:w="458"/>
        <w:gridCol w:w="927"/>
        <w:gridCol w:w="728"/>
        <w:gridCol w:w="854"/>
        <w:gridCol w:w="475"/>
        <w:gridCol w:w="625"/>
        <w:gridCol w:w="475"/>
        <w:gridCol w:w="475"/>
        <w:gridCol w:w="475"/>
        <w:gridCol w:w="625"/>
        <w:gridCol w:w="775"/>
        <w:gridCol w:w="775"/>
        <w:gridCol w:w="475"/>
        <w:gridCol w:w="540"/>
        <w:gridCol w:w="473"/>
        <w:gridCol w:w="787"/>
        <w:gridCol w:w="775"/>
        <w:gridCol w:w="775"/>
        <w:gridCol w:w="1048"/>
        <w:gridCol w:w="1228"/>
      </w:tblGrid>
      <w:tr w14:paraId="37125E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 w:type="pct"/>
            <w:vMerge w:val="restart"/>
            <w:vAlign w:val="center"/>
          </w:tcPr>
          <w:p w14:paraId="60C2E0BC">
            <w:pPr>
              <w:pStyle w:val="70"/>
              <w:ind w:left="-105" w:leftChars="-50" w:right="-105" w:rightChars="-50"/>
              <w:jc w:val="center"/>
              <w:rPr>
                <w:rFonts w:ascii="Times New Roman" w:hAnsi="Times New Roman"/>
                <w:szCs w:val="21"/>
              </w:rPr>
            </w:pPr>
            <w:r>
              <w:rPr>
                <w:rFonts w:ascii="Times New Roman" w:hAnsi="Times New Roman"/>
                <w:szCs w:val="21"/>
              </w:rPr>
              <w:t>序号</w:t>
            </w:r>
          </w:p>
        </w:tc>
        <w:tc>
          <w:tcPr>
            <w:tcW w:w="171" w:type="pct"/>
            <w:vMerge w:val="restart"/>
            <w:vAlign w:val="center"/>
          </w:tcPr>
          <w:p w14:paraId="2F3481A3">
            <w:pPr>
              <w:pStyle w:val="70"/>
              <w:ind w:left="-105" w:leftChars="-50" w:right="-105" w:rightChars="-50"/>
              <w:jc w:val="center"/>
              <w:rPr>
                <w:rFonts w:ascii="Times New Roman" w:hAnsi="Times New Roman"/>
                <w:szCs w:val="21"/>
              </w:rPr>
            </w:pPr>
            <w:r>
              <w:rPr>
                <w:rFonts w:ascii="Times New Roman" w:hAnsi="Times New Roman"/>
                <w:szCs w:val="21"/>
              </w:rPr>
              <w:t>对应产污环节名称</w:t>
            </w:r>
          </w:p>
        </w:tc>
        <w:tc>
          <w:tcPr>
            <w:tcW w:w="156" w:type="pct"/>
            <w:vMerge w:val="restart"/>
            <w:vAlign w:val="center"/>
          </w:tcPr>
          <w:p w14:paraId="0C5E0EED">
            <w:pPr>
              <w:pStyle w:val="70"/>
              <w:ind w:left="-105" w:leftChars="-50" w:right="-105" w:rightChars="-50"/>
              <w:jc w:val="center"/>
              <w:rPr>
                <w:rFonts w:ascii="Times New Roman" w:hAnsi="Times New Roman"/>
                <w:szCs w:val="21"/>
              </w:rPr>
            </w:pPr>
            <w:r>
              <w:rPr>
                <w:rFonts w:ascii="Times New Roman" w:hAnsi="Times New Roman"/>
                <w:szCs w:val="21"/>
              </w:rPr>
              <w:t>废水类别</w:t>
            </w:r>
          </w:p>
        </w:tc>
        <w:tc>
          <w:tcPr>
            <w:tcW w:w="316" w:type="pct"/>
            <w:vMerge w:val="restart"/>
            <w:vAlign w:val="center"/>
          </w:tcPr>
          <w:p w14:paraId="0F6F633B">
            <w:pPr>
              <w:pStyle w:val="70"/>
              <w:ind w:left="-105" w:leftChars="-50" w:right="-105" w:rightChars="-50"/>
              <w:jc w:val="center"/>
              <w:rPr>
                <w:rFonts w:ascii="Times New Roman" w:hAnsi="Times New Roman"/>
                <w:szCs w:val="21"/>
              </w:rPr>
            </w:pPr>
            <w:r>
              <w:rPr>
                <w:rFonts w:ascii="Times New Roman" w:hAnsi="Times New Roman"/>
                <w:szCs w:val="21"/>
              </w:rPr>
              <w:t>污染物种类</w:t>
            </w:r>
          </w:p>
        </w:tc>
        <w:tc>
          <w:tcPr>
            <w:tcW w:w="248" w:type="pct"/>
            <w:vMerge w:val="restart"/>
            <w:vAlign w:val="center"/>
          </w:tcPr>
          <w:p w14:paraId="3F3E8CB3">
            <w:pPr>
              <w:pStyle w:val="70"/>
              <w:ind w:left="-105" w:leftChars="-50" w:right="-105" w:rightChars="-50"/>
              <w:jc w:val="center"/>
              <w:rPr>
                <w:rFonts w:ascii="Times New Roman" w:hAnsi="Times New Roman"/>
                <w:szCs w:val="21"/>
              </w:rPr>
            </w:pPr>
            <w:r>
              <w:rPr>
                <w:rFonts w:ascii="Times New Roman" w:hAnsi="Times New Roman"/>
                <w:szCs w:val="21"/>
              </w:rPr>
              <w:t>污染物产生浓度mg/L</w:t>
            </w:r>
          </w:p>
        </w:tc>
        <w:tc>
          <w:tcPr>
            <w:tcW w:w="291" w:type="pct"/>
            <w:vMerge w:val="restart"/>
            <w:vAlign w:val="center"/>
          </w:tcPr>
          <w:p w14:paraId="5DA886B1">
            <w:pPr>
              <w:pStyle w:val="70"/>
              <w:ind w:left="-105" w:leftChars="-50" w:right="-105" w:rightChars="-50"/>
              <w:jc w:val="center"/>
              <w:rPr>
                <w:rFonts w:ascii="Times New Roman" w:hAnsi="Times New Roman"/>
                <w:szCs w:val="21"/>
              </w:rPr>
            </w:pPr>
            <w:r>
              <w:rPr>
                <w:rFonts w:ascii="Times New Roman" w:hAnsi="Times New Roman"/>
                <w:szCs w:val="21"/>
              </w:rPr>
              <w:t>污染物产生量t/a</w:t>
            </w:r>
          </w:p>
        </w:tc>
        <w:tc>
          <w:tcPr>
            <w:tcW w:w="860" w:type="pct"/>
            <w:gridSpan w:val="5"/>
            <w:vAlign w:val="center"/>
          </w:tcPr>
          <w:p w14:paraId="25442213">
            <w:pPr>
              <w:pStyle w:val="70"/>
              <w:ind w:left="-105" w:leftChars="-50" w:right="-105" w:rightChars="-50"/>
              <w:jc w:val="center"/>
              <w:rPr>
                <w:rFonts w:ascii="Times New Roman" w:hAnsi="Times New Roman"/>
                <w:szCs w:val="21"/>
              </w:rPr>
            </w:pPr>
            <w:r>
              <w:rPr>
                <w:rFonts w:ascii="Times New Roman" w:hAnsi="Times New Roman"/>
                <w:szCs w:val="21"/>
              </w:rPr>
              <w:t>污染治理设施</w:t>
            </w:r>
          </w:p>
        </w:tc>
        <w:tc>
          <w:tcPr>
            <w:tcW w:w="213" w:type="pct"/>
            <w:vMerge w:val="restart"/>
            <w:vAlign w:val="center"/>
          </w:tcPr>
          <w:p w14:paraId="41DBEA59">
            <w:pPr>
              <w:pStyle w:val="70"/>
              <w:ind w:left="-105" w:leftChars="-50" w:right="-105" w:rightChars="-50"/>
              <w:jc w:val="center"/>
              <w:rPr>
                <w:rFonts w:ascii="Times New Roman" w:hAnsi="Times New Roman"/>
                <w:szCs w:val="21"/>
              </w:rPr>
            </w:pPr>
            <w:r>
              <w:rPr>
                <w:rFonts w:ascii="Times New Roman" w:hAnsi="Times New Roman"/>
                <w:kern w:val="21"/>
                <w:szCs w:val="21"/>
              </w:rPr>
              <w:t>废水排放量m</w:t>
            </w:r>
            <w:r>
              <w:rPr>
                <w:rFonts w:ascii="Times New Roman" w:hAnsi="Times New Roman"/>
                <w:kern w:val="21"/>
                <w:szCs w:val="21"/>
                <w:vertAlign w:val="superscript"/>
              </w:rPr>
              <w:t>3</w:t>
            </w:r>
            <w:r>
              <w:rPr>
                <w:rFonts w:ascii="Times New Roman" w:hAnsi="Times New Roman"/>
                <w:kern w:val="21"/>
                <w:szCs w:val="21"/>
              </w:rPr>
              <w:t>/</w:t>
            </w:r>
            <w:r>
              <w:rPr>
                <w:rFonts w:hint="eastAsia" w:ascii="Times New Roman" w:hAnsi="Times New Roman"/>
                <w:kern w:val="21"/>
                <w:szCs w:val="21"/>
              </w:rPr>
              <w:t>a</w:t>
            </w:r>
          </w:p>
        </w:tc>
        <w:tc>
          <w:tcPr>
            <w:tcW w:w="264" w:type="pct"/>
            <w:vMerge w:val="restart"/>
            <w:vAlign w:val="center"/>
          </w:tcPr>
          <w:p w14:paraId="2CBA420F">
            <w:pPr>
              <w:pStyle w:val="70"/>
              <w:ind w:left="-105" w:leftChars="-50" w:right="-105" w:rightChars="-50"/>
              <w:jc w:val="center"/>
              <w:rPr>
                <w:rFonts w:ascii="Times New Roman" w:hAnsi="Times New Roman"/>
                <w:szCs w:val="21"/>
              </w:rPr>
            </w:pPr>
            <w:r>
              <w:rPr>
                <w:rFonts w:ascii="Times New Roman" w:hAnsi="Times New Roman"/>
                <w:kern w:val="21"/>
                <w:szCs w:val="21"/>
              </w:rPr>
              <w:t>污染物排放量</w:t>
            </w:r>
            <w:r>
              <w:rPr>
                <w:rFonts w:hint="eastAsia" w:ascii="Times New Roman" w:hAnsi="Times New Roman"/>
                <w:kern w:val="21"/>
                <w:szCs w:val="21"/>
              </w:rPr>
              <w:t>t</w:t>
            </w:r>
            <w:r>
              <w:rPr>
                <w:rFonts w:ascii="Times New Roman" w:hAnsi="Times New Roman"/>
                <w:kern w:val="21"/>
                <w:szCs w:val="21"/>
              </w:rPr>
              <w:t>/a</w:t>
            </w:r>
          </w:p>
        </w:tc>
        <w:tc>
          <w:tcPr>
            <w:tcW w:w="264" w:type="pct"/>
            <w:vMerge w:val="restart"/>
            <w:vAlign w:val="center"/>
          </w:tcPr>
          <w:p w14:paraId="0084F83E">
            <w:pPr>
              <w:pStyle w:val="70"/>
              <w:ind w:left="-105" w:leftChars="-50" w:right="-105" w:rightChars="-50"/>
              <w:jc w:val="center"/>
              <w:rPr>
                <w:rFonts w:ascii="Times New Roman" w:hAnsi="Times New Roman"/>
                <w:kern w:val="21"/>
                <w:szCs w:val="21"/>
              </w:rPr>
            </w:pPr>
            <w:r>
              <w:rPr>
                <w:rFonts w:ascii="Times New Roman" w:hAnsi="Times New Roman"/>
                <w:szCs w:val="21"/>
              </w:rPr>
              <w:t>污染物排放浓度mg/L</w:t>
            </w:r>
          </w:p>
        </w:tc>
        <w:tc>
          <w:tcPr>
            <w:tcW w:w="162" w:type="pct"/>
            <w:vMerge w:val="restart"/>
            <w:vAlign w:val="center"/>
          </w:tcPr>
          <w:p w14:paraId="08341E3F">
            <w:pPr>
              <w:pStyle w:val="70"/>
              <w:ind w:left="-105" w:leftChars="-50" w:right="-105" w:rightChars="-50"/>
              <w:jc w:val="center"/>
              <w:rPr>
                <w:rFonts w:ascii="Times New Roman" w:hAnsi="Times New Roman"/>
                <w:kern w:val="21"/>
                <w:szCs w:val="21"/>
              </w:rPr>
            </w:pPr>
            <w:r>
              <w:rPr>
                <w:rFonts w:ascii="Times New Roman" w:hAnsi="Times New Roman"/>
                <w:kern w:val="21"/>
                <w:szCs w:val="21"/>
              </w:rPr>
              <w:t>排放方式</w:t>
            </w:r>
          </w:p>
        </w:tc>
        <w:tc>
          <w:tcPr>
            <w:tcW w:w="184" w:type="pct"/>
            <w:vMerge w:val="restart"/>
            <w:vAlign w:val="center"/>
          </w:tcPr>
          <w:p w14:paraId="52790172">
            <w:pPr>
              <w:pStyle w:val="70"/>
              <w:ind w:left="-105" w:leftChars="-50" w:right="-105" w:rightChars="-50"/>
              <w:jc w:val="center"/>
              <w:rPr>
                <w:rFonts w:ascii="Times New Roman" w:hAnsi="Times New Roman"/>
                <w:kern w:val="21"/>
                <w:szCs w:val="21"/>
              </w:rPr>
            </w:pPr>
            <w:r>
              <w:rPr>
                <w:rFonts w:ascii="Times New Roman" w:hAnsi="Times New Roman"/>
                <w:kern w:val="21"/>
                <w:szCs w:val="21"/>
              </w:rPr>
              <w:t>排放去向</w:t>
            </w:r>
          </w:p>
        </w:tc>
        <w:tc>
          <w:tcPr>
            <w:tcW w:w="161" w:type="pct"/>
            <w:vMerge w:val="restart"/>
            <w:vAlign w:val="center"/>
          </w:tcPr>
          <w:p w14:paraId="07395E5A">
            <w:pPr>
              <w:pStyle w:val="70"/>
              <w:ind w:left="-105" w:leftChars="-50" w:right="-105" w:rightChars="-50"/>
              <w:jc w:val="center"/>
              <w:rPr>
                <w:rFonts w:ascii="Times New Roman" w:hAnsi="Times New Roman"/>
                <w:szCs w:val="21"/>
              </w:rPr>
            </w:pPr>
            <w:r>
              <w:rPr>
                <w:rFonts w:ascii="Times New Roman" w:hAnsi="Times New Roman"/>
                <w:kern w:val="21"/>
                <w:szCs w:val="21"/>
              </w:rPr>
              <w:t>排放规律</w:t>
            </w:r>
          </w:p>
        </w:tc>
        <w:tc>
          <w:tcPr>
            <w:tcW w:w="1153" w:type="pct"/>
            <w:gridSpan w:val="4"/>
            <w:vAlign w:val="center"/>
          </w:tcPr>
          <w:p w14:paraId="3EE55C17">
            <w:pPr>
              <w:pStyle w:val="70"/>
              <w:ind w:left="-105" w:leftChars="-50" w:right="-105" w:rightChars="-50"/>
              <w:jc w:val="center"/>
              <w:rPr>
                <w:rFonts w:ascii="Times New Roman" w:hAnsi="Times New Roman"/>
                <w:kern w:val="21"/>
                <w:szCs w:val="21"/>
              </w:rPr>
            </w:pPr>
            <w:r>
              <w:rPr>
                <w:rFonts w:ascii="Times New Roman" w:hAnsi="Times New Roman"/>
                <w:kern w:val="21"/>
                <w:szCs w:val="21"/>
              </w:rPr>
              <w:t>排放口</w:t>
            </w:r>
          </w:p>
        </w:tc>
        <w:tc>
          <w:tcPr>
            <w:tcW w:w="418" w:type="pct"/>
            <w:vMerge w:val="restart"/>
            <w:vAlign w:val="center"/>
          </w:tcPr>
          <w:p w14:paraId="000ABD72">
            <w:pPr>
              <w:pStyle w:val="70"/>
              <w:ind w:left="-105" w:leftChars="-50" w:right="-105" w:rightChars="-50"/>
              <w:jc w:val="center"/>
              <w:rPr>
                <w:rFonts w:ascii="Times New Roman" w:hAnsi="Times New Roman"/>
                <w:szCs w:val="21"/>
              </w:rPr>
            </w:pPr>
            <w:r>
              <w:rPr>
                <w:rFonts w:ascii="Times New Roman" w:hAnsi="Times New Roman"/>
                <w:kern w:val="21"/>
                <w:szCs w:val="21"/>
              </w:rPr>
              <w:t>排放标准</w:t>
            </w:r>
          </w:p>
        </w:tc>
      </w:tr>
      <w:tr w14:paraId="18D4D4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 w:type="pct"/>
            <w:vMerge w:val="continue"/>
            <w:vAlign w:val="center"/>
          </w:tcPr>
          <w:p w14:paraId="56CB0A7A">
            <w:pPr>
              <w:widowControl/>
              <w:ind w:left="-105" w:leftChars="-50" w:right="-105" w:rightChars="-50"/>
              <w:jc w:val="center"/>
              <w:rPr>
                <w:szCs w:val="21"/>
              </w:rPr>
            </w:pPr>
          </w:p>
        </w:tc>
        <w:tc>
          <w:tcPr>
            <w:tcW w:w="171" w:type="pct"/>
            <w:vMerge w:val="continue"/>
            <w:vAlign w:val="center"/>
          </w:tcPr>
          <w:p w14:paraId="465DE068">
            <w:pPr>
              <w:widowControl/>
              <w:ind w:left="-105" w:leftChars="-50" w:right="-105" w:rightChars="-50"/>
              <w:jc w:val="center"/>
              <w:rPr>
                <w:szCs w:val="21"/>
              </w:rPr>
            </w:pPr>
          </w:p>
        </w:tc>
        <w:tc>
          <w:tcPr>
            <w:tcW w:w="156" w:type="pct"/>
            <w:vMerge w:val="continue"/>
            <w:vAlign w:val="center"/>
          </w:tcPr>
          <w:p w14:paraId="1A76D9D0">
            <w:pPr>
              <w:widowControl/>
              <w:ind w:left="-105" w:leftChars="-50" w:right="-105" w:rightChars="-50"/>
              <w:jc w:val="center"/>
              <w:rPr>
                <w:szCs w:val="21"/>
              </w:rPr>
            </w:pPr>
          </w:p>
        </w:tc>
        <w:tc>
          <w:tcPr>
            <w:tcW w:w="316" w:type="pct"/>
            <w:vMerge w:val="continue"/>
            <w:vAlign w:val="center"/>
          </w:tcPr>
          <w:p w14:paraId="5C8EC6D8">
            <w:pPr>
              <w:widowControl/>
              <w:ind w:left="-105" w:leftChars="-50" w:right="-105" w:rightChars="-50"/>
              <w:jc w:val="center"/>
              <w:rPr>
                <w:szCs w:val="21"/>
              </w:rPr>
            </w:pPr>
          </w:p>
        </w:tc>
        <w:tc>
          <w:tcPr>
            <w:tcW w:w="248" w:type="pct"/>
            <w:vMerge w:val="continue"/>
            <w:vAlign w:val="center"/>
          </w:tcPr>
          <w:p w14:paraId="6C6F34D7">
            <w:pPr>
              <w:widowControl/>
              <w:ind w:left="-105" w:leftChars="-50" w:right="-105" w:rightChars="-50"/>
              <w:jc w:val="center"/>
              <w:rPr>
                <w:szCs w:val="21"/>
              </w:rPr>
            </w:pPr>
          </w:p>
        </w:tc>
        <w:tc>
          <w:tcPr>
            <w:tcW w:w="291" w:type="pct"/>
            <w:vMerge w:val="continue"/>
            <w:vAlign w:val="center"/>
          </w:tcPr>
          <w:p w14:paraId="014B1D49">
            <w:pPr>
              <w:widowControl/>
              <w:ind w:left="-105" w:leftChars="-50" w:right="-105" w:rightChars="-50"/>
              <w:jc w:val="center"/>
              <w:rPr>
                <w:szCs w:val="21"/>
              </w:rPr>
            </w:pPr>
          </w:p>
        </w:tc>
        <w:tc>
          <w:tcPr>
            <w:tcW w:w="162" w:type="pct"/>
            <w:vAlign w:val="center"/>
          </w:tcPr>
          <w:p w14:paraId="39AF32B1">
            <w:pPr>
              <w:pStyle w:val="70"/>
              <w:ind w:left="-105" w:leftChars="-50" w:right="-105" w:rightChars="-50"/>
              <w:jc w:val="center"/>
              <w:rPr>
                <w:rFonts w:ascii="Times New Roman" w:hAnsi="Times New Roman"/>
                <w:szCs w:val="21"/>
              </w:rPr>
            </w:pPr>
            <w:r>
              <w:rPr>
                <w:rFonts w:ascii="Times New Roman" w:hAnsi="Times New Roman"/>
                <w:szCs w:val="21"/>
              </w:rPr>
              <w:t>设施名称</w:t>
            </w:r>
          </w:p>
        </w:tc>
        <w:tc>
          <w:tcPr>
            <w:tcW w:w="213" w:type="pct"/>
            <w:vAlign w:val="center"/>
          </w:tcPr>
          <w:p w14:paraId="11387A7C">
            <w:pPr>
              <w:pStyle w:val="70"/>
              <w:ind w:left="-105" w:leftChars="-50" w:right="-105" w:rightChars="-50"/>
              <w:jc w:val="center"/>
              <w:rPr>
                <w:rFonts w:ascii="Times New Roman" w:hAnsi="Times New Roman"/>
                <w:szCs w:val="21"/>
              </w:rPr>
            </w:pPr>
            <w:r>
              <w:rPr>
                <w:rFonts w:ascii="Times New Roman" w:hAnsi="Times New Roman"/>
                <w:szCs w:val="21"/>
              </w:rPr>
              <w:t>处理能力m</w:t>
            </w:r>
            <w:r>
              <w:rPr>
                <w:rFonts w:ascii="Times New Roman" w:hAnsi="Times New Roman"/>
                <w:szCs w:val="21"/>
                <w:vertAlign w:val="superscript"/>
              </w:rPr>
              <w:t>3</w:t>
            </w:r>
            <w:r>
              <w:rPr>
                <w:rFonts w:ascii="Times New Roman" w:hAnsi="Times New Roman"/>
                <w:szCs w:val="21"/>
              </w:rPr>
              <w:t>/a</w:t>
            </w:r>
          </w:p>
        </w:tc>
        <w:tc>
          <w:tcPr>
            <w:tcW w:w="162" w:type="pct"/>
            <w:vAlign w:val="center"/>
          </w:tcPr>
          <w:p w14:paraId="3EBF9F3E">
            <w:pPr>
              <w:pStyle w:val="70"/>
              <w:ind w:left="-105" w:leftChars="-50" w:right="-105" w:rightChars="-50"/>
              <w:jc w:val="center"/>
              <w:rPr>
                <w:rFonts w:ascii="Times New Roman" w:hAnsi="Times New Roman"/>
                <w:szCs w:val="21"/>
              </w:rPr>
            </w:pPr>
            <w:r>
              <w:rPr>
                <w:rFonts w:ascii="Times New Roman" w:hAnsi="Times New Roman"/>
                <w:szCs w:val="21"/>
              </w:rPr>
              <w:t>治理工艺</w:t>
            </w:r>
          </w:p>
        </w:tc>
        <w:tc>
          <w:tcPr>
            <w:tcW w:w="162" w:type="pct"/>
            <w:vAlign w:val="center"/>
          </w:tcPr>
          <w:p w14:paraId="584CF034">
            <w:pPr>
              <w:pStyle w:val="70"/>
              <w:ind w:left="-105" w:leftChars="-50" w:right="-105" w:rightChars="-50"/>
              <w:jc w:val="center"/>
              <w:rPr>
                <w:rFonts w:ascii="Times New Roman" w:hAnsi="Times New Roman"/>
                <w:szCs w:val="21"/>
              </w:rPr>
            </w:pPr>
            <w:r>
              <w:rPr>
                <w:rFonts w:ascii="Times New Roman" w:hAnsi="Times New Roman"/>
                <w:szCs w:val="21"/>
              </w:rPr>
              <w:t>治理效率</w:t>
            </w:r>
          </w:p>
        </w:tc>
        <w:tc>
          <w:tcPr>
            <w:tcW w:w="162" w:type="pct"/>
            <w:vAlign w:val="center"/>
          </w:tcPr>
          <w:p w14:paraId="1AA7DD33">
            <w:pPr>
              <w:pStyle w:val="70"/>
              <w:ind w:left="-105" w:leftChars="-50" w:right="-105" w:rightChars="-50"/>
              <w:jc w:val="center"/>
              <w:rPr>
                <w:rFonts w:ascii="Times New Roman" w:hAnsi="Times New Roman"/>
                <w:szCs w:val="21"/>
              </w:rPr>
            </w:pPr>
            <w:r>
              <w:rPr>
                <w:rFonts w:ascii="Times New Roman" w:hAnsi="Times New Roman"/>
                <w:szCs w:val="21"/>
              </w:rPr>
              <w:t>是否可行性技术</w:t>
            </w:r>
          </w:p>
        </w:tc>
        <w:tc>
          <w:tcPr>
            <w:tcW w:w="213" w:type="pct"/>
            <w:vMerge w:val="continue"/>
            <w:vAlign w:val="center"/>
          </w:tcPr>
          <w:p w14:paraId="34DDACFE">
            <w:pPr>
              <w:widowControl/>
              <w:ind w:left="-105" w:leftChars="-50" w:right="-105" w:rightChars="-50"/>
              <w:jc w:val="center"/>
              <w:rPr>
                <w:szCs w:val="21"/>
              </w:rPr>
            </w:pPr>
          </w:p>
        </w:tc>
        <w:tc>
          <w:tcPr>
            <w:tcW w:w="264" w:type="pct"/>
            <w:vMerge w:val="continue"/>
            <w:vAlign w:val="center"/>
          </w:tcPr>
          <w:p w14:paraId="37426058">
            <w:pPr>
              <w:widowControl/>
              <w:ind w:left="-105" w:leftChars="-50" w:right="-105" w:rightChars="-50"/>
              <w:jc w:val="center"/>
              <w:rPr>
                <w:szCs w:val="21"/>
              </w:rPr>
            </w:pPr>
          </w:p>
        </w:tc>
        <w:tc>
          <w:tcPr>
            <w:tcW w:w="264" w:type="pct"/>
            <w:vMerge w:val="continue"/>
            <w:vAlign w:val="center"/>
          </w:tcPr>
          <w:p w14:paraId="0876E22B">
            <w:pPr>
              <w:widowControl/>
              <w:ind w:left="-105" w:leftChars="-50" w:right="-105" w:rightChars="-50"/>
              <w:jc w:val="center"/>
              <w:rPr>
                <w:kern w:val="21"/>
                <w:szCs w:val="21"/>
              </w:rPr>
            </w:pPr>
          </w:p>
        </w:tc>
        <w:tc>
          <w:tcPr>
            <w:tcW w:w="162" w:type="pct"/>
            <w:vMerge w:val="continue"/>
            <w:vAlign w:val="center"/>
          </w:tcPr>
          <w:p w14:paraId="53CF4910">
            <w:pPr>
              <w:widowControl/>
              <w:ind w:left="-105" w:leftChars="-50" w:right="-105" w:rightChars="-50"/>
              <w:jc w:val="center"/>
              <w:rPr>
                <w:kern w:val="21"/>
                <w:szCs w:val="21"/>
              </w:rPr>
            </w:pPr>
          </w:p>
        </w:tc>
        <w:tc>
          <w:tcPr>
            <w:tcW w:w="184" w:type="pct"/>
            <w:vMerge w:val="continue"/>
            <w:vAlign w:val="center"/>
          </w:tcPr>
          <w:p w14:paraId="5232C28E">
            <w:pPr>
              <w:widowControl/>
              <w:ind w:left="-105" w:leftChars="-50" w:right="-105" w:rightChars="-50"/>
              <w:jc w:val="center"/>
              <w:rPr>
                <w:kern w:val="21"/>
                <w:szCs w:val="21"/>
              </w:rPr>
            </w:pPr>
          </w:p>
        </w:tc>
        <w:tc>
          <w:tcPr>
            <w:tcW w:w="161" w:type="pct"/>
            <w:vMerge w:val="continue"/>
            <w:vAlign w:val="center"/>
          </w:tcPr>
          <w:p w14:paraId="005E8FF7">
            <w:pPr>
              <w:widowControl/>
              <w:ind w:left="-105" w:leftChars="-50" w:right="-105" w:rightChars="-50"/>
              <w:jc w:val="center"/>
              <w:rPr>
                <w:szCs w:val="21"/>
              </w:rPr>
            </w:pPr>
          </w:p>
        </w:tc>
        <w:tc>
          <w:tcPr>
            <w:tcW w:w="268" w:type="pct"/>
            <w:vAlign w:val="center"/>
          </w:tcPr>
          <w:p w14:paraId="46C5AA0E">
            <w:pPr>
              <w:pStyle w:val="70"/>
              <w:ind w:left="-105" w:leftChars="-50" w:right="-105" w:rightChars="-50"/>
              <w:jc w:val="center"/>
              <w:rPr>
                <w:rFonts w:ascii="Times New Roman" w:hAnsi="Times New Roman"/>
                <w:szCs w:val="21"/>
              </w:rPr>
            </w:pPr>
            <w:r>
              <w:rPr>
                <w:rFonts w:ascii="Times New Roman" w:hAnsi="Times New Roman"/>
                <w:szCs w:val="21"/>
              </w:rPr>
              <w:t>编号</w:t>
            </w:r>
          </w:p>
        </w:tc>
        <w:tc>
          <w:tcPr>
            <w:tcW w:w="264" w:type="pct"/>
            <w:vAlign w:val="center"/>
          </w:tcPr>
          <w:p w14:paraId="2819C530">
            <w:pPr>
              <w:pStyle w:val="70"/>
              <w:ind w:left="-105" w:leftChars="-50" w:right="-105" w:rightChars="-50"/>
              <w:jc w:val="center"/>
              <w:rPr>
                <w:rFonts w:ascii="Times New Roman" w:hAnsi="Times New Roman"/>
                <w:szCs w:val="21"/>
              </w:rPr>
            </w:pPr>
            <w:r>
              <w:rPr>
                <w:rFonts w:ascii="Times New Roman" w:hAnsi="Times New Roman"/>
                <w:szCs w:val="21"/>
              </w:rPr>
              <w:t>排放口名称</w:t>
            </w:r>
          </w:p>
        </w:tc>
        <w:tc>
          <w:tcPr>
            <w:tcW w:w="264" w:type="pct"/>
            <w:vAlign w:val="center"/>
          </w:tcPr>
          <w:p w14:paraId="7FAE8C17">
            <w:pPr>
              <w:pStyle w:val="70"/>
              <w:ind w:left="-105" w:leftChars="-50" w:right="-105" w:rightChars="-50"/>
              <w:jc w:val="center"/>
              <w:rPr>
                <w:rFonts w:ascii="Times New Roman" w:hAnsi="Times New Roman"/>
                <w:szCs w:val="21"/>
              </w:rPr>
            </w:pPr>
            <w:r>
              <w:rPr>
                <w:rFonts w:ascii="Times New Roman" w:hAnsi="Times New Roman"/>
                <w:szCs w:val="21"/>
              </w:rPr>
              <w:t>排放口类型</w:t>
            </w:r>
          </w:p>
        </w:tc>
        <w:tc>
          <w:tcPr>
            <w:tcW w:w="357" w:type="pct"/>
            <w:vAlign w:val="center"/>
          </w:tcPr>
          <w:p w14:paraId="66413D66">
            <w:pPr>
              <w:pStyle w:val="70"/>
              <w:ind w:left="-105" w:leftChars="-50" w:right="-105" w:rightChars="-50"/>
              <w:jc w:val="center"/>
              <w:rPr>
                <w:rFonts w:ascii="Times New Roman" w:hAnsi="Times New Roman"/>
                <w:szCs w:val="21"/>
              </w:rPr>
            </w:pPr>
            <w:r>
              <w:rPr>
                <w:rFonts w:ascii="Times New Roman" w:hAnsi="Times New Roman"/>
                <w:szCs w:val="21"/>
              </w:rPr>
              <w:t>地理坐标</w:t>
            </w:r>
          </w:p>
        </w:tc>
        <w:tc>
          <w:tcPr>
            <w:tcW w:w="418" w:type="pct"/>
            <w:vMerge w:val="continue"/>
            <w:vAlign w:val="center"/>
          </w:tcPr>
          <w:p w14:paraId="6FDD5362">
            <w:pPr>
              <w:widowControl/>
              <w:ind w:left="-105" w:leftChars="-50" w:right="-105" w:rightChars="-50"/>
              <w:jc w:val="center"/>
              <w:rPr>
                <w:szCs w:val="21"/>
              </w:rPr>
            </w:pPr>
          </w:p>
        </w:tc>
      </w:tr>
      <w:tr w14:paraId="7854E7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 w:type="pct"/>
            <w:vAlign w:val="center"/>
          </w:tcPr>
          <w:p w14:paraId="37F991E4">
            <w:pPr>
              <w:pStyle w:val="70"/>
              <w:ind w:left="-105" w:leftChars="-50" w:right="-105" w:rightChars="-50"/>
              <w:jc w:val="center"/>
              <w:rPr>
                <w:rFonts w:ascii="Times New Roman" w:hAnsi="Times New Roman"/>
                <w:szCs w:val="21"/>
              </w:rPr>
            </w:pPr>
            <w:r>
              <w:rPr>
                <w:rFonts w:hint="eastAsia" w:ascii="Times New Roman" w:hAnsi="Times New Roman"/>
                <w:szCs w:val="21"/>
              </w:rPr>
              <w:t>1</w:t>
            </w:r>
          </w:p>
        </w:tc>
        <w:tc>
          <w:tcPr>
            <w:tcW w:w="171" w:type="pct"/>
            <w:vAlign w:val="center"/>
          </w:tcPr>
          <w:p w14:paraId="7C5EB316">
            <w:pPr>
              <w:pStyle w:val="70"/>
              <w:ind w:left="-105" w:leftChars="-50" w:right="-105" w:rightChars="-50"/>
              <w:jc w:val="center"/>
              <w:rPr>
                <w:rFonts w:ascii="Times New Roman" w:hAnsi="Times New Roman"/>
                <w:szCs w:val="21"/>
              </w:rPr>
            </w:pPr>
            <w:r>
              <w:rPr>
                <w:rFonts w:hint="eastAsia" w:ascii="Times New Roman" w:hAnsi="Times New Roman"/>
                <w:kern w:val="0"/>
                <w:szCs w:val="21"/>
              </w:rPr>
              <w:t>锅炉排污水</w:t>
            </w:r>
          </w:p>
        </w:tc>
        <w:tc>
          <w:tcPr>
            <w:tcW w:w="156" w:type="pct"/>
            <w:vAlign w:val="center"/>
          </w:tcPr>
          <w:p w14:paraId="58095C56">
            <w:pPr>
              <w:pStyle w:val="70"/>
              <w:ind w:left="-105" w:leftChars="-50" w:right="-105" w:rightChars="-50"/>
              <w:jc w:val="center"/>
              <w:rPr>
                <w:rFonts w:ascii="Times New Roman" w:hAnsi="Times New Roman"/>
                <w:szCs w:val="21"/>
              </w:rPr>
            </w:pPr>
            <w:r>
              <w:rPr>
                <w:rFonts w:hint="eastAsia" w:ascii="Times New Roman" w:hAnsi="Times New Roman"/>
                <w:kern w:val="0"/>
                <w:szCs w:val="21"/>
              </w:rPr>
              <w:t>生产</w:t>
            </w:r>
            <w:r>
              <w:rPr>
                <w:rFonts w:ascii="Times New Roman" w:hAnsi="Times New Roman"/>
                <w:kern w:val="0"/>
                <w:szCs w:val="21"/>
              </w:rPr>
              <w:t>废水</w:t>
            </w:r>
          </w:p>
        </w:tc>
        <w:tc>
          <w:tcPr>
            <w:tcW w:w="316" w:type="pct"/>
            <w:vAlign w:val="center"/>
          </w:tcPr>
          <w:p w14:paraId="7A282721">
            <w:pPr>
              <w:pStyle w:val="70"/>
              <w:ind w:left="-105" w:leftChars="-50" w:right="-105" w:rightChars="-50"/>
              <w:jc w:val="center"/>
              <w:rPr>
                <w:rFonts w:ascii="Times New Roman" w:hAnsi="Times New Roman"/>
                <w:kern w:val="0"/>
                <w:szCs w:val="21"/>
              </w:rPr>
            </w:pPr>
            <w:r>
              <w:rPr>
                <w:rFonts w:hint="eastAsia" w:ascii="Times New Roman" w:hAnsi="Times New Roman"/>
                <w:kern w:val="0"/>
                <w:szCs w:val="21"/>
              </w:rPr>
              <w:t>TDS</w:t>
            </w:r>
          </w:p>
        </w:tc>
        <w:tc>
          <w:tcPr>
            <w:tcW w:w="248" w:type="pct"/>
            <w:vAlign w:val="center"/>
          </w:tcPr>
          <w:p w14:paraId="71721FA9">
            <w:pPr>
              <w:pStyle w:val="70"/>
              <w:ind w:left="-105" w:leftChars="-50" w:right="-105" w:rightChars="-50"/>
              <w:jc w:val="center"/>
              <w:rPr>
                <w:rFonts w:ascii="Times New Roman" w:hAnsi="Times New Roman"/>
                <w:szCs w:val="21"/>
              </w:rPr>
            </w:pPr>
            <w:r>
              <w:rPr>
                <w:rFonts w:hint="eastAsia" w:ascii="Times New Roman" w:hAnsi="Times New Roman"/>
                <w:szCs w:val="21"/>
              </w:rPr>
              <w:t>10</w:t>
            </w:r>
            <w:r>
              <w:rPr>
                <w:rFonts w:ascii="Times New Roman" w:hAnsi="Times New Roman"/>
                <w:szCs w:val="21"/>
              </w:rPr>
              <w:t>00</w:t>
            </w:r>
          </w:p>
        </w:tc>
        <w:tc>
          <w:tcPr>
            <w:tcW w:w="291" w:type="pct"/>
            <w:vAlign w:val="center"/>
          </w:tcPr>
          <w:p w14:paraId="42358E34">
            <w:pPr>
              <w:pStyle w:val="70"/>
              <w:ind w:left="-105" w:leftChars="-50" w:right="-105" w:rightChars="-50"/>
              <w:jc w:val="center"/>
              <w:rPr>
                <w:rFonts w:ascii="Times New Roman" w:hAnsi="Times New Roman"/>
                <w:szCs w:val="21"/>
              </w:rPr>
            </w:pPr>
            <w:r>
              <w:rPr>
                <w:rFonts w:ascii="Times New Roman" w:hAnsi="Times New Roman"/>
                <w:szCs w:val="21"/>
              </w:rPr>
              <w:t>3.94</w:t>
            </w:r>
          </w:p>
        </w:tc>
        <w:tc>
          <w:tcPr>
            <w:tcW w:w="162" w:type="pct"/>
            <w:vAlign w:val="center"/>
          </w:tcPr>
          <w:p w14:paraId="1B9D4BD1">
            <w:pPr>
              <w:pStyle w:val="70"/>
              <w:ind w:left="-105" w:leftChars="-50" w:right="-105" w:rightChars="-50"/>
              <w:jc w:val="center"/>
              <w:rPr>
                <w:rFonts w:ascii="Times New Roman" w:hAnsi="Times New Roman"/>
                <w:szCs w:val="21"/>
              </w:rPr>
            </w:pPr>
            <w:r>
              <w:rPr>
                <w:rFonts w:hint="eastAsia" w:ascii="Times New Roman" w:hAnsi="Times New Roman"/>
                <w:szCs w:val="21"/>
              </w:rPr>
              <w:t>/</w:t>
            </w:r>
          </w:p>
        </w:tc>
        <w:tc>
          <w:tcPr>
            <w:tcW w:w="213" w:type="pct"/>
            <w:vAlign w:val="center"/>
          </w:tcPr>
          <w:p w14:paraId="7C724C1E">
            <w:pPr>
              <w:pStyle w:val="70"/>
              <w:ind w:left="-105" w:leftChars="-50" w:right="-105" w:rightChars="-50"/>
              <w:jc w:val="center"/>
              <w:rPr>
                <w:rFonts w:ascii="Times New Roman" w:hAnsi="Times New Roman"/>
                <w:szCs w:val="21"/>
              </w:rPr>
            </w:pPr>
            <w:r>
              <w:rPr>
                <w:rFonts w:hint="eastAsia" w:ascii="Times New Roman" w:hAnsi="Times New Roman"/>
                <w:szCs w:val="21"/>
              </w:rPr>
              <w:t>/</w:t>
            </w:r>
          </w:p>
        </w:tc>
        <w:tc>
          <w:tcPr>
            <w:tcW w:w="162" w:type="pct"/>
            <w:vAlign w:val="center"/>
          </w:tcPr>
          <w:p w14:paraId="47DF07C5">
            <w:pPr>
              <w:pStyle w:val="70"/>
              <w:ind w:left="-105" w:leftChars="-50" w:right="-105" w:rightChars="-50"/>
              <w:jc w:val="center"/>
              <w:rPr>
                <w:rFonts w:ascii="Times New Roman" w:hAnsi="Times New Roman"/>
                <w:szCs w:val="21"/>
              </w:rPr>
            </w:pPr>
            <w:r>
              <w:rPr>
                <w:rFonts w:ascii="Times New Roman" w:hAnsi="Times New Roman"/>
                <w:szCs w:val="21"/>
              </w:rPr>
              <w:t>/</w:t>
            </w:r>
          </w:p>
        </w:tc>
        <w:tc>
          <w:tcPr>
            <w:tcW w:w="162" w:type="pct"/>
            <w:vAlign w:val="center"/>
          </w:tcPr>
          <w:p w14:paraId="5239E78F">
            <w:pPr>
              <w:pStyle w:val="70"/>
              <w:ind w:left="-105" w:leftChars="-50" w:right="-105" w:rightChars="-50"/>
              <w:jc w:val="center"/>
              <w:rPr>
                <w:rFonts w:ascii="Times New Roman" w:hAnsi="Times New Roman"/>
                <w:szCs w:val="21"/>
              </w:rPr>
            </w:pPr>
            <w:r>
              <w:rPr>
                <w:rFonts w:ascii="Times New Roman" w:hAnsi="Times New Roman"/>
                <w:szCs w:val="21"/>
              </w:rPr>
              <w:t>/</w:t>
            </w:r>
          </w:p>
        </w:tc>
        <w:tc>
          <w:tcPr>
            <w:tcW w:w="162" w:type="pct"/>
            <w:vAlign w:val="center"/>
          </w:tcPr>
          <w:p w14:paraId="12752E5F">
            <w:pPr>
              <w:pStyle w:val="70"/>
              <w:ind w:left="-105" w:leftChars="-50" w:right="-105" w:rightChars="-50"/>
              <w:jc w:val="center"/>
              <w:rPr>
                <w:rFonts w:ascii="Times New Roman" w:hAnsi="Times New Roman"/>
                <w:szCs w:val="21"/>
              </w:rPr>
            </w:pPr>
            <w:r>
              <w:rPr>
                <w:rFonts w:hint="eastAsia" w:ascii="Times New Roman" w:hAnsi="Times New Roman"/>
                <w:szCs w:val="21"/>
              </w:rPr>
              <w:t>是</w:t>
            </w:r>
          </w:p>
        </w:tc>
        <w:tc>
          <w:tcPr>
            <w:tcW w:w="213" w:type="pct"/>
            <w:vAlign w:val="center"/>
          </w:tcPr>
          <w:p w14:paraId="3480A8B0">
            <w:pPr>
              <w:pStyle w:val="70"/>
              <w:ind w:left="-105" w:leftChars="-50" w:right="-105" w:rightChars="-50"/>
              <w:jc w:val="center"/>
              <w:rPr>
                <w:rFonts w:ascii="Times New Roman" w:hAnsi="Times New Roman"/>
                <w:szCs w:val="21"/>
              </w:rPr>
            </w:pPr>
            <w:r>
              <w:rPr>
                <w:rFonts w:ascii="Times New Roman" w:hAnsi="Times New Roman"/>
                <w:szCs w:val="21"/>
              </w:rPr>
              <w:t>3940</w:t>
            </w:r>
          </w:p>
        </w:tc>
        <w:tc>
          <w:tcPr>
            <w:tcW w:w="264" w:type="pct"/>
            <w:vAlign w:val="center"/>
          </w:tcPr>
          <w:p w14:paraId="46D427ED">
            <w:pPr>
              <w:pStyle w:val="70"/>
              <w:ind w:left="-105" w:leftChars="-50" w:right="-105" w:rightChars="-50"/>
              <w:jc w:val="center"/>
              <w:rPr>
                <w:rFonts w:ascii="Times New Roman" w:hAnsi="Times New Roman"/>
                <w:szCs w:val="21"/>
              </w:rPr>
            </w:pPr>
            <w:r>
              <w:rPr>
                <w:rFonts w:ascii="Times New Roman" w:hAnsi="Times New Roman"/>
                <w:szCs w:val="21"/>
              </w:rPr>
              <w:t>3.94</w:t>
            </w:r>
          </w:p>
        </w:tc>
        <w:tc>
          <w:tcPr>
            <w:tcW w:w="264" w:type="pct"/>
            <w:vAlign w:val="center"/>
          </w:tcPr>
          <w:p w14:paraId="540C8D95">
            <w:pPr>
              <w:pStyle w:val="70"/>
              <w:ind w:left="-105" w:leftChars="-50" w:right="-105" w:rightChars="-50"/>
              <w:jc w:val="center"/>
              <w:rPr>
                <w:rFonts w:ascii="Times New Roman" w:hAnsi="Times New Roman"/>
                <w:szCs w:val="21"/>
              </w:rPr>
            </w:pPr>
            <w:r>
              <w:rPr>
                <w:rFonts w:hint="eastAsia" w:ascii="Times New Roman" w:hAnsi="Times New Roman"/>
                <w:szCs w:val="21"/>
              </w:rPr>
              <w:t>10</w:t>
            </w:r>
            <w:r>
              <w:rPr>
                <w:rFonts w:ascii="Times New Roman" w:hAnsi="Times New Roman"/>
                <w:szCs w:val="21"/>
              </w:rPr>
              <w:t>00</w:t>
            </w:r>
          </w:p>
        </w:tc>
        <w:tc>
          <w:tcPr>
            <w:tcW w:w="162" w:type="pct"/>
            <w:vAlign w:val="center"/>
          </w:tcPr>
          <w:p w14:paraId="00A068D8">
            <w:pPr>
              <w:pStyle w:val="70"/>
              <w:ind w:left="-105" w:leftChars="-50" w:right="-105" w:rightChars="-50"/>
              <w:jc w:val="center"/>
              <w:rPr>
                <w:rFonts w:ascii="Times New Roman" w:hAnsi="Times New Roman"/>
                <w:szCs w:val="21"/>
              </w:rPr>
            </w:pPr>
            <w:r>
              <w:rPr>
                <w:rFonts w:ascii="Times New Roman" w:hAnsi="Times New Roman"/>
                <w:szCs w:val="21"/>
              </w:rPr>
              <w:t>间接</w:t>
            </w:r>
          </w:p>
        </w:tc>
        <w:tc>
          <w:tcPr>
            <w:tcW w:w="184" w:type="pct"/>
            <w:vMerge w:val="continue"/>
            <w:vAlign w:val="center"/>
          </w:tcPr>
          <w:p w14:paraId="24E2E689">
            <w:pPr>
              <w:pStyle w:val="70"/>
              <w:ind w:left="-105" w:leftChars="-50" w:right="-105" w:rightChars="-50"/>
              <w:jc w:val="center"/>
              <w:rPr>
                <w:rFonts w:ascii="Times New Roman" w:hAnsi="Times New Roman"/>
                <w:szCs w:val="21"/>
              </w:rPr>
            </w:pPr>
          </w:p>
        </w:tc>
        <w:tc>
          <w:tcPr>
            <w:tcW w:w="161" w:type="pct"/>
            <w:vAlign w:val="center"/>
          </w:tcPr>
          <w:p w14:paraId="2FB2D4DD">
            <w:pPr>
              <w:pStyle w:val="70"/>
              <w:ind w:left="-105" w:leftChars="-50" w:right="-105" w:rightChars="-50"/>
              <w:jc w:val="center"/>
              <w:rPr>
                <w:rFonts w:ascii="Times New Roman" w:hAnsi="Times New Roman"/>
                <w:szCs w:val="21"/>
              </w:rPr>
            </w:pPr>
            <w:r>
              <w:rPr>
                <w:rFonts w:hint="eastAsia" w:ascii="Times New Roman" w:hAnsi="Times New Roman"/>
                <w:szCs w:val="21"/>
              </w:rPr>
              <w:t>间断排放</w:t>
            </w:r>
          </w:p>
        </w:tc>
        <w:tc>
          <w:tcPr>
            <w:tcW w:w="268" w:type="pct"/>
            <w:vMerge w:val="restart"/>
            <w:vAlign w:val="center"/>
          </w:tcPr>
          <w:p w14:paraId="7A9CDF03">
            <w:pPr>
              <w:pStyle w:val="70"/>
              <w:ind w:left="-105" w:leftChars="-50" w:right="-105" w:rightChars="-50"/>
              <w:jc w:val="center"/>
              <w:rPr>
                <w:rFonts w:ascii="Times New Roman" w:hAnsi="Times New Roman"/>
                <w:szCs w:val="21"/>
              </w:rPr>
            </w:pPr>
            <w:r>
              <w:rPr>
                <w:rFonts w:hint="eastAsia" w:ascii="Times New Roman" w:hAnsi="Times New Roman"/>
                <w:szCs w:val="21"/>
              </w:rPr>
              <w:t>/</w:t>
            </w:r>
          </w:p>
        </w:tc>
        <w:tc>
          <w:tcPr>
            <w:tcW w:w="264" w:type="pct"/>
            <w:vMerge w:val="restart"/>
            <w:vAlign w:val="center"/>
          </w:tcPr>
          <w:p w14:paraId="6F246B8A">
            <w:pPr>
              <w:pStyle w:val="70"/>
              <w:ind w:left="-105" w:leftChars="-50" w:right="-105" w:rightChars="-50"/>
              <w:jc w:val="center"/>
              <w:rPr>
                <w:rFonts w:ascii="Times New Roman" w:hAnsi="Times New Roman"/>
                <w:szCs w:val="21"/>
              </w:rPr>
            </w:pPr>
            <w:r>
              <w:rPr>
                <w:rFonts w:hint="eastAsia" w:ascii="Times New Roman" w:hAnsi="Times New Roman"/>
                <w:szCs w:val="21"/>
              </w:rPr>
              <w:t>/</w:t>
            </w:r>
          </w:p>
        </w:tc>
        <w:tc>
          <w:tcPr>
            <w:tcW w:w="264" w:type="pct"/>
            <w:vMerge w:val="restart"/>
            <w:vAlign w:val="center"/>
          </w:tcPr>
          <w:p w14:paraId="633E6F83">
            <w:pPr>
              <w:pStyle w:val="70"/>
              <w:ind w:left="-105" w:leftChars="-50" w:right="-105" w:rightChars="-50"/>
              <w:jc w:val="center"/>
              <w:rPr>
                <w:rFonts w:ascii="Times New Roman" w:hAnsi="Times New Roman"/>
                <w:szCs w:val="21"/>
              </w:rPr>
            </w:pPr>
            <w:r>
              <w:rPr>
                <w:rFonts w:hint="eastAsia" w:ascii="Times New Roman" w:hAnsi="Times New Roman"/>
                <w:szCs w:val="21"/>
              </w:rPr>
              <w:t>/</w:t>
            </w:r>
          </w:p>
        </w:tc>
        <w:tc>
          <w:tcPr>
            <w:tcW w:w="357" w:type="pct"/>
            <w:vMerge w:val="restart"/>
            <w:vAlign w:val="center"/>
          </w:tcPr>
          <w:p w14:paraId="6D48E175">
            <w:pPr>
              <w:pStyle w:val="70"/>
              <w:ind w:left="-105" w:leftChars="-50" w:right="-105" w:rightChars="-50"/>
              <w:jc w:val="center"/>
              <w:rPr>
                <w:rFonts w:ascii="Times New Roman" w:hAnsi="Times New Roman"/>
                <w:szCs w:val="21"/>
              </w:rPr>
            </w:pPr>
            <w:r>
              <w:rPr>
                <w:rFonts w:hint="eastAsia" w:ascii="Times New Roman" w:hAnsi="Times New Roman"/>
                <w:szCs w:val="21"/>
              </w:rPr>
              <w:t>/</w:t>
            </w:r>
          </w:p>
        </w:tc>
        <w:tc>
          <w:tcPr>
            <w:tcW w:w="418" w:type="pct"/>
            <w:vMerge w:val="restart"/>
            <w:vAlign w:val="center"/>
          </w:tcPr>
          <w:p w14:paraId="1FFE42C9">
            <w:pPr>
              <w:pStyle w:val="70"/>
              <w:ind w:left="-105" w:leftChars="-50" w:right="-105" w:rightChars="-50"/>
              <w:jc w:val="center"/>
              <w:rPr>
                <w:rFonts w:ascii="Times New Roman" w:hAnsi="Times New Roman"/>
                <w:szCs w:val="21"/>
              </w:rPr>
            </w:pPr>
            <w:r>
              <w:rPr>
                <w:rFonts w:hint="eastAsia" w:ascii="Times New Roman" w:hAnsi="Times New Roman"/>
                <w:szCs w:val="21"/>
              </w:rPr>
              <w:t>/</w:t>
            </w:r>
          </w:p>
        </w:tc>
      </w:tr>
      <w:tr w14:paraId="76A1CB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38" w:type="pct"/>
            <w:vAlign w:val="center"/>
          </w:tcPr>
          <w:p w14:paraId="6C40C740">
            <w:pPr>
              <w:pStyle w:val="70"/>
              <w:ind w:left="-105" w:leftChars="-50" w:right="-105" w:rightChars="-50"/>
              <w:jc w:val="center"/>
              <w:rPr>
                <w:rFonts w:ascii="Times New Roman" w:hAnsi="Times New Roman"/>
                <w:szCs w:val="21"/>
              </w:rPr>
            </w:pPr>
            <w:r>
              <w:rPr>
                <w:rFonts w:hint="eastAsia" w:ascii="Times New Roman" w:hAnsi="Times New Roman"/>
                <w:szCs w:val="21"/>
              </w:rPr>
              <w:t>2</w:t>
            </w:r>
          </w:p>
        </w:tc>
        <w:tc>
          <w:tcPr>
            <w:tcW w:w="171" w:type="pct"/>
            <w:vAlign w:val="center"/>
          </w:tcPr>
          <w:p w14:paraId="0C28C861">
            <w:pPr>
              <w:pStyle w:val="70"/>
              <w:ind w:left="-105" w:leftChars="-50" w:right="-105" w:rightChars="-50"/>
              <w:jc w:val="center"/>
              <w:rPr>
                <w:rFonts w:ascii="Times New Roman" w:hAnsi="Times New Roman"/>
                <w:kern w:val="0"/>
                <w:szCs w:val="21"/>
              </w:rPr>
            </w:pPr>
            <w:r>
              <w:rPr>
                <w:rFonts w:hint="eastAsia" w:ascii="Times New Roman" w:hAnsi="Times New Roman"/>
                <w:kern w:val="0"/>
                <w:szCs w:val="21"/>
              </w:rPr>
              <w:t>软水制备排污水</w:t>
            </w:r>
          </w:p>
        </w:tc>
        <w:tc>
          <w:tcPr>
            <w:tcW w:w="156" w:type="pct"/>
            <w:vAlign w:val="center"/>
          </w:tcPr>
          <w:p w14:paraId="139BFAE5">
            <w:pPr>
              <w:pStyle w:val="70"/>
              <w:ind w:left="-105" w:leftChars="-50" w:right="-105" w:rightChars="-50"/>
              <w:jc w:val="center"/>
              <w:rPr>
                <w:rFonts w:ascii="Times New Roman" w:hAnsi="Times New Roman"/>
                <w:kern w:val="0"/>
                <w:szCs w:val="21"/>
              </w:rPr>
            </w:pPr>
            <w:r>
              <w:rPr>
                <w:rFonts w:hint="eastAsia" w:ascii="Times New Roman" w:hAnsi="Times New Roman"/>
                <w:kern w:val="0"/>
                <w:szCs w:val="21"/>
              </w:rPr>
              <w:t>生产</w:t>
            </w:r>
            <w:r>
              <w:rPr>
                <w:rFonts w:ascii="Times New Roman" w:hAnsi="Times New Roman"/>
                <w:kern w:val="0"/>
                <w:szCs w:val="21"/>
              </w:rPr>
              <w:t>废水</w:t>
            </w:r>
          </w:p>
        </w:tc>
        <w:tc>
          <w:tcPr>
            <w:tcW w:w="316" w:type="pct"/>
            <w:vAlign w:val="center"/>
          </w:tcPr>
          <w:p w14:paraId="61F4EBDF">
            <w:pPr>
              <w:pStyle w:val="70"/>
              <w:ind w:left="-105" w:leftChars="-50" w:right="-105" w:rightChars="-50"/>
              <w:jc w:val="center"/>
              <w:rPr>
                <w:rFonts w:ascii="Times New Roman" w:hAnsi="Times New Roman"/>
                <w:kern w:val="0"/>
                <w:szCs w:val="21"/>
              </w:rPr>
            </w:pPr>
            <w:r>
              <w:rPr>
                <w:rFonts w:hint="eastAsia" w:ascii="Times New Roman" w:hAnsi="Times New Roman"/>
                <w:kern w:val="0"/>
                <w:szCs w:val="21"/>
              </w:rPr>
              <w:t>TDS</w:t>
            </w:r>
          </w:p>
        </w:tc>
        <w:tc>
          <w:tcPr>
            <w:tcW w:w="248" w:type="pct"/>
            <w:vAlign w:val="center"/>
          </w:tcPr>
          <w:p w14:paraId="0C09AB32">
            <w:pPr>
              <w:pStyle w:val="70"/>
              <w:ind w:left="-105" w:leftChars="-50" w:right="-105" w:rightChars="-50"/>
              <w:jc w:val="center"/>
              <w:rPr>
                <w:rFonts w:ascii="Times New Roman" w:hAnsi="Times New Roman"/>
                <w:szCs w:val="21"/>
              </w:rPr>
            </w:pPr>
            <w:r>
              <w:rPr>
                <w:rFonts w:hint="eastAsia" w:ascii="Times New Roman" w:hAnsi="Times New Roman"/>
                <w:szCs w:val="21"/>
              </w:rPr>
              <w:t>10</w:t>
            </w:r>
            <w:r>
              <w:rPr>
                <w:rFonts w:ascii="Times New Roman" w:hAnsi="Times New Roman"/>
                <w:szCs w:val="21"/>
              </w:rPr>
              <w:t>00</w:t>
            </w:r>
          </w:p>
        </w:tc>
        <w:tc>
          <w:tcPr>
            <w:tcW w:w="291" w:type="pct"/>
            <w:vAlign w:val="center"/>
          </w:tcPr>
          <w:p w14:paraId="69F96731">
            <w:pPr>
              <w:pStyle w:val="70"/>
              <w:ind w:left="-105" w:leftChars="-50" w:right="-105" w:rightChars="-50"/>
              <w:jc w:val="center"/>
              <w:rPr>
                <w:rFonts w:ascii="Times New Roman" w:hAnsi="Times New Roman"/>
                <w:szCs w:val="21"/>
              </w:rPr>
            </w:pPr>
            <w:r>
              <w:rPr>
                <w:rFonts w:ascii="Times New Roman" w:hAnsi="Times New Roman"/>
                <w:szCs w:val="21"/>
              </w:rPr>
              <w:t>2.758</w:t>
            </w:r>
          </w:p>
        </w:tc>
        <w:tc>
          <w:tcPr>
            <w:tcW w:w="162" w:type="pct"/>
            <w:vAlign w:val="center"/>
          </w:tcPr>
          <w:p w14:paraId="1FF8AE53">
            <w:pPr>
              <w:pStyle w:val="70"/>
              <w:ind w:left="-105" w:leftChars="-50" w:right="-105" w:rightChars="-50"/>
              <w:jc w:val="center"/>
              <w:rPr>
                <w:rFonts w:ascii="Times New Roman" w:hAnsi="Times New Roman"/>
                <w:szCs w:val="21"/>
              </w:rPr>
            </w:pPr>
            <w:r>
              <w:rPr>
                <w:rFonts w:hint="eastAsia" w:ascii="Times New Roman" w:hAnsi="Times New Roman"/>
                <w:szCs w:val="21"/>
              </w:rPr>
              <w:t>/</w:t>
            </w:r>
          </w:p>
        </w:tc>
        <w:tc>
          <w:tcPr>
            <w:tcW w:w="213" w:type="pct"/>
            <w:vAlign w:val="center"/>
          </w:tcPr>
          <w:p w14:paraId="224472BB">
            <w:pPr>
              <w:pStyle w:val="70"/>
              <w:ind w:left="-105" w:leftChars="-50" w:right="-105" w:rightChars="-50"/>
              <w:jc w:val="center"/>
              <w:rPr>
                <w:rFonts w:ascii="Times New Roman" w:hAnsi="Times New Roman"/>
                <w:szCs w:val="21"/>
              </w:rPr>
            </w:pPr>
            <w:r>
              <w:rPr>
                <w:rFonts w:hint="eastAsia" w:ascii="Times New Roman" w:hAnsi="Times New Roman"/>
                <w:szCs w:val="21"/>
              </w:rPr>
              <w:t>/</w:t>
            </w:r>
          </w:p>
        </w:tc>
        <w:tc>
          <w:tcPr>
            <w:tcW w:w="162" w:type="pct"/>
            <w:vAlign w:val="center"/>
          </w:tcPr>
          <w:p w14:paraId="36F23BD6">
            <w:pPr>
              <w:pStyle w:val="70"/>
              <w:ind w:left="-105" w:leftChars="-50" w:right="-105" w:rightChars="-50"/>
              <w:jc w:val="center"/>
              <w:rPr>
                <w:rFonts w:ascii="Times New Roman" w:hAnsi="Times New Roman"/>
                <w:szCs w:val="21"/>
              </w:rPr>
            </w:pPr>
            <w:r>
              <w:rPr>
                <w:rFonts w:ascii="Times New Roman" w:hAnsi="Times New Roman"/>
                <w:szCs w:val="21"/>
              </w:rPr>
              <w:t>/</w:t>
            </w:r>
          </w:p>
        </w:tc>
        <w:tc>
          <w:tcPr>
            <w:tcW w:w="162" w:type="pct"/>
            <w:vAlign w:val="center"/>
          </w:tcPr>
          <w:p w14:paraId="05EE5AA9">
            <w:pPr>
              <w:pStyle w:val="70"/>
              <w:ind w:left="-105" w:leftChars="-50" w:right="-105" w:rightChars="-50"/>
              <w:jc w:val="center"/>
              <w:rPr>
                <w:rFonts w:ascii="Times New Roman" w:hAnsi="Times New Roman"/>
                <w:szCs w:val="21"/>
              </w:rPr>
            </w:pPr>
            <w:r>
              <w:rPr>
                <w:rFonts w:ascii="Times New Roman" w:hAnsi="Times New Roman"/>
                <w:szCs w:val="21"/>
              </w:rPr>
              <w:t>/</w:t>
            </w:r>
          </w:p>
        </w:tc>
        <w:tc>
          <w:tcPr>
            <w:tcW w:w="162" w:type="pct"/>
            <w:vAlign w:val="center"/>
          </w:tcPr>
          <w:p w14:paraId="2418B7AC">
            <w:pPr>
              <w:pStyle w:val="70"/>
              <w:ind w:left="-105" w:leftChars="-50" w:right="-105" w:rightChars="-50"/>
              <w:jc w:val="center"/>
              <w:rPr>
                <w:rFonts w:ascii="Times New Roman" w:hAnsi="Times New Roman"/>
                <w:szCs w:val="21"/>
              </w:rPr>
            </w:pPr>
            <w:r>
              <w:rPr>
                <w:rFonts w:hint="eastAsia" w:ascii="Times New Roman" w:hAnsi="Times New Roman"/>
                <w:szCs w:val="21"/>
              </w:rPr>
              <w:t>是</w:t>
            </w:r>
          </w:p>
        </w:tc>
        <w:tc>
          <w:tcPr>
            <w:tcW w:w="213" w:type="pct"/>
            <w:vAlign w:val="center"/>
          </w:tcPr>
          <w:p w14:paraId="634B16C0">
            <w:pPr>
              <w:pStyle w:val="70"/>
              <w:ind w:left="-105" w:leftChars="-50" w:right="-105" w:rightChars="-50"/>
              <w:jc w:val="center"/>
              <w:rPr>
                <w:rFonts w:ascii="Times New Roman" w:hAnsi="Times New Roman"/>
                <w:szCs w:val="21"/>
              </w:rPr>
            </w:pPr>
            <w:r>
              <w:rPr>
                <w:rFonts w:ascii="Times New Roman" w:hAnsi="Times New Roman"/>
                <w:szCs w:val="21"/>
              </w:rPr>
              <w:t>2758</w:t>
            </w:r>
          </w:p>
        </w:tc>
        <w:tc>
          <w:tcPr>
            <w:tcW w:w="264" w:type="pct"/>
            <w:vAlign w:val="center"/>
          </w:tcPr>
          <w:p w14:paraId="52B4B8B6">
            <w:pPr>
              <w:pStyle w:val="70"/>
              <w:ind w:left="-105" w:leftChars="-50" w:right="-105" w:rightChars="-50"/>
              <w:jc w:val="center"/>
              <w:rPr>
                <w:rFonts w:ascii="Times New Roman" w:hAnsi="Times New Roman"/>
                <w:szCs w:val="21"/>
              </w:rPr>
            </w:pPr>
            <w:r>
              <w:rPr>
                <w:rFonts w:ascii="Times New Roman" w:hAnsi="Times New Roman"/>
                <w:szCs w:val="21"/>
              </w:rPr>
              <w:t>2.758</w:t>
            </w:r>
          </w:p>
        </w:tc>
        <w:tc>
          <w:tcPr>
            <w:tcW w:w="264" w:type="pct"/>
            <w:vAlign w:val="center"/>
          </w:tcPr>
          <w:p w14:paraId="7A1F0CB5">
            <w:pPr>
              <w:pStyle w:val="70"/>
              <w:ind w:left="-105" w:leftChars="-50" w:right="-105" w:rightChars="-50"/>
              <w:jc w:val="center"/>
              <w:rPr>
                <w:rFonts w:ascii="Times New Roman" w:hAnsi="Times New Roman"/>
                <w:szCs w:val="21"/>
              </w:rPr>
            </w:pPr>
            <w:r>
              <w:rPr>
                <w:rFonts w:hint="eastAsia" w:ascii="Times New Roman" w:hAnsi="Times New Roman"/>
                <w:szCs w:val="21"/>
              </w:rPr>
              <w:t>10</w:t>
            </w:r>
            <w:r>
              <w:rPr>
                <w:rFonts w:ascii="Times New Roman" w:hAnsi="Times New Roman"/>
                <w:szCs w:val="21"/>
              </w:rPr>
              <w:t>00</w:t>
            </w:r>
          </w:p>
        </w:tc>
        <w:tc>
          <w:tcPr>
            <w:tcW w:w="162" w:type="pct"/>
            <w:vAlign w:val="center"/>
          </w:tcPr>
          <w:p w14:paraId="14377FDB">
            <w:pPr>
              <w:pStyle w:val="70"/>
              <w:ind w:left="-105" w:leftChars="-50" w:right="-105" w:rightChars="-50"/>
              <w:jc w:val="center"/>
              <w:rPr>
                <w:rFonts w:ascii="Times New Roman" w:hAnsi="Times New Roman"/>
                <w:szCs w:val="21"/>
              </w:rPr>
            </w:pPr>
            <w:r>
              <w:rPr>
                <w:rFonts w:ascii="Times New Roman" w:hAnsi="Times New Roman"/>
                <w:szCs w:val="21"/>
              </w:rPr>
              <w:t>间接</w:t>
            </w:r>
          </w:p>
        </w:tc>
        <w:tc>
          <w:tcPr>
            <w:tcW w:w="184" w:type="pct"/>
            <w:vMerge w:val="continue"/>
            <w:vAlign w:val="center"/>
          </w:tcPr>
          <w:p w14:paraId="3030B107">
            <w:pPr>
              <w:pStyle w:val="70"/>
              <w:ind w:left="-105" w:leftChars="-50" w:right="-105" w:rightChars="-50"/>
              <w:jc w:val="center"/>
              <w:rPr>
                <w:bCs/>
                <w:kern w:val="0"/>
                <w:szCs w:val="21"/>
              </w:rPr>
            </w:pPr>
          </w:p>
        </w:tc>
        <w:tc>
          <w:tcPr>
            <w:tcW w:w="161" w:type="pct"/>
            <w:vAlign w:val="center"/>
          </w:tcPr>
          <w:p w14:paraId="5704236C">
            <w:pPr>
              <w:pStyle w:val="70"/>
              <w:ind w:left="-105" w:leftChars="-50" w:right="-105" w:rightChars="-50"/>
              <w:jc w:val="center"/>
              <w:rPr>
                <w:rFonts w:ascii="Times New Roman" w:hAnsi="Times New Roman"/>
                <w:szCs w:val="21"/>
              </w:rPr>
            </w:pPr>
            <w:r>
              <w:rPr>
                <w:rFonts w:hint="eastAsia" w:ascii="Times New Roman" w:hAnsi="Times New Roman"/>
                <w:szCs w:val="21"/>
              </w:rPr>
              <w:t>连续</w:t>
            </w:r>
            <w:r>
              <w:rPr>
                <w:rFonts w:ascii="Times New Roman" w:hAnsi="Times New Roman"/>
                <w:szCs w:val="21"/>
              </w:rPr>
              <w:t>排放</w:t>
            </w:r>
          </w:p>
        </w:tc>
        <w:tc>
          <w:tcPr>
            <w:tcW w:w="268" w:type="pct"/>
            <w:vMerge w:val="continue"/>
            <w:vAlign w:val="center"/>
          </w:tcPr>
          <w:p w14:paraId="54CFC3D2">
            <w:pPr>
              <w:pStyle w:val="70"/>
              <w:ind w:left="-105" w:leftChars="-50" w:right="-105" w:rightChars="-50"/>
              <w:jc w:val="center"/>
              <w:rPr>
                <w:rFonts w:ascii="Times New Roman" w:hAnsi="Times New Roman"/>
                <w:szCs w:val="21"/>
              </w:rPr>
            </w:pPr>
          </w:p>
        </w:tc>
        <w:tc>
          <w:tcPr>
            <w:tcW w:w="264" w:type="pct"/>
            <w:vMerge w:val="continue"/>
            <w:vAlign w:val="center"/>
          </w:tcPr>
          <w:p w14:paraId="4198241C">
            <w:pPr>
              <w:pStyle w:val="70"/>
              <w:ind w:left="-105" w:leftChars="-50" w:right="-105" w:rightChars="-50"/>
              <w:jc w:val="center"/>
              <w:rPr>
                <w:rFonts w:ascii="Times New Roman" w:hAnsi="Times New Roman"/>
                <w:szCs w:val="21"/>
              </w:rPr>
            </w:pPr>
          </w:p>
        </w:tc>
        <w:tc>
          <w:tcPr>
            <w:tcW w:w="264" w:type="pct"/>
            <w:vMerge w:val="continue"/>
            <w:vAlign w:val="center"/>
          </w:tcPr>
          <w:p w14:paraId="04AE1154">
            <w:pPr>
              <w:pStyle w:val="70"/>
              <w:ind w:left="-105" w:leftChars="-50" w:right="-105" w:rightChars="-50"/>
              <w:jc w:val="center"/>
              <w:rPr>
                <w:rFonts w:ascii="Times New Roman" w:hAnsi="Times New Roman"/>
                <w:szCs w:val="21"/>
              </w:rPr>
            </w:pPr>
          </w:p>
        </w:tc>
        <w:tc>
          <w:tcPr>
            <w:tcW w:w="357" w:type="pct"/>
            <w:vMerge w:val="continue"/>
            <w:vAlign w:val="center"/>
          </w:tcPr>
          <w:p w14:paraId="24DB7E1D">
            <w:pPr>
              <w:pStyle w:val="70"/>
              <w:ind w:left="-105" w:leftChars="-50" w:right="-105" w:rightChars="-50"/>
              <w:jc w:val="center"/>
              <w:rPr>
                <w:rFonts w:ascii="Times New Roman" w:hAnsi="Times New Roman"/>
                <w:szCs w:val="21"/>
              </w:rPr>
            </w:pPr>
          </w:p>
        </w:tc>
        <w:tc>
          <w:tcPr>
            <w:tcW w:w="418" w:type="pct"/>
            <w:vMerge w:val="continue"/>
            <w:vAlign w:val="center"/>
          </w:tcPr>
          <w:p w14:paraId="1381D3AA">
            <w:pPr>
              <w:pStyle w:val="70"/>
              <w:ind w:left="-105" w:leftChars="-50" w:right="-105" w:rightChars="-50"/>
              <w:jc w:val="center"/>
              <w:rPr>
                <w:rFonts w:ascii="Times New Roman" w:hAnsi="Times New Roman"/>
                <w:szCs w:val="21"/>
              </w:rPr>
            </w:pPr>
          </w:p>
        </w:tc>
      </w:tr>
    </w:tbl>
    <w:p w14:paraId="35268F0E">
      <w:pPr>
        <w:jc w:val="center"/>
      </w:pPr>
    </w:p>
    <w:p w14:paraId="38F00BD0">
      <w:pPr>
        <w:tabs>
          <w:tab w:val="center" w:pos="7229"/>
        </w:tabs>
        <w:sectPr>
          <w:pgSz w:w="16840" w:h="11907" w:orient="landscape"/>
          <w:pgMar w:top="851" w:right="1105" w:bottom="1135" w:left="1276" w:header="851" w:footer="851" w:gutter="0"/>
          <w:cols w:space="720" w:num="1"/>
          <w:docGrid w:linePitch="312" w:charSpace="0"/>
        </w:sectPr>
      </w:pPr>
      <w:r>
        <w:tab/>
      </w:r>
    </w:p>
    <w:p w14:paraId="6C01EBF9"/>
    <w:tbl>
      <w:tblPr>
        <w:tblStyle w:val="31"/>
        <w:tblW w:w="925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97"/>
        <w:gridCol w:w="8553"/>
      </w:tblGrid>
      <w:tr w14:paraId="58B59E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1047" w:hRule="atLeast"/>
          <w:jc w:val="center"/>
        </w:trPr>
        <w:tc>
          <w:tcPr>
            <w:tcW w:w="697" w:type="dxa"/>
            <w:tcMar>
              <w:left w:w="28" w:type="dxa"/>
              <w:right w:w="28" w:type="dxa"/>
            </w:tcMar>
            <w:vAlign w:val="center"/>
          </w:tcPr>
          <w:p w14:paraId="20C69F41">
            <w:pPr>
              <w:adjustRightInd w:val="0"/>
              <w:snapToGrid w:val="0"/>
              <w:jc w:val="center"/>
              <w:rPr>
                <w:rFonts w:hint="eastAsia" w:ascii="宋体" w:hAnsi="宋体" w:cs="宋体"/>
                <w:bCs/>
                <w:sz w:val="24"/>
              </w:rPr>
            </w:pPr>
            <w:r>
              <w:rPr>
                <w:rFonts w:hint="eastAsia" w:ascii="宋体" w:hAnsi="宋体" w:cs="宋体"/>
                <w:bCs/>
                <w:sz w:val="24"/>
              </w:rPr>
              <w:t>运营</w:t>
            </w:r>
          </w:p>
          <w:p w14:paraId="7ED83463">
            <w:pPr>
              <w:adjustRightInd w:val="0"/>
              <w:snapToGrid w:val="0"/>
              <w:jc w:val="center"/>
              <w:rPr>
                <w:rFonts w:hint="eastAsia" w:ascii="宋体" w:hAnsi="宋体" w:cs="宋体"/>
                <w:bCs/>
                <w:sz w:val="24"/>
              </w:rPr>
            </w:pPr>
            <w:r>
              <w:rPr>
                <w:rFonts w:hint="eastAsia" w:ascii="宋体" w:hAnsi="宋体" w:cs="宋体"/>
                <w:bCs/>
                <w:sz w:val="24"/>
              </w:rPr>
              <w:t>期环</w:t>
            </w:r>
          </w:p>
          <w:p w14:paraId="475EA783">
            <w:pPr>
              <w:adjustRightInd w:val="0"/>
              <w:snapToGrid w:val="0"/>
              <w:jc w:val="center"/>
              <w:rPr>
                <w:rFonts w:hint="eastAsia" w:ascii="宋体" w:hAnsi="宋体" w:cs="宋体"/>
                <w:bCs/>
                <w:sz w:val="24"/>
              </w:rPr>
            </w:pPr>
            <w:r>
              <w:rPr>
                <w:rFonts w:hint="eastAsia" w:ascii="宋体" w:hAnsi="宋体" w:cs="宋体"/>
                <w:bCs/>
                <w:sz w:val="24"/>
              </w:rPr>
              <w:t>境影</w:t>
            </w:r>
          </w:p>
          <w:p w14:paraId="154D15A6">
            <w:pPr>
              <w:adjustRightInd w:val="0"/>
              <w:snapToGrid w:val="0"/>
              <w:jc w:val="center"/>
              <w:rPr>
                <w:rFonts w:hint="eastAsia" w:ascii="宋体" w:hAnsi="宋体" w:cs="宋体"/>
                <w:bCs/>
                <w:sz w:val="24"/>
              </w:rPr>
            </w:pPr>
            <w:r>
              <w:rPr>
                <w:rFonts w:hint="eastAsia" w:ascii="宋体" w:hAnsi="宋体" w:cs="宋体"/>
                <w:bCs/>
                <w:sz w:val="24"/>
              </w:rPr>
              <w:t>响和</w:t>
            </w:r>
          </w:p>
          <w:p w14:paraId="4944389A">
            <w:pPr>
              <w:adjustRightInd w:val="0"/>
              <w:snapToGrid w:val="0"/>
              <w:jc w:val="center"/>
              <w:rPr>
                <w:rFonts w:hint="eastAsia" w:ascii="宋体" w:hAnsi="宋体" w:cs="宋体"/>
                <w:bCs/>
                <w:sz w:val="24"/>
              </w:rPr>
            </w:pPr>
            <w:r>
              <w:rPr>
                <w:rFonts w:hint="eastAsia" w:ascii="宋体" w:hAnsi="宋体" w:cs="宋体"/>
                <w:bCs/>
                <w:sz w:val="24"/>
              </w:rPr>
              <w:t>保护</w:t>
            </w:r>
          </w:p>
          <w:p w14:paraId="593C47BB">
            <w:pPr>
              <w:adjustRightInd w:val="0"/>
              <w:snapToGrid w:val="0"/>
              <w:jc w:val="center"/>
              <w:rPr>
                <w:rFonts w:hint="eastAsia" w:ascii="宋体" w:hAnsi="宋体" w:cs="宋体"/>
                <w:bCs/>
                <w:sz w:val="24"/>
              </w:rPr>
            </w:pPr>
            <w:r>
              <w:rPr>
                <w:rFonts w:hint="eastAsia" w:ascii="宋体" w:hAnsi="宋体" w:cs="宋体"/>
                <w:bCs/>
                <w:sz w:val="24"/>
              </w:rPr>
              <w:t>措施</w:t>
            </w:r>
          </w:p>
        </w:tc>
        <w:tc>
          <w:tcPr>
            <w:tcW w:w="8553" w:type="dxa"/>
            <w:vAlign w:val="center"/>
          </w:tcPr>
          <w:p w14:paraId="7898BE53">
            <w:pPr>
              <w:adjustRightInd w:val="0"/>
              <w:snapToGrid w:val="0"/>
              <w:spacing w:line="360" w:lineRule="auto"/>
              <w:ind w:firstLine="482" w:firstLineChars="200"/>
              <w:rPr>
                <w:b/>
                <w:bCs/>
                <w:kern w:val="0"/>
                <w:sz w:val="24"/>
              </w:rPr>
            </w:pPr>
            <w:r>
              <w:rPr>
                <w:b/>
                <w:bCs/>
                <w:kern w:val="0"/>
                <w:sz w:val="24"/>
              </w:rPr>
              <w:t>3</w:t>
            </w:r>
            <w:r>
              <w:rPr>
                <w:rFonts w:hint="eastAsia"/>
                <w:b/>
                <w:bCs/>
                <w:kern w:val="0"/>
                <w:sz w:val="24"/>
              </w:rPr>
              <w:t>、噪声环境影响和保护措施</w:t>
            </w:r>
          </w:p>
          <w:p w14:paraId="16CA7DDA">
            <w:pPr>
              <w:adjustRightInd w:val="0"/>
              <w:snapToGrid w:val="0"/>
              <w:spacing w:line="360" w:lineRule="auto"/>
              <w:ind w:firstLine="480" w:firstLineChars="200"/>
              <w:rPr>
                <w:kern w:val="0"/>
                <w:sz w:val="24"/>
              </w:rPr>
            </w:pPr>
            <w:bookmarkStart w:id="32" w:name="_Hlk151459959"/>
            <w:r>
              <w:rPr>
                <w:rFonts w:hint="eastAsia"/>
                <w:kern w:val="0"/>
                <w:sz w:val="24"/>
              </w:rPr>
              <w:t>本项目运营期噪声源主要为各生产设备噪声，噪声源强在80～</w:t>
            </w:r>
            <w:r>
              <w:rPr>
                <w:kern w:val="0"/>
                <w:sz w:val="24"/>
              </w:rPr>
              <w:t>90dB(A)</w:t>
            </w:r>
            <w:r>
              <w:rPr>
                <w:rFonts w:hint="eastAsia"/>
                <w:kern w:val="0"/>
                <w:sz w:val="24"/>
              </w:rPr>
              <w:t>之间，项目噪声污染源源强核算结果及相关参数见表</w:t>
            </w:r>
            <w:r>
              <w:rPr>
                <w:kern w:val="0"/>
                <w:sz w:val="24"/>
              </w:rPr>
              <w:t>4-</w:t>
            </w:r>
            <w:r>
              <w:rPr>
                <w:rFonts w:hint="eastAsia"/>
                <w:kern w:val="0"/>
                <w:sz w:val="24"/>
              </w:rPr>
              <w:t>7、表4-8。</w:t>
            </w:r>
          </w:p>
          <w:p w14:paraId="714AC5DF">
            <w:pPr>
              <w:adjustRightInd w:val="0"/>
              <w:snapToGrid w:val="0"/>
              <w:jc w:val="center"/>
              <w:rPr>
                <w:b/>
                <w:szCs w:val="21"/>
              </w:rPr>
            </w:pPr>
            <w:bookmarkStart w:id="33" w:name="_Hlk176423966"/>
            <w:r>
              <w:rPr>
                <w:rFonts w:hint="eastAsia"/>
                <w:b/>
                <w:szCs w:val="21"/>
              </w:rPr>
              <w:t xml:space="preserve">表4-7 </w:t>
            </w:r>
            <w:r>
              <w:rPr>
                <w:b/>
                <w:szCs w:val="21"/>
              </w:rPr>
              <w:t xml:space="preserve"> </w:t>
            </w:r>
            <w:r>
              <w:rPr>
                <w:rFonts w:hint="eastAsia"/>
                <w:b/>
                <w:szCs w:val="21"/>
              </w:rPr>
              <w:t>噪声污染源源强核算结果及相关参数一览表（室内）</w:t>
            </w:r>
          </w:p>
          <w:tbl>
            <w:tblPr>
              <w:tblStyle w:val="31"/>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22"/>
              <w:gridCol w:w="535"/>
              <w:gridCol w:w="990"/>
              <w:gridCol w:w="532"/>
              <w:gridCol w:w="649"/>
              <w:gridCol w:w="532"/>
              <w:gridCol w:w="427"/>
              <w:gridCol w:w="412"/>
              <w:gridCol w:w="295"/>
              <w:gridCol w:w="333"/>
              <w:gridCol w:w="707"/>
              <w:gridCol w:w="457"/>
              <w:gridCol w:w="707"/>
              <w:gridCol w:w="804"/>
              <w:gridCol w:w="635"/>
            </w:tblGrid>
            <w:tr w14:paraId="33A906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78" w:hRule="atLeast"/>
                <w:jc w:val="center"/>
              </w:trPr>
              <w:tc>
                <w:tcPr>
                  <w:tcW w:w="193" w:type="pct"/>
                  <w:vMerge w:val="restart"/>
                  <w:vAlign w:val="center"/>
                </w:tcPr>
                <w:p w14:paraId="10FAE09E">
                  <w:pPr>
                    <w:widowControl/>
                    <w:ind w:left="-105" w:leftChars="-50" w:right="-105" w:rightChars="-50"/>
                    <w:jc w:val="center"/>
                    <w:textAlignment w:val="center"/>
                    <w:rPr>
                      <w:szCs w:val="21"/>
                    </w:rPr>
                  </w:pPr>
                  <w:r>
                    <w:rPr>
                      <w:kern w:val="0"/>
                      <w:szCs w:val="21"/>
                      <w:lang w:bidi="ar"/>
                    </w:rPr>
                    <w:t>建筑物名称</w:t>
                  </w:r>
                </w:p>
              </w:tc>
              <w:tc>
                <w:tcPr>
                  <w:tcW w:w="321" w:type="pct"/>
                  <w:vMerge w:val="restart"/>
                  <w:vAlign w:val="center"/>
                </w:tcPr>
                <w:p w14:paraId="0387BB8F">
                  <w:pPr>
                    <w:widowControl/>
                    <w:ind w:left="-105" w:leftChars="-50" w:right="-105" w:rightChars="-50"/>
                    <w:jc w:val="center"/>
                    <w:textAlignment w:val="center"/>
                    <w:rPr>
                      <w:szCs w:val="21"/>
                    </w:rPr>
                  </w:pPr>
                  <w:r>
                    <w:rPr>
                      <w:kern w:val="0"/>
                      <w:szCs w:val="21"/>
                      <w:lang w:bidi="ar"/>
                    </w:rPr>
                    <w:t>声源名称</w:t>
                  </w:r>
                </w:p>
              </w:tc>
              <w:tc>
                <w:tcPr>
                  <w:tcW w:w="594" w:type="pct"/>
                  <w:vMerge w:val="restart"/>
                  <w:vAlign w:val="center"/>
                </w:tcPr>
                <w:p w14:paraId="09330C3C">
                  <w:pPr>
                    <w:widowControl/>
                    <w:ind w:left="-105" w:leftChars="-50" w:right="-105" w:rightChars="-50"/>
                    <w:jc w:val="center"/>
                    <w:textAlignment w:val="center"/>
                    <w:rPr>
                      <w:szCs w:val="21"/>
                    </w:rPr>
                  </w:pPr>
                  <w:r>
                    <w:rPr>
                      <w:kern w:val="0"/>
                      <w:szCs w:val="21"/>
                      <w:lang w:bidi="ar"/>
                    </w:rPr>
                    <w:t>型号</w:t>
                  </w:r>
                </w:p>
              </w:tc>
              <w:tc>
                <w:tcPr>
                  <w:tcW w:w="319" w:type="pct"/>
                  <w:vMerge w:val="restart"/>
                  <w:vAlign w:val="center"/>
                </w:tcPr>
                <w:p w14:paraId="0668FE84">
                  <w:pPr>
                    <w:widowControl/>
                    <w:ind w:left="-105" w:leftChars="-50" w:right="-105" w:rightChars="-50"/>
                    <w:jc w:val="center"/>
                    <w:textAlignment w:val="center"/>
                    <w:rPr>
                      <w:kern w:val="0"/>
                      <w:szCs w:val="21"/>
                      <w:lang w:bidi="ar"/>
                    </w:rPr>
                  </w:pPr>
                  <w:r>
                    <w:rPr>
                      <w:rFonts w:hint="eastAsia"/>
                      <w:kern w:val="0"/>
                      <w:szCs w:val="21"/>
                      <w:lang w:bidi="ar"/>
                    </w:rPr>
                    <w:t>数量（台/套）</w:t>
                  </w:r>
                </w:p>
              </w:tc>
              <w:tc>
                <w:tcPr>
                  <w:tcW w:w="389" w:type="pct"/>
                  <w:vAlign w:val="center"/>
                </w:tcPr>
                <w:p w14:paraId="04F8C195">
                  <w:pPr>
                    <w:widowControl/>
                    <w:ind w:left="-105" w:leftChars="-50" w:right="-105" w:rightChars="-50"/>
                    <w:jc w:val="center"/>
                    <w:textAlignment w:val="center"/>
                    <w:rPr>
                      <w:szCs w:val="21"/>
                    </w:rPr>
                  </w:pPr>
                  <w:r>
                    <w:rPr>
                      <w:kern w:val="0"/>
                      <w:szCs w:val="21"/>
                      <w:lang w:bidi="ar"/>
                    </w:rPr>
                    <w:t>声源源强</w:t>
                  </w:r>
                </w:p>
              </w:tc>
              <w:tc>
                <w:tcPr>
                  <w:tcW w:w="319" w:type="pct"/>
                  <w:vMerge w:val="restart"/>
                  <w:vAlign w:val="center"/>
                </w:tcPr>
                <w:p w14:paraId="56272A60">
                  <w:pPr>
                    <w:widowControl/>
                    <w:ind w:left="-105" w:leftChars="-50" w:right="-105" w:rightChars="-50"/>
                    <w:jc w:val="center"/>
                    <w:textAlignment w:val="center"/>
                    <w:rPr>
                      <w:szCs w:val="21"/>
                    </w:rPr>
                  </w:pPr>
                  <w:r>
                    <w:rPr>
                      <w:kern w:val="0"/>
                      <w:szCs w:val="21"/>
                      <w:lang w:bidi="ar"/>
                    </w:rPr>
                    <w:t>声源控制措施</w:t>
                  </w:r>
                </w:p>
              </w:tc>
              <w:tc>
                <w:tcPr>
                  <w:tcW w:w="680" w:type="pct"/>
                  <w:gridSpan w:val="3"/>
                  <w:vAlign w:val="center"/>
                </w:tcPr>
                <w:p w14:paraId="37917606">
                  <w:pPr>
                    <w:widowControl/>
                    <w:ind w:left="-105" w:leftChars="-50" w:right="-105" w:rightChars="-50"/>
                    <w:jc w:val="center"/>
                    <w:textAlignment w:val="center"/>
                    <w:rPr>
                      <w:kern w:val="0"/>
                      <w:szCs w:val="21"/>
                      <w:lang w:bidi="ar"/>
                    </w:rPr>
                  </w:pPr>
                  <w:r>
                    <w:rPr>
                      <w:rFonts w:hint="eastAsia"/>
                      <w:kern w:val="0"/>
                      <w:szCs w:val="21"/>
                      <w:lang w:bidi="ar"/>
                    </w:rPr>
                    <w:t>空间相对位置/m</w:t>
                  </w:r>
                </w:p>
              </w:tc>
              <w:tc>
                <w:tcPr>
                  <w:tcW w:w="200" w:type="pct"/>
                  <w:vMerge w:val="restart"/>
                  <w:vAlign w:val="center"/>
                </w:tcPr>
                <w:p w14:paraId="62699327">
                  <w:pPr>
                    <w:widowControl/>
                    <w:ind w:left="-105" w:leftChars="-50" w:right="-105" w:rightChars="-50"/>
                    <w:jc w:val="center"/>
                    <w:textAlignment w:val="center"/>
                    <w:rPr>
                      <w:szCs w:val="21"/>
                    </w:rPr>
                  </w:pPr>
                  <w:r>
                    <w:rPr>
                      <w:kern w:val="0"/>
                      <w:szCs w:val="21"/>
                      <w:lang w:bidi="ar"/>
                    </w:rPr>
                    <w:t>距室内边界距离/m</w:t>
                  </w:r>
                </w:p>
              </w:tc>
              <w:tc>
                <w:tcPr>
                  <w:tcW w:w="424" w:type="pct"/>
                  <w:vMerge w:val="restart"/>
                  <w:vAlign w:val="center"/>
                </w:tcPr>
                <w:p w14:paraId="073F2A3F">
                  <w:pPr>
                    <w:widowControl/>
                    <w:ind w:left="-105" w:leftChars="-50" w:right="-105" w:rightChars="-50"/>
                    <w:jc w:val="center"/>
                    <w:textAlignment w:val="center"/>
                    <w:rPr>
                      <w:szCs w:val="21"/>
                    </w:rPr>
                  </w:pPr>
                  <w:r>
                    <w:rPr>
                      <w:kern w:val="0"/>
                      <w:szCs w:val="21"/>
                      <w:lang w:bidi="ar"/>
                    </w:rPr>
                    <w:t>室内边界声级/dB(A)</w:t>
                  </w:r>
                </w:p>
              </w:tc>
              <w:tc>
                <w:tcPr>
                  <w:tcW w:w="274" w:type="pct"/>
                  <w:vMerge w:val="restart"/>
                  <w:vAlign w:val="center"/>
                </w:tcPr>
                <w:p w14:paraId="1D4455A8">
                  <w:pPr>
                    <w:widowControl/>
                    <w:ind w:left="-105" w:leftChars="-50" w:right="-105" w:rightChars="-50"/>
                    <w:jc w:val="center"/>
                    <w:textAlignment w:val="center"/>
                    <w:rPr>
                      <w:szCs w:val="21"/>
                    </w:rPr>
                  </w:pPr>
                  <w:r>
                    <w:rPr>
                      <w:kern w:val="0"/>
                      <w:szCs w:val="21"/>
                      <w:lang w:bidi="ar"/>
                    </w:rPr>
                    <w:t>运行时段</w:t>
                  </w:r>
                </w:p>
              </w:tc>
              <w:tc>
                <w:tcPr>
                  <w:tcW w:w="424" w:type="pct"/>
                  <w:vMerge w:val="restart"/>
                  <w:vAlign w:val="center"/>
                </w:tcPr>
                <w:p w14:paraId="6196CC4C">
                  <w:pPr>
                    <w:widowControl/>
                    <w:ind w:left="-105" w:leftChars="-50" w:right="-105" w:rightChars="-50"/>
                    <w:jc w:val="center"/>
                    <w:textAlignment w:val="center"/>
                    <w:rPr>
                      <w:szCs w:val="21"/>
                    </w:rPr>
                  </w:pPr>
                  <w:r>
                    <w:rPr>
                      <w:kern w:val="0"/>
                      <w:szCs w:val="21"/>
                      <w:lang w:bidi="ar"/>
                    </w:rPr>
                    <w:t>建筑物插入损失/dB(A)</w:t>
                  </w:r>
                </w:p>
              </w:tc>
              <w:tc>
                <w:tcPr>
                  <w:tcW w:w="863" w:type="pct"/>
                  <w:gridSpan w:val="2"/>
                  <w:vAlign w:val="center"/>
                </w:tcPr>
                <w:p w14:paraId="71285746">
                  <w:pPr>
                    <w:widowControl/>
                    <w:ind w:left="-105" w:leftChars="-50" w:right="-105" w:rightChars="-50"/>
                    <w:jc w:val="center"/>
                    <w:textAlignment w:val="center"/>
                    <w:rPr>
                      <w:szCs w:val="21"/>
                    </w:rPr>
                  </w:pPr>
                  <w:r>
                    <w:rPr>
                      <w:kern w:val="0"/>
                      <w:szCs w:val="21"/>
                      <w:lang w:bidi="ar"/>
                    </w:rPr>
                    <w:t>建筑物外噪声</w:t>
                  </w:r>
                </w:p>
              </w:tc>
            </w:tr>
            <w:tr w14:paraId="08532D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93" w:type="pct"/>
                  <w:vMerge w:val="continue"/>
                  <w:vAlign w:val="center"/>
                </w:tcPr>
                <w:p w14:paraId="765FB069">
                  <w:pPr>
                    <w:ind w:left="-105" w:leftChars="-50" w:right="-105" w:rightChars="-50"/>
                    <w:jc w:val="center"/>
                    <w:rPr>
                      <w:szCs w:val="21"/>
                    </w:rPr>
                  </w:pPr>
                </w:p>
              </w:tc>
              <w:tc>
                <w:tcPr>
                  <w:tcW w:w="321" w:type="pct"/>
                  <w:vMerge w:val="continue"/>
                  <w:vAlign w:val="center"/>
                </w:tcPr>
                <w:p w14:paraId="4FFF9CD6">
                  <w:pPr>
                    <w:ind w:left="-105" w:leftChars="-50" w:right="-105" w:rightChars="-50"/>
                    <w:jc w:val="center"/>
                    <w:rPr>
                      <w:szCs w:val="21"/>
                    </w:rPr>
                  </w:pPr>
                </w:p>
              </w:tc>
              <w:tc>
                <w:tcPr>
                  <w:tcW w:w="594" w:type="pct"/>
                  <w:vMerge w:val="continue"/>
                  <w:vAlign w:val="center"/>
                </w:tcPr>
                <w:p w14:paraId="1C309EC7">
                  <w:pPr>
                    <w:ind w:left="-105" w:leftChars="-50" w:right="-105" w:rightChars="-50"/>
                    <w:jc w:val="center"/>
                    <w:rPr>
                      <w:szCs w:val="21"/>
                    </w:rPr>
                  </w:pPr>
                </w:p>
              </w:tc>
              <w:tc>
                <w:tcPr>
                  <w:tcW w:w="319" w:type="pct"/>
                  <w:vMerge w:val="continue"/>
                  <w:vAlign w:val="center"/>
                </w:tcPr>
                <w:p w14:paraId="1047F464">
                  <w:pPr>
                    <w:ind w:left="-105" w:leftChars="-50" w:right="-105" w:rightChars="-50"/>
                    <w:jc w:val="center"/>
                    <w:rPr>
                      <w:kern w:val="0"/>
                      <w:szCs w:val="21"/>
                      <w:lang w:bidi="ar"/>
                    </w:rPr>
                  </w:pPr>
                </w:p>
              </w:tc>
              <w:tc>
                <w:tcPr>
                  <w:tcW w:w="389" w:type="pct"/>
                  <w:vAlign w:val="center"/>
                </w:tcPr>
                <w:p w14:paraId="3377475E">
                  <w:pPr>
                    <w:ind w:left="-105" w:leftChars="-50" w:right="-105" w:rightChars="-50"/>
                    <w:jc w:val="center"/>
                    <w:rPr>
                      <w:szCs w:val="21"/>
                    </w:rPr>
                  </w:pPr>
                  <w:r>
                    <w:rPr>
                      <w:rFonts w:hint="eastAsia"/>
                      <w:kern w:val="0"/>
                      <w:szCs w:val="21"/>
                      <w:lang w:bidi="ar"/>
                    </w:rPr>
                    <w:t>声功率级</w:t>
                  </w:r>
                  <w:r>
                    <w:rPr>
                      <w:kern w:val="0"/>
                      <w:szCs w:val="21"/>
                      <w:lang w:bidi="ar"/>
                    </w:rPr>
                    <w:t>dB(A)</w:t>
                  </w:r>
                </w:p>
              </w:tc>
              <w:tc>
                <w:tcPr>
                  <w:tcW w:w="319" w:type="pct"/>
                  <w:vMerge w:val="continue"/>
                  <w:vAlign w:val="center"/>
                </w:tcPr>
                <w:p w14:paraId="01F9ACFB">
                  <w:pPr>
                    <w:ind w:left="-105" w:leftChars="-50" w:right="-105" w:rightChars="-50"/>
                    <w:jc w:val="center"/>
                    <w:rPr>
                      <w:szCs w:val="21"/>
                    </w:rPr>
                  </w:pPr>
                </w:p>
              </w:tc>
              <w:tc>
                <w:tcPr>
                  <w:tcW w:w="256" w:type="pct"/>
                  <w:vAlign w:val="center"/>
                </w:tcPr>
                <w:p w14:paraId="626DC5C4">
                  <w:pPr>
                    <w:ind w:left="-105" w:leftChars="-50" w:right="-105" w:rightChars="-50"/>
                    <w:jc w:val="center"/>
                    <w:rPr>
                      <w:szCs w:val="21"/>
                    </w:rPr>
                  </w:pPr>
                  <w:r>
                    <w:rPr>
                      <w:rFonts w:hint="eastAsia"/>
                      <w:szCs w:val="21"/>
                    </w:rPr>
                    <w:t>X</w:t>
                  </w:r>
                </w:p>
              </w:tc>
              <w:tc>
                <w:tcPr>
                  <w:tcW w:w="247" w:type="pct"/>
                  <w:vAlign w:val="center"/>
                </w:tcPr>
                <w:p w14:paraId="2848CCF8">
                  <w:pPr>
                    <w:ind w:left="-105" w:leftChars="-50" w:right="-105" w:rightChars="-50"/>
                    <w:jc w:val="center"/>
                    <w:rPr>
                      <w:szCs w:val="21"/>
                    </w:rPr>
                  </w:pPr>
                  <w:r>
                    <w:rPr>
                      <w:rFonts w:hint="eastAsia"/>
                      <w:szCs w:val="21"/>
                    </w:rPr>
                    <w:t>Y</w:t>
                  </w:r>
                </w:p>
              </w:tc>
              <w:tc>
                <w:tcPr>
                  <w:tcW w:w="177" w:type="pct"/>
                  <w:vAlign w:val="center"/>
                </w:tcPr>
                <w:p w14:paraId="0BEC0BA1">
                  <w:pPr>
                    <w:ind w:left="-105" w:leftChars="-50" w:right="-105" w:rightChars="-50"/>
                    <w:jc w:val="center"/>
                    <w:rPr>
                      <w:szCs w:val="21"/>
                    </w:rPr>
                  </w:pPr>
                  <w:r>
                    <w:rPr>
                      <w:rFonts w:hint="eastAsia"/>
                      <w:szCs w:val="21"/>
                    </w:rPr>
                    <w:t>Z</w:t>
                  </w:r>
                </w:p>
              </w:tc>
              <w:tc>
                <w:tcPr>
                  <w:tcW w:w="200" w:type="pct"/>
                  <w:vMerge w:val="continue"/>
                  <w:vAlign w:val="center"/>
                </w:tcPr>
                <w:p w14:paraId="7986E88A">
                  <w:pPr>
                    <w:ind w:left="-105" w:leftChars="-50" w:right="-105" w:rightChars="-50"/>
                    <w:jc w:val="center"/>
                    <w:rPr>
                      <w:szCs w:val="21"/>
                    </w:rPr>
                  </w:pPr>
                </w:p>
              </w:tc>
              <w:tc>
                <w:tcPr>
                  <w:tcW w:w="424" w:type="pct"/>
                  <w:vMerge w:val="continue"/>
                  <w:vAlign w:val="center"/>
                </w:tcPr>
                <w:p w14:paraId="4793FA28">
                  <w:pPr>
                    <w:ind w:left="-105" w:leftChars="-50" w:right="-105" w:rightChars="-50"/>
                    <w:jc w:val="center"/>
                    <w:rPr>
                      <w:szCs w:val="21"/>
                    </w:rPr>
                  </w:pPr>
                </w:p>
              </w:tc>
              <w:tc>
                <w:tcPr>
                  <w:tcW w:w="274" w:type="pct"/>
                  <w:vMerge w:val="continue"/>
                  <w:vAlign w:val="center"/>
                </w:tcPr>
                <w:p w14:paraId="12F0AC79">
                  <w:pPr>
                    <w:ind w:left="-105" w:leftChars="-50" w:right="-105" w:rightChars="-50"/>
                    <w:jc w:val="center"/>
                    <w:rPr>
                      <w:szCs w:val="21"/>
                    </w:rPr>
                  </w:pPr>
                </w:p>
              </w:tc>
              <w:tc>
                <w:tcPr>
                  <w:tcW w:w="424" w:type="pct"/>
                  <w:vMerge w:val="continue"/>
                  <w:vAlign w:val="center"/>
                </w:tcPr>
                <w:p w14:paraId="36154C90">
                  <w:pPr>
                    <w:ind w:left="-105" w:leftChars="-50" w:right="-105" w:rightChars="-50"/>
                    <w:jc w:val="center"/>
                    <w:rPr>
                      <w:szCs w:val="21"/>
                    </w:rPr>
                  </w:pPr>
                </w:p>
              </w:tc>
              <w:tc>
                <w:tcPr>
                  <w:tcW w:w="482" w:type="pct"/>
                  <w:vAlign w:val="center"/>
                </w:tcPr>
                <w:p w14:paraId="6A270966">
                  <w:pPr>
                    <w:widowControl/>
                    <w:ind w:left="-105" w:leftChars="-50" w:right="-105" w:rightChars="-50"/>
                    <w:jc w:val="center"/>
                    <w:textAlignment w:val="center"/>
                    <w:rPr>
                      <w:szCs w:val="21"/>
                    </w:rPr>
                  </w:pPr>
                  <w:r>
                    <w:rPr>
                      <w:kern w:val="0"/>
                      <w:szCs w:val="21"/>
                      <w:lang w:bidi="ar"/>
                    </w:rPr>
                    <w:t>声压级/dB(A)</w:t>
                  </w:r>
                </w:p>
              </w:tc>
              <w:tc>
                <w:tcPr>
                  <w:tcW w:w="381" w:type="pct"/>
                  <w:vAlign w:val="center"/>
                </w:tcPr>
                <w:p w14:paraId="76A08D21">
                  <w:pPr>
                    <w:widowControl/>
                    <w:ind w:left="-105" w:leftChars="-50" w:right="-105" w:rightChars="-50"/>
                    <w:jc w:val="center"/>
                    <w:textAlignment w:val="center"/>
                    <w:rPr>
                      <w:szCs w:val="21"/>
                    </w:rPr>
                  </w:pPr>
                  <w:r>
                    <w:rPr>
                      <w:kern w:val="0"/>
                      <w:szCs w:val="21"/>
                      <w:lang w:bidi="ar"/>
                    </w:rPr>
                    <w:t>建筑物外距离(m)</w:t>
                  </w:r>
                </w:p>
              </w:tc>
            </w:tr>
            <w:tr w14:paraId="56F94C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93" w:type="pct"/>
                  <w:vMerge w:val="restart"/>
                  <w:vAlign w:val="center"/>
                </w:tcPr>
                <w:p w14:paraId="4C49959F">
                  <w:pPr>
                    <w:ind w:left="-105" w:leftChars="-50" w:right="-105" w:rightChars="-50"/>
                    <w:jc w:val="center"/>
                    <w:rPr>
                      <w:szCs w:val="21"/>
                    </w:rPr>
                  </w:pPr>
                  <w:r>
                    <w:rPr>
                      <w:rFonts w:hint="eastAsia"/>
                      <w:szCs w:val="21"/>
                    </w:rPr>
                    <w:t>锅炉房</w:t>
                  </w:r>
                </w:p>
              </w:tc>
              <w:tc>
                <w:tcPr>
                  <w:tcW w:w="321" w:type="pct"/>
                  <w:vAlign w:val="center"/>
                </w:tcPr>
                <w:p w14:paraId="3DFDD9B1">
                  <w:pPr>
                    <w:ind w:left="-105" w:leftChars="-50" w:right="-105" w:rightChars="-50"/>
                    <w:jc w:val="center"/>
                    <w:rPr>
                      <w:szCs w:val="21"/>
                    </w:rPr>
                  </w:pPr>
                  <w:r>
                    <w:rPr>
                      <w:rFonts w:hint="eastAsia"/>
                      <w:bCs/>
                      <w:szCs w:val="21"/>
                    </w:rPr>
                    <w:t>锅炉燃烧器</w:t>
                  </w:r>
                </w:p>
              </w:tc>
              <w:tc>
                <w:tcPr>
                  <w:tcW w:w="594" w:type="pct"/>
                  <w:vAlign w:val="center"/>
                </w:tcPr>
                <w:p w14:paraId="4E95287A">
                  <w:pPr>
                    <w:ind w:left="-105" w:leftChars="-50" w:right="-105" w:rightChars="-50"/>
                    <w:jc w:val="center"/>
                    <w:rPr>
                      <w:szCs w:val="21"/>
                    </w:rPr>
                  </w:pPr>
                  <w:r>
                    <w:rPr>
                      <w:rFonts w:hint="eastAsia"/>
                      <w:kern w:val="0"/>
                      <w:szCs w:val="21"/>
                    </w:rPr>
                    <w:t>/</w:t>
                  </w:r>
                </w:p>
              </w:tc>
              <w:tc>
                <w:tcPr>
                  <w:tcW w:w="319" w:type="pct"/>
                  <w:vAlign w:val="center"/>
                </w:tcPr>
                <w:p w14:paraId="4B3EAD9B">
                  <w:pPr>
                    <w:ind w:left="-105" w:leftChars="-50" w:right="-105" w:rightChars="-50"/>
                    <w:jc w:val="center"/>
                    <w:rPr>
                      <w:kern w:val="0"/>
                      <w:szCs w:val="21"/>
                      <w:lang w:bidi="ar"/>
                    </w:rPr>
                  </w:pPr>
                  <w:r>
                    <w:rPr>
                      <w:rFonts w:hint="eastAsia"/>
                      <w:kern w:val="0"/>
                      <w:szCs w:val="21"/>
                      <w:lang w:bidi="ar"/>
                    </w:rPr>
                    <w:t>3</w:t>
                  </w:r>
                </w:p>
              </w:tc>
              <w:tc>
                <w:tcPr>
                  <w:tcW w:w="389" w:type="pct"/>
                  <w:vAlign w:val="center"/>
                </w:tcPr>
                <w:p w14:paraId="3E96F29E">
                  <w:pPr>
                    <w:ind w:left="-105" w:leftChars="-50" w:right="-105" w:rightChars="-50"/>
                    <w:jc w:val="center"/>
                    <w:rPr>
                      <w:kern w:val="0"/>
                      <w:szCs w:val="21"/>
                      <w:lang w:bidi="ar"/>
                    </w:rPr>
                  </w:pPr>
                  <w:r>
                    <w:rPr>
                      <w:bCs/>
                      <w:szCs w:val="21"/>
                    </w:rPr>
                    <w:t>8</w:t>
                  </w:r>
                  <w:r>
                    <w:rPr>
                      <w:rFonts w:hint="eastAsia"/>
                      <w:bCs/>
                      <w:szCs w:val="21"/>
                    </w:rPr>
                    <w:t>5</w:t>
                  </w:r>
                </w:p>
              </w:tc>
              <w:tc>
                <w:tcPr>
                  <w:tcW w:w="319" w:type="pct"/>
                  <w:vMerge w:val="restart"/>
                  <w:vAlign w:val="center"/>
                </w:tcPr>
                <w:p w14:paraId="3FE67309">
                  <w:pPr>
                    <w:ind w:left="-105" w:leftChars="-50" w:right="-105" w:rightChars="-50"/>
                    <w:jc w:val="center"/>
                    <w:textAlignment w:val="center"/>
                    <w:rPr>
                      <w:szCs w:val="21"/>
                    </w:rPr>
                  </w:pPr>
                  <w:r>
                    <w:rPr>
                      <w:kern w:val="0"/>
                      <w:szCs w:val="21"/>
                      <w:lang w:bidi="ar"/>
                    </w:rPr>
                    <w:t>定期维护，车间隔声</w:t>
                  </w:r>
                  <w:r>
                    <w:rPr>
                      <w:rFonts w:hint="eastAsia"/>
                      <w:kern w:val="0"/>
                      <w:szCs w:val="21"/>
                      <w:lang w:bidi="ar"/>
                    </w:rPr>
                    <w:t>，</w:t>
                  </w:r>
                  <w:r>
                    <w:rPr>
                      <w:kern w:val="0"/>
                      <w:szCs w:val="21"/>
                      <w:lang w:bidi="ar"/>
                    </w:rPr>
                    <w:t>基础减振</w:t>
                  </w:r>
                </w:p>
              </w:tc>
              <w:tc>
                <w:tcPr>
                  <w:tcW w:w="256" w:type="pct"/>
                  <w:vAlign w:val="center"/>
                </w:tcPr>
                <w:p w14:paraId="06D7FFBB">
                  <w:pPr>
                    <w:ind w:left="-105" w:leftChars="-50" w:right="-105" w:rightChars="-50"/>
                    <w:jc w:val="center"/>
                    <w:rPr>
                      <w:szCs w:val="21"/>
                    </w:rPr>
                  </w:pPr>
                  <w:r>
                    <w:rPr>
                      <w:rFonts w:hint="eastAsia"/>
                      <w:kern w:val="0"/>
                      <w:szCs w:val="21"/>
                      <w:lang w:bidi="ar"/>
                    </w:rPr>
                    <w:t>0</w:t>
                  </w:r>
                </w:p>
              </w:tc>
              <w:tc>
                <w:tcPr>
                  <w:tcW w:w="247" w:type="pct"/>
                  <w:vAlign w:val="center"/>
                </w:tcPr>
                <w:p w14:paraId="277A6C25">
                  <w:pPr>
                    <w:ind w:left="-105" w:leftChars="-50" w:right="-105" w:rightChars="-50"/>
                    <w:jc w:val="center"/>
                    <w:rPr>
                      <w:szCs w:val="21"/>
                    </w:rPr>
                  </w:pPr>
                  <w:r>
                    <w:rPr>
                      <w:rFonts w:hint="eastAsia"/>
                      <w:kern w:val="0"/>
                      <w:szCs w:val="21"/>
                      <w:lang w:bidi="ar"/>
                    </w:rPr>
                    <w:t>10</w:t>
                  </w:r>
                </w:p>
              </w:tc>
              <w:tc>
                <w:tcPr>
                  <w:tcW w:w="177" w:type="pct"/>
                  <w:vAlign w:val="center"/>
                </w:tcPr>
                <w:p w14:paraId="1E939EA9">
                  <w:pPr>
                    <w:ind w:left="-105" w:leftChars="-50" w:right="-105" w:rightChars="-50"/>
                    <w:jc w:val="center"/>
                    <w:rPr>
                      <w:szCs w:val="21"/>
                    </w:rPr>
                  </w:pPr>
                  <w:r>
                    <w:rPr>
                      <w:rFonts w:hint="eastAsia"/>
                      <w:kern w:val="0"/>
                      <w:szCs w:val="21"/>
                      <w:lang w:bidi="ar"/>
                    </w:rPr>
                    <w:t>1</w:t>
                  </w:r>
                </w:p>
              </w:tc>
              <w:tc>
                <w:tcPr>
                  <w:tcW w:w="200" w:type="pct"/>
                  <w:vAlign w:val="center"/>
                </w:tcPr>
                <w:p w14:paraId="203A7D5B">
                  <w:pPr>
                    <w:ind w:left="-105" w:leftChars="-50" w:right="-105" w:rightChars="-50"/>
                    <w:jc w:val="center"/>
                    <w:rPr>
                      <w:szCs w:val="21"/>
                    </w:rPr>
                  </w:pPr>
                  <w:r>
                    <w:rPr>
                      <w:rFonts w:hint="eastAsia"/>
                      <w:kern w:val="0"/>
                      <w:szCs w:val="21"/>
                      <w:lang w:bidi="ar"/>
                    </w:rPr>
                    <w:t>5</w:t>
                  </w:r>
                </w:p>
              </w:tc>
              <w:tc>
                <w:tcPr>
                  <w:tcW w:w="424" w:type="pct"/>
                  <w:vAlign w:val="center"/>
                </w:tcPr>
                <w:p w14:paraId="7EE7DC3A">
                  <w:pPr>
                    <w:ind w:left="-105" w:leftChars="-50" w:right="-105" w:rightChars="-50"/>
                    <w:jc w:val="center"/>
                    <w:rPr>
                      <w:szCs w:val="21"/>
                    </w:rPr>
                  </w:pPr>
                  <w:r>
                    <w:rPr>
                      <w:rFonts w:hint="eastAsia"/>
                      <w:kern w:val="0"/>
                      <w:szCs w:val="21"/>
                      <w:lang w:bidi="ar"/>
                    </w:rPr>
                    <w:t>77.86</w:t>
                  </w:r>
                </w:p>
              </w:tc>
              <w:tc>
                <w:tcPr>
                  <w:tcW w:w="274" w:type="pct"/>
                  <w:vAlign w:val="center"/>
                </w:tcPr>
                <w:p w14:paraId="1FF8AAE9">
                  <w:pPr>
                    <w:ind w:left="-105" w:leftChars="-50" w:right="-105" w:rightChars="-50"/>
                    <w:jc w:val="center"/>
                    <w:rPr>
                      <w:szCs w:val="21"/>
                    </w:rPr>
                  </w:pPr>
                  <w:r>
                    <w:rPr>
                      <w:kern w:val="0"/>
                      <w:szCs w:val="21"/>
                      <w:lang w:bidi="ar"/>
                    </w:rPr>
                    <w:t>昼夜</w:t>
                  </w:r>
                </w:p>
              </w:tc>
              <w:tc>
                <w:tcPr>
                  <w:tcW w:w="424" w:type="pct"/>
                  <w:vAlign w:val="center"/>
                </w:tcPr>
                <w:p w14:paraId="21C180A4">
                  <w:pPr>
                    <w:ind w:left="-105" w:leftChars="-50" w:right="-105" w:rightChars="-50"/>
                    <w:jc w:val="center"/>
                    <w:rPr>
                      <w:szCs w:val="21"/>
                    </w:rPr>
                  </w:pPr>
                  <w:r>
                    <w:rPr>
                      <w:bCs/>
                      <w:szCs w:val="21"/>
                    </w:rPr>
                    <w:t>20</w:t>
                  </w:r>
                </w:p>
              </w:tc>
              <w:tc>
                <w:tcPr>
                  <w:tcW w:w="482" w:type="pct"/>
                  <w:vAlign w:val="center"/>
                </w:tcPr>
                <w:p w14:paraId="1770DECF">
                  <w:pPr>
                    <w:widowControl/>
                    <w:ind w:left="-105" w:leftChars="-50" w:right="-105" w:rightChars="-50"/>
                    <w:jc w:val="center"/>
                    <w:textAlignment w:val="center"/>
                    <w:rPr>
                      <w:kern w:val="0"/>
                      <w:szCs w:val="21"/>
                      <w:lang w:bidi="ar"/>
                    </w:rPr>
                  </w:pPr>
                  <w:r>
                    <w:rPr>
                      <w:rFonts w:hint="eastAsia"/>
                      <w:kern w:val="0"/>
                      <w:szCs w:val="21"/>
                      <w:lang w:bidi="ar"/>
                    </w:rPr>
                    <w:t>57.86</w:t>
                  </w:r>
                </w:p>
              </w:tc>
              <w:tc>
                <w:tcPr>
                  <w:tcW w:w="381" w:type="pct"/>
                  <w:vMerge w:val="restart"/>
                  <w:vAlign w:val="center"/>
                </w:tcPr>
                <w:p w14:paraId="60206CC3">
                  <w:pPr>
                    <w:ind w:left="-105" w:leftChars="-50" w:right="-105" w:rightChars="-50"/>
                    <w:jc w:val="center"/>
                    <w:textAlignment w:val="center"/>
                    <w:rPr>
                      <w:kern w:val="0"/>
                      <w:szCs w:val="21"/>
                      <w:lang w:bidi="ar"/>
                    </w:rPr>
                  </w:pPr>
                  <w:r>
                    <w:rPr>
                      <w:rFonts w:hint="eastAsia"/>
                      <w:szCs w:val="21"/>
                    </w:rPr>
                    <w:t>声级值为距离噪声源1处A声级测定值</w:t>
                  </w:r>
                </w:p>
              </w:tc>
            </w:tr>
            <w:tr w14:paraId="716D75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79" w:hRule="atLeast"/>
                <w:jc w:val="center"/>
              </w:trPr>
              <w:tc>
                <w:tcPr>
                  <w:tcW w:w="193" w:type="pct"/>
                  <w:vMerge w:val="continue"/>
                  <w:vAlign w:val="center"/>
                </w:tcPr>
                <w:p w14:paraId="7A08C468">
                  <w:pPr>
                    <w:widowControl/>
                    <w:ind w:left="-105" w:leftChars="-50" w:right="-105" w:rightChars="-50"/>
                    <w:jc w:val="center"/>
                    <w:textAlignment w:val="center"/>
                    <w:rPr>
                      <w:szCs w:val="21"/>
                    </w:rPr>
                  </w:pPr>
                </w:p>
              </w:tc>
              <w:tc>
                <w:tcPr>
                  <w:tcW w:w="321" w:type="pct"/>
                  <w:vAlign w:val="center"/>
                </w:tcPr>
                <w:p w14:paraId="3D63BFB8">
                  <w:pPr>
                    <w:ind w:left="-105" w:leftChars="-50" w:right="-105" w:rightChars="-50"/>
                    <w:jc w:val="center"/>
                    <w:textAlignment w:val="center"/>
                    <w:rPr>
                      <w:szCs w:val="21"/>
                    </w:rPr>
                  </w:pPr>
                  <w:r>
                    <w:rPr>
                      <w:rFonts w:hint="eastAsia"/>
                      <w:bCs/>
                      <w:szCs w:val="21"/>
                    </w:rPr>
                    <w:t>给水泵</w:t>
                  </w:r>
                </w:p>
              </w:tc>
              <w:tc>
                <w:tcPr>
                  <w:tcW w:w="594" w:type="pct"/>
                  <w:vAlign w:val="center"/>
                </w:tcPr>
                <w:p w14:paraId="36BECC16">
                  <w:pPr>
                    <w:ind w:left="-105" w:leftChars="-50" w:right="-105" w:rightChars="-50"/>
                    <w:jc w:val="center"/>
                    <w:textAlignment w:val="center"/>
                    <w:rPr>
                      <w:szCs w:val="21"/>
                    </w:rPr>
                  </w:pPr>
                  <w:r>
                    <w:rPr>
                      <w:rFonts w:hint="eastAsia" w:cs="宋体"/>
                      <w:kern w:val="0"/>
                      <w:szCs w:val="21"/>
                      <w:lang w:bidi="ar"/>
                    </w:rPr>
                    <w:t>流量25 m</w:t>
                  </w:r>
                  <w:r>
                    <w:rPr>
                      <w:rFonts w:hint="eastAsia" w:cs="宋体"/>
                      <w:kern w:val="0"/>
                      <w:szCs w:val="21"/>
                      <w:vertAlign w:val="superscript"/>
                      <w:lang w:bidi="ar"/>
                    </w:rPr>
                    <w:t>3</w:t>
                  </w:r>
                  <w:r>
                    <w:rPr>
                      <w:rFonts w:cs="宋体"/>
                      <w:kern w:val="0"/>
                      <w:szCs w:val="21"/>
                      <w:lang w:bidi="ar"/>
                    </w:rPr>
                    <w:t>/h</w:t>
                  </w:r>
                </w:p>
              </w:tc>
              <w:tc>
                <w:tcPr>
                  <w:tcW w:w="319" w:type="pct"/>
                  <w:vAlign w:val="center"/>
                </w:tcPr>
                <w:p w14:paraId="50A84474">
                  <w:pPr>
                    <w:ind w:left="-105" w:leftChars="-50" w:right="-105" w:rightChars="-50"/>
                    <w:jc w:val="center"/>
                    <w:textAlignment w:val="center"/>
                    <w:rPr>
                      <w:kern w:val="0"/>
                      <w:szCs w:val="21"/>
                      <w:lang w:bidi="ar"/>
                    </w:rPr>
                  </w:pPr>
                  <w:r>
                    <w:rPr>
                      <w:rFonts w:hint="eastAsia"/>
                      <w:kern w:val="0"/>
                      <w:szCs w:val="21"/>
                      <w:lang w:bidi="ar"/>
                    </w:rPr>
                    <w:t>3</w:t>
                  </w:r>
                </w:p>
              </w:tc>
              <w:tc>
                <w:tcPr>
                  <w:tcW w:w="389" w:type="pct"/>
                  <w:vAlign w:val="center"/>
                </w:tcPr>
                <w:p w14:paraId="6256F586">
                  <w:pPr>
                    <w:ind w:left="-105" w:leftChars="-50" w:right="-105" w:rightChars="-50"/>
                    <w:jc w:val="center"/>
                    <w:textAlignment w:val="center"/>
                    <w:rPr>
                      <w:szCs w:val="21"/>
                    </w:rPr>
                  </w:pPr>
                  <w:r>
                    <w:rPr>
                      <w:rFonts w:hint="eastAsia"/>
                      <w:bCs/>
                      <w:szCs w:val="21"/>
                    </w:rPr>
                    <w:t>80</w:t>
                  </w:r>
                </w:p>
              </w:tc>
              <w:tc>
                <w:tcPr>
                  <w:tcW w:w="319" w:type="pct"/>
                  <w:vMerge w:val="continue"/>
                  <w:vAlign w:val="center"/>
                </w:tcPr>
                <w:p w14:paraId="3D15F849">
                  <w:pPr>
                    <w:widowControl/>
                    <w:ind w:left="-105" w:leftChars="-50" w:right="-105" w:rightChars="-50"/>
                    <w:jc w:val="center"/>
                    <w:textAlignment w:val="center"/>
                    <w:rPr>
                      <w:szCs w:val="21"/>
                    </w:rPr>
                  </w:pPr>
                </w:p>
              </w:tc>
              <w:tc>
                <w:tcPr>
                  <w:tcW w:w="256" w:type="pct"/>
                  <w:vAlign w:val="center"/>
                </w:tcPr>
                <w:p w14:paraId="0EE2E3DC">
                  <w:pPr>
                    <w:ind w:left="-105" w:leftChars="-50" w:right="-105" w:rightChars="-50"/>
                    <w:jc w:val="center"/>
                    <w:textAlignment w:val="center"/>
                    <w:rPr>
                      <w:kern w:val="0"/>
                      <w:szCs w:val="21"/>
                      <w:lang w:bidi="ar"/>
                    </w:rPr>
                  </w:pPr>
                  <w:r>
                    <w:rPr>
                      <w:rFonts w:hint="eastAsia"/>
                      <w:kern w:val="0"/>
                      <w:szCs w:val="21"/>
                      <w:lang w:bidi="ar"/>
                    </w:rPr>
                    <w:t>5</w:t>
                  </w:r>
                </w:p>
              </w:tc>
              <w:tc>
                <w:tcPr>
                  <w:tcW w:w="247" w:type="pct"/>
                  <w:vAlign w:val="center"/>
                </w:tcPr>
                <w:p w14:paraId="314C3282">
                  <w:pPr>
                    <w:ind w:left="-105" w:leftChars="-50" w:right="-105" w:rightChars="-50"/>
                    <w:jc w:val="center"/>
                    <w:textAlignment w:val="center"/>
                    <w:rPr>
                      <w:kern w:val="0"/>
                      <w:szCs w:val="21"/>
                      <w:lang w:bidi="ar"/>
                    </w:rPr>
                  </w:pPr>
                  <w:r>
                    <w:rPr>
                      <w:rFonts w:hint="eastAsia"/>
                      <w:kern w:val="0"/>
                      <w:szCs w:val="21"/>
                      <w:lang w:bidi="ar"/>
                    </w:rPr>
                    <w:t>15</w:t>
                  </w:r>
                </w:p>
              </w:tc>
              <w:tc>
                <w:tcPr>
                  <w:tcW w:w="177" w:type="pct"/>
                  <w:vAlign w:val="center"/>
                </w:tcPr>
                <w:p w14:paraId="533A78EC">
                  <w:pPr>
                    <w:ind w:left="-105" w:leftChars="-50" w:right="-105" w:rightChars="-50"/>
                    <w:jc w:val="center"/>
                    <w:textAlignment w:val="center"/>
                    <w:rPr>
                      <w:kern w:val="0"/>
                      <w:szCs w:val="21"/>
                      <w:lang w:bidi="ar"/>
                    </w:rPr>
                  </w:pPr>
                  <w:r>
                    <w:rPr>
                      <w:rFonts w:hint="eastAsia"/>
                      <w:kern w:val="0"/>
                      <w:szCs w:val="21"/>
                      <w:lang w:bidi="ar"/>
                    </w:rPr>
                    <w:t>1</w:t>
                  </w:r>
                </w:p>
              </w:tc>
              <w:tc>
                <w:tcPr>
                  <w:tcW w:w="200" w:type="pct"/>
                  <w:vAlign w:val="center"/>
                </w:tcPr>
                <w:p w14:paraId="053DCB75">
                  <w:pPr>
                    <w:ind w:left="-105" w:leftChars="-50" w:right="-105" w:rightChars="-50"/>
                    <w:jc w:val="center"/>
                    <w:textAlignment w:val="center"/>
                    <w:rPr>
                      <w:szCs w:val="21"/>
                    </w:rPr>
                  </w:pPr>
                  <w:r>
                    <w:rPr>
                      <w:rFonts w:hint="eastAsia"/>
                      <w:kern w:val="0"/>
                      <w:szCs w:val="21"/>
                      <w:lang w:bidi="ar"/>
                    </w:rPr>
                    <w:t>5</w:t>
                  </w:r>
                </w:p>
              </w:tc>
              <w:tc>
                <w:tcPr>
                  <w:tcW w:w="424" w:type="pct"/>
                  <w:vAlign w:val="center"/>
                </w:tcPr>
                <w:p w14:paraId="2EB2F330">
                  <w:pPr>
                    <w:ind w:left="-105" w:leftChars="-50" w:right="-105" w:rightChars="-50"/>
                    <w:jc w:val="center"/>
                    <w:textAlignment w:val="center"/>
                    <w:rPr>
                      <w:szCs w:val="21"/>
                    </w:rPr>
                  </w:pPr>
                  <w:r>
                    <w:rPr>
                      <w:rFonts w:hint="eastAsia"/>
                      <w:kern w:val="0"/>
                      <w:szCs w:val="21"/>
                      <w:lang w:bidi="ar"/>
                    </w:rPr>
                    <w:t>72</w:t>
                  </w:r>
                  <w:r>
                    <w:rPr>
                      <w:kern w:val="0"/>
                      <w:szCs w:val="21"/>
                      <w:lang w:bidi="ar"/>
                    </w:rPr>
                    <w:t>.35</w:t>
                  </w:r>
                </w:p>
              </w:tc>
              <w:tc>
                <w:tcPr>
                  <w:tcW w:w="274" w:type="pct"/>
                  <w:vAlign w:val="center"/>
                </w:tcPr>
                <w:p w14:paraId="22284E4F">
                  <w:pPr>
                    <w:ind w:left="-105" w:leftChars="-50" w:right="-105" w:rightChars="-50"/>
                    <w:jc w:val="center"/>
                    <w:textAlignment w:val="center"/>
                    <w:rPr>
                      <w:szCs w:val="21"/>
                    </w:rPr>
                  </w:pPr>
                  <w:r>
                    <w:rPr>
                      <w:kern w:val="0"/>
                      <w:szCs w:val="21"/>
                      <w:lang w:bidi="ar"/>
                    </w:rPr>
                    <w:t>昼夜</w:t>
                  </w:r>
                </w:p>
              </w:tc>
              <w:tc>
                <w:tcPr>
                  <w:tcW w:w="424" w:type="pct"/>
                  <w:vAlign w:val="center"/>
                </w:tcPr>
                <w:p w14:paraId="7F50E651">
                  <w:pPr>
                    <w:ind w:left="-105" w:leftChars="-50" w:right="-105" w:rightChars="-50"/>
                    <w:jc w:val="center"/>
                    <w:textAlignment w:val="center"/>
                    <w:rPr>
                      <w:szCs w:val="21"/>
                    </w:rPr>
                  </w:pPr>
                  <w:r>
                    <w:rPr>
                      <w:bCs/>
                      <w:szCs w:val="21"/>
                    </w:rPr>
                    <w:t>20</w:t>
                  </w:r>
                </w:p>
              </w:tc>
              <w:tc>
                <w:tcPr>
                  <w:tcW w:w="482" w:type="pct"/>
                  <w:vAlign w:val="center"/>
                </w:tcPr>
                <w:p w14:paraId="5DA0A56A">
                  <w:pPr>
                    <w:ind w:left="-105" w:leftChars="-50" w:right="-105" w:rightChars="-50"/>
                    <w:jc w:val="center"/>
                    <w:textAlignment w:val="center"/>
                    <w:rPr>
                      <w:szCs w:val="21"/>
                    </w:rPr>
                  </w:pPr>
                  <w:r>
                    <w:rPr>
                      <w:rFonts w:hint="eastAsia"/>
                      <w:kern w:val="0"/>
                      <w:szCs w:val="21"/>
                      <w:lang w:bidi="ar"/>
                    </w:rPr>
                    <w:t>52</w:t>
                  </w:r>
                  <w:r>
                    <w:rPr>
                      <w:kern w:val="0"/>
                      <w:szCs w:val="21"/>
                      <w:lang w:bidi="ar"/>
                    </w:rPr>
                    <w:t>.35</w:t>
                  </w:r>
                </w:p>
              </w:tc>
              <w:tc>
                <w:tcPr>
                  <w:tcW w:w="381" w:type="pct"/>
                  <w:vMerge w:val="continue"/>
                  <w:vAlign w:val="center"/>
                </w:tcPr>
                <w:p w14:paraId="76F6B43D">
                  <w:pPr>
                    <w:widowControl/>
                    <w:ind w:left="-105" w:leftChars="-50" w:right="-105" w:rightChars="-50"/>
                    <w:jc w:val="center"/>
                    <w:textAlignment w:val="center"/>
                    <w:rPr>
                      <w:szCs w:val="21"/>
                    </w:rPr>
                  </w:pPr>
                </w:p>
              </w:tc>
            </w:tr>
            <w:tr w14:paraId="4FDB5F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3" w:type="pct"/>
                  <w:vMerge w:val="continue"/>
                  <w:vAlign w:val="center"/>
                </w:tcPr>
                <w:p w14:paraId="5C213F74">
                  <w:pPr>
                    <w:widowControl/>
                    <w:ind w:left="-105" w:leftChars="-50" w:right="-105" w:rightChars="-50"/>
                    <w:jc w:val="center"/>
                    <w:textAlignment w:val="center"/>
                    <w:rPr>
                      <w:kern w:val="0"/>
                      <w:szCs w:val="21"/>
                      <w:lang w:bidi="ar"/>
                    </w:rPr>
                  </w:pPr>
                </w:p>
              </w:tc>
              <w:tc>
                <w:tcPr>
                  <w:tcW w:w="321" w:type="pct"/>
                  <w:vAlign w:val="center"/>
                </w:tcPr>
                <w:p w14:paraId="028C202F">
                  <w:pPr>
                    <w:widowControl/>
                    <w:ind w:left="-105" w:leftChars="-50" w:right="-105" w:rightChars="-50"/>
                    <w:jc w:val="center"/>
                    <w:textAlignment w:val="center"/>
                    <w:rPr>
                      <w:kern w:val="0"/>
                      <w:szCs w:val="21"/>
                    </w:rPr>
                  </w:pPr>
                  <w:r>
                    <w:rPr>
                      <w:rFonts w:hint="eastAsia"/>
                      <w:bCs/>
                      <w:szCs w:val="21"/>
                    </w:rPr>
                    <w:t>尿素溶液输送泵</w:t>
                  </w:r>
                </w:p>
              </w:tc>
              <w:tc>
                <w:tcPr>
                  <w:tcW w:w="594" w:type="pct"/>
                  <w:vAlign w:val="center"/>
                </w:tcPr>
                <w:p w14:paraId="54BB52C9">
                  <w:pPr>
                    <w:widowControl/>
                    <w:ind w:left="-105" w:leftChars="-50" w:right="-105" w:rightChars="-50"/>
                    <w:jc w:val="center"/>
                    <w:textAlignment w:val="center"/>
                    <w:rPr>
                      <w:kern w:val="0"/>
                      <w:szCs w:val="21"/>
                    </w:rPr>
                  </w:pPr>
                  <w:r>
                    <w:rPr>
                      <w:kern w:val="0"/>
                      <w:szCs w:val="21"/>
                    </w:rPr>
                    <w:t>0.6m</w:t>
                  </w:r>
                  <w:r>
                    <w:rPr>
                      <w:kern w:val="0"/>
                      <w:szCs w:val="21"/>
                      <w:vertAlign w:val="superscript"/>
                    </w:rPr>
                    <w:t>3</w:t>
                  </w:r>
                  <w:r>
                    <w:rPr>
                      <w:kern w:val="0"/>
                      <w:szCs w:val="21"/>
                    </w:rPr>
                    <w:t>/hr</w:t>
                  </w:r>
                </w:p>
              </w:tc>
              <w:tc>
                <w:tcPr>
                  <w:tcW w:w="319" w:type="pct"/>
                  <w:vAlign w:val="center"/>
                </w:tcPr>
                <w:p w14:paraId="3163CD34">
                  <w:pPr>
                    <w:widowControl/>
                    <w:ind w:left="-105" w:leftChars="-50" w:right="-105" w:rightChars="-50"/>
                    <w:jc w:val="center"/>
                    <w:textAlignment w:val="center"/>
                    <w:rPr>
                      <w:kern w:val="0"/>
                      <w:szCs w:val="21"/>
                      <w:lang w:bidi="ar"/>
                    </w:rPr>
                  </w:pPr>
                  <w:r>
                    <w:rPr>
                      <w:rFonts w:hint="eastAsia"/>
                      <w:kern w:val="0"/>
                      <w:szCs w:val="21"/>
                      <w:lang w:bidi="ar"/>
                    </w:rPr>
                    <w:t>2</w:t>
                  </w:r>
                </w:p>
              </w:tc>
              <w:tc>
                <w:tcPr>
                  <w:tcW w:w="389" w:type="pct"/>
                  <w:vAlign w:val="center"/>
                </w:tcPr>
                <w:p w14:paraId="5CC408C0">
                  <w:pPr>
                    <w:widowControl/>
                    <w:ind w:left="-105" w:leftChars="-50" w:right="-105" w:rightChars="-50"/>
                    <w:jc w:val="center"/>
                    <w:textAlignment w:val="center"/>
                    <w:rPr>
                      <w:kern w:val="0"/>
                      <w:szCs w:val="21"/>
                      <w:lang w:bidi="ar"/>
                    </w:rPr>
                  </w:pPr>
                  <w:r>
                    <w:rPr>
                      <w:rFonts w:hint="eastAsia"/>
                      <w:bCs/>
                      <w:szCs w:val="21"/>
                    </w:rPr>
                    <w:t>80</w:t>
                  </w:r>
                </w:p>
              </w:tc>
              <w:tc>
                <w:tcPr>
                  <w:tcW w:w="319" w:type="pct"/>
                  <w:vMerge w:val="continue"/>
                  <w:vAlign w:val="center"/>
                </w:tcPr>
                <w:p w14:paraId="679084D1">
                  <w:pPr>
                    <w:ind w:left="-105" w:leftChars="-50" w:right="-105" w:rightChars="-50" w:firstLine="420"/>
                    <w:jc w:val="center"/>
                    <w:textAlignment w:val="center"/>
                    <w:rPr>
                      <w:kern w:val="0"/>
                      <w:szCs w:val="21"/>
                      <w:lang w:bidi="ar"/>
                    </w:rPr>
                  </w:pPr>
                </w:p>
              </w:tc>
              <w:tc>
                <w:tcPr>
                  <w:tcW w:w="256" w:type="pct"/>
                  <w:vAlign w:val="center"/>
                </w:tcPr>
                <w:p w14:paraId="2E442250">
                  <w:pPr>
                    <w:widowControl/>
                    <w:ind w:left="-105" w:leftChars="-50" w:right="-105" w:rightChars="-50"/>
                    <w:jc w:val="center"/>
                    <w:textAlignment w:val="center"/>
                    <w:rPr>
                      <w:kern w:val="0"/>
                      <w:szCs w:val="21"/>
                      <w:lang w:bidi="ar"/>
                    </w:rPr>
                  </w:pPr>
                  <w:r>
                    <w:rPr>
                      <w:rFonts w:hint="eastAsia"/>
                      <w:kern w:val="0"/>
                      <w:szCs w:val="21"/>
                      <w:lang w:bidi="ar"/>
                    </w:rPr>
                    <w:t>-20</w:t>
                  </w:r>
                </w:p>
              </w:tc>
              <w:tc>
                <w:tcPr>
                  <w:tcW w:w="247" w:type="pct"/>
                  <w:vAlign w:val="center"/>
                </w:tcPr>
                <w:p w14:paraId="06E52F7B">
                  <w:pPr>
                    <w:widowControl/>
                    <w:ind w:left="-105" w:leftChars="-50" w:right="-105" w:rightChars="-50"/>
                    <w:jc w:val="center"/>
                    <w:textAlignment w:val="center"/>
                    <w:rPr>
                      <w:kern w:val="0"/>
                      <w:szCs w:val="21"/>
                      <w:lang w:bidi="ar"/>
                    </w:rPr>
                  </w:pPr>
                  <w:r>
                    <w:rPr>
                      <w:rFonts w:hint="eastAsia"/>
                      <w:kern w:val="0"/>
                      <w:szCs w:val="21"/>
                      <w:lang w:bidi="ar"/>
                    </w:rPr>
                    <w:t>-15</w:t>
                  </w:r>
                </w:p>
              </w:tc>
              <w:tc>
                <w:tcPr>
                  <w:tcW w:w="177" w:type="pct"/>
                  <w:vAlign w:val="center"/>
                </w:tcPr>
                <w:p w14:paraId="215B420D">
                  <w:pPr>
                    <w:widowControl/>
                    <w:ind w:left="-105" w:leftChars="-50" w:right="-105" w:rightChars="-50"/>
                    <w:jc w:val="center"/>
                    <w:textAlignment w:val="center"/>
                    <w:rPr>
                      <w:kern w:val="0"/>
                      <w:szCs w:val="21"/>
                      <w:lang w:bidi="ar"/>
                    </w:rPr>
                  </w:pPr>
                  <w:r>
                    <w:rPr>
                      <w:rFonts w:hint="eastAsia"/>
                      <w:kern w:val="0"/>
                      <w:szCs w:val="21"/>
                      <w:lang w:bidi="ar"/>
                    </w:rPr>
                    <w:t>1</w:t>
                  </w:r>
                </w:p>
              </w:tc>
              <w:tc>
                <w:tcPr>
                  <w:tcW w:w="200" w:type="pct"/>
                  <w:vAlign w:val="center"/>
                </w:tcPr>
                <w:p w14:paraId="4501A153">
                  <w:pPr>
                    <w:widowControl/>
                    <w:ind w:left="-105" w:leftChars="-50" w:right="-105" w:rightChars="-50"/>
                    <w:jc w:val="center"/>
                    <w:textAlignment w:val="center"/>
                    <w:rPr>
                      <w:kern w:val="0"/>
                      <w:szCs w:val="21"/>
                      <w:lang w:bidi="ar"/>
                    </w:rPr>
                  </w:pPr>
                  <w:r>
                    <w:rPr>
                      <w:rFonts w:hint="eastAsia"/>
                      <w:kern w:val="0"/>
                      <w:szCs w:val="21"/>
                      <w:lang w:bidi="ar"/>
                    </w:rPr>
                    <w:t>5</w:t>
                  </w:r>
                </w:p>
              </w:tc>
              <w:tc>
                <w:tcPr>
                  <w:tcW w:w="424" w:type="pct"/>
                  <w:vAlign w:val="center"/>
                </w:tcPr>
                <w:p w14:paraId="6A96B442">
                  <w:pPr>
                    <w:widowControl/>
                    <w:ind w:left="-105" w:leftChars="-50" w:right="-105" w:rightChars="-50"/>
                    <w:jc w:val="center"/>
                    <w:textAlignment w:val="center"/>
                    <w:rPr>
                      <w:kern w:val="0"/>
                      <w:szCs w:val="21"/>
                      <w:lang w:bidi="ar"/>
                    </w:rPr>
                  </w:pPr>
                  <w:r>
                    <w:rPr>
                      <w:rFonts w:hint="eastAsia"/>
                      <w:kern w:val="0"/>
                      <w:szCs w:val="21"/>
                      <w:lang w:bidi="ar"/>
                    </w:rPr>
                    <w:t>72.35</w:t>
                  </w:r>
                </w:p>
              </w:tc>
              <w:tc>
                <w:tcPr>
                  <w:tcW w:w="274" w:type="pct"/>
                  <w:vAlign w:val="center"/>
                </w:tcPr>
                <w:p w14:paraId="328E3047">
                  <w:pPr>
                    <w:widowControl/>
                    <w:ind w:left="-105" w:leftChars="-50" w:right="-105" w:rightChars="-50"/>
                    <w:jc w:val="center"/>
                    <w:textAlignment w:val="center"/>
                    <w:rPr>
                      <w:kern w:val="0"/>
                      <w:szCs w:val="21"/>
                      <w:lang w:bidi="ar"/>
                    </w:rPr>
                  </w:pPr>
                  <w:r>
                    <w:rPr>
                      <w:kern w:val="0"/>
                      <w:szCs w:val="21"/>
                      <w:lang w:bidi="ar"/>
                    </w:rPr>
                    <w:t>昼夜</w:t>
                  </w:r>
                </w:p>
              </w:tc>
              <w:tc>
                <w:tcPr>
                  <w:tcW w:w="424" w:type="pct"/>
                  <w:vAlign w:val="center"/>
                </w:tcPr>
                <w:p w14:paraId="13DEE7A4">
                  <w:pPr>
                    <w:widowControl/>
                    <w:ind w:left="-105" w:leftChars="-50" w:right="-105" w:rightChars="-50"/>
                    <w:jc w:val="center"/>
                    <w:textAlignment w:val="center"/>
                    <w:rPr>
                      <w:kern w:val="0"/>
                      <w:szCs w:val="21"/>
                      <w:lang w:bidi="ar"/>
                    </w:rPr>
                  </w:pPr>
                  <w:r>
                    <w:rPr>
                      <w:bCs/>
                      <w:szCs w:val="21"/>
                    </w:rPr>
                    <w:t>20</w:t>
                  </w:r>
                </w:p>
              </w:tc>
              <w:tc>
                <w:tcPr>
                  <w:tcW w:w="482" w:type="pct"/>
                  <w:vAlign w:val="center"/>
                </w:tcPr>
                <w:p w14:paraId="69693BDE">
                  <w:pPr>
                    <w:widowControl/>
                    <w:ind w:left="-105" w:leftChars="-50" w:right="-105" w:rightChars="-50"/>
                    <w:jc w:val="center"/>
                    <w:textAlignment w:val="center"/>
                    <w:rPr>
                      <w:kern w:val="0"/>
                      <w:szCs w:val="21"/>
                      <w:lang w:bidi="ar"/>
                    </w:rPr>
                  </w:pPr>
                  <w:r>
                    <w:rPr>
                      <w:rFonts w:hint="eastAsia"/>
                      <w:kern w:val="0"/>
                      <w:szCs w:val="21"/>
                      <w:lang w:bidi="ar"/>
                    </w:rPr>
                    <w:t>52.35</w:t>
                  </w:r>
                </w:p>
              </w:tc>
              <w:tc>
                <w:tcPr>
                  <w:tcW w:w="381" w:type="pct"/>
                  <w:vMerge w:val="continue"/>
                  <w:vAlign w:val="center"/>
                </w:tcPr>
                <w:p w14:paraId="052AA3D2">
                  <w:pPr>
                    <w:widowControl/>
                    <w:ind w:left="-105" w:leftChars="-50" w:right="-105" w:rightChars="-50"/>
                    <w:jc w:val="center"/>
                    <w:textAlignment w:val="center"/>
                    <w:rPr>
                      <w:szCs w:val="21"/>
                    </w:rPr>
                  </w:pPr>
                </w:p>
              </w:tc>
            </w:tr>
            <w:tr w14:paraId="3CDE26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3" w:type="pct"/>
                  <w:vMerge w:val="continue"/>
                  <w:vAlign w:val="center"/>
                </w:tcPr>
                <w:p w14:paraId="2DED3070">
                  <w:pPr>
                    <w:widowControl/>
                    <w:ind w:left="-105" w:leftChars="-50" w:right="-105" w:rightChars="-50"/>
                    <w:jc w:val="center"/>
                    <w:textAlignment w:val="center"/>
                    <w:rPr>
                      <w:kern w:val="0"/>
                      <w:szCs w:val="21"/>
                      <w:lang w:bidi="ar"/>
                    </w:rPr>
                  </w:pPr>
                </w:p>
              </w:tc>
              <w:tc>
                <w:tcPr>
                  <w:tcW w:w="321" w:type="pct"/>
                  <w:vAlign w:val="center"/>
                </w:tcPr>
                <w:p w14:paraId="7F680376">
                  <w:pPr>
                    <w:widowControl/>
                    <w:ind w:left="-105" w:leftChars="-50" w:right="-105" w:rightChars="-50"/>
                    <w:jc w:val="center"/>
                    <w:textAlignment w:val="center"/>
                    <w:rPr>
                      <w:kern w:val="0"/>
                      <w:szCs w:val="21"/>
                    </w:rPr>
                  </w:pPr>
                  <w:r>
                    <w:rPr>
                      <w:rFonts w:hint="eastAsia"/>
                      <w:kern w:val="0"/>
                      <w:szCs w:val="21"/>
                    </w:rPr>
                    <w:t>尿素溶液转运泵</w:t>
                  </w:r>
                </w:p>
              </w:tc>
              <w:tc>
                <w:tcPr>
                  <w:tcW w:w="594" w:type="pct"/>
                  <w:vAlign w:val="center"/>
                </w:tcPr>
                <w:p w14:paraId="5459D0B5">
                  <w:pPr>
                    <w:widowControl/>
                    <w:ind w:left="-105" w:leftChars="-50" w:right="-105" w:rightChars="-50"/>
                    <w:jc w:val="center"/>
                    <w:textAlignment w:val="center"/>
                    <w:rPr>
                      <w:kern w:val="0"/>
                      <w:szCs w:val="21"/>
                    </w:rPr>
                  </w:pPr>
                  <w:r>
                    <w:rPr>
                      <w:kern w:val="0"/>
                      <w:szCs w:val="21"/>
                    </w:rPr>
                    <w:t>2m</w:t>
                  </w:r>
                  <w:r>
                    <w:rPr>
                      <w:kern w:val="0"/>
                      <w:szCs w:val="21"/>
                      <w:vertAlign w:val="superscript"/>
                    </w:rPr>
                    <w:t>3</w:t>
                  </w:r>
                  <w:r>
                    <w:rPr>
                      <w:kern w:val="0"/>
                      <w:szCs w:val="21"/>
                    </w:rPr>
                    <w:t>/hr</w:t>
                  </w:r>
                </w:p>
              </w:tc>
              <w:tc>
                <w:tcPr>
                  <w:tcW w:w="319" w:type="pct"/>
                  <w:vAlign w:val="center"/>
                </w:tcPr>
                <w:p w14:paraId="14A89FED">
                  <w:pPr>
                    <w:widowControl/>
                    <w:ind w:left="-105" w:leftChars="-50" w:right="-105" w:rightChars="-50"/>
                    <w:jc w:val="center"/>
                    <w:textAlignment w:val="center"/>
                    <w:rPr>
                      <w:kern w:val="0"/>
                      <w:szCs w:val="21"/>
                      <w:lang w:bidi="ar"/>
                    </w:rPr>
                  </w:pPr>
                  <w:r>
                    <w:rPr>
                      <w:rFonts w:hint="eastAsia"/>
                      <w:kern w:val="0"/>
                      <w:szCs w:val="21"/>
                      <w:lang w:bidi="ar"/>
                    </w:rPr>
                    <w:t>2</w:t>
                  </w:r>
                </w:p>
              </w:tc>
              <w:tc>
                <w:tcPr>
                  <w:tcW w:w="389" w:type="pct"/>
                  <w:vAlign w:val="center"/>
                </w:tcPr>
                <w:p w14:paraId="240BF75A">
                  <w:pPr>
                    <w:widowControl/>
                    <w:ind w:left="-105" w:leftChars="-50" w:right="-105" w:rightChars="-50"/>
                    <w:jc w:val="center"/>
                    <w:textAlignment w:val="center"/>
                    <w:rPr>
                      <w:kern w:val="0"/>
                      <w:szCs w:val="21"/>
                      <w:lang w:bidi="ar"/>
                    </w:rPr>
                  </w:pPr>
                  <w:r>
                    <w:rPr>
                      <w:rFonts w:hint="eastAsia"/>
                      <w:kern w:val="0"/>
                      <w:szCs w:val="21"/>
                      <w:lang w:bidi="ar"/>
                    </w:rPr>
                    <w:t>80</w:t>
                  </w:r>
                </w:p>
              </w:tc>
              <w:tc>
                <w:tcPr>
                  <w:tcW w:w="319" w:type="pct"/>
                  <w:vMerge w:val="continue"/>
                  <w:vAlign w:val="center"/>
                </w:tcPr>
                <w:p w14:paraId="7A1D10A2">
                  <w:pPr>
                    <w:ind w:left="-105" w:leftChars="-50" w:right="-105" w:rightChars="-50" w:firstLine="420"/>
                    <w:jc w:val="center"/>
                    <w:textAlignment w:val="center"/>
                    <w:rPr>
                      <w:kern w:val="0"/>
                      <w:szCs w:val="21"/>
                      <w:lang w:bidi="ar"/>
                    </w:rPr>
                  </w:pPr>
                </w:p>
              </w:tc>
              <w:tc>
                <w:tcPr>
                  <w:tcW w:w="256" w:type="pct"/>
                  <w:vAlign w:val="center"/>
                </w:tcPr>
                <w:p w14:paraId="481407FE">
                  <w:pPr>
                    <w:widowControl/>
                    <w:ind w:left="-105" w:leftChars="-50" w:right="-105" w:rightChars="-50"/>
                    <w:jc w:val="center"/>
                    <w:textAlignment w:val="center"/>
                    <w:rPr>
                      <w:kern w:val="0"/>
                      <w:szCs w:val="21"/>
                      <w:lang w:bidi="ar"/>
                    </w:rPr>
                  </w:pPr>
                  <w:r>
                    <w:rPr>
                      <w:rFonts w:hint="eastAsia"/>
                      <w:kern w:val="0"/>
                      <w:szCs w:val="21"/>
                      <w:lang w:bidi="ar"/>
                    </w:rPr>
                    <w:t>-20</w:t>
                  </w:r>
                </w:p>
              </w:tc>
              <w:tc>
                <w:tcPr>
                  <w:tcW w:w="247" w:type="pct"/>
                  <w:vAlign w:val="center"/>
                </w:tcPr>
                <w:p w14:paraId="43837FE7">
                  <w:pPr>
                    <w:widowControl/>
                    <w:ind w:left="-105" w:leftChars="-50" w:right="-105" w:rightChars="-50"/>
                    <w:jc w:val="center"/>
                    <w:textAlignment w:val="center"/>
                    <w:rPr>
                      <w:kern w:val="0"/>
                      <w:szCs w:val="21"/>
                      <w:lang w:bidi="ar"/>
                    </w:rPr>
                  </w:pPr>
                  <w:r>
                    <w:rPr>
                      <w:rFonts w:hint="eastAsia"/>
                      <w:kern w:val="0"/>
                      <w:szCs w:val="21"/>
                      <w:lang w:bidi="ar"/>
                    </w:rPr>
                    <w:t>-12</w:t>
                  </w:r>
                </w:p>
              </w:tc>
              <w:tc>
                <w:tcPr>
                  <w:tcW w:w="177" w:type="pct"/>
                  <w:vAlign w:val="center"/>
                </w:tcPr>
                <w:p w14:paraId="26CE9896">
                  <w:pPr>
                    <w:widowControl/>
                    <w:ind w:left="-105" w:leftChars="-50" w:right="-105" w:rightChars="-50"/>
                    <w:jc w:val="center"/>
                    <w:textAlignment w:val="center"/>
                    <w:rPr>
                      <w:kern w:val="0"/>
                      <w:szCs w:val="21"/>
                      <w:lang w:bidi="ar"/>
                    </w:rPr>
                  </w:pPr>
                  <w:r>
                    <w:rPr>
                      <w:rFonts w:hint="eastAsia"/>
                      <w:kern w:val="0"/>
                      <w:szCs w:val="21"/>
                      <w:lang w:bidi="ar"/>
                    </w:rPr>
                    <w:t>1</w:t>
                  </w:r>
                </w:p>
              </w:tc>
              <w:tc>
                <w:tcPr>
                  <w:tcW w:w="200" w:type="pct"/>
                  <w:vAlign w:val="center"/>
                </w:tcPr>
                <w:p w14:paraId="5EC079E6">
                  <w:pPr>
                    <w:widowControl/>
                    <w:ind w:left="-105" w:leftChars="-50" w:right="-105" w:rightChars="-50"/>
                    <w:jc w:val="center"/>
                    <w:textAlignment w:val="center"/>
                    <w:rPr>
                      <w:kern w:val="0"/>
                      <w:szCs w:val="21"/>
                      <w:lang w:bidi="ar"/>
                    </w:rPr>
                  </w:pPr>
                  <w:r>
                    <w:rPr>
                      <w:rFonts w:hint="eastAsia"/>
                      <w:kern w:val="0"/>
                      <w:szCs w:val="21"/>
                      <w:lang w:bidi="ar"/>
                    </w:rPr>
                    <w:t>5</w:t>
                  </w:r>
                </w:p>
              </w:tc>
              <w:tc>
                <w:tcPr>
                  <w:tcW w:w="424" w:type="pct"/>
                  <w:vAlign w:val="center"/>
                </w:tcPr>
                <w:p w14:paraId="19114A5E">
                  <w:pPr>
                    <w:widowControl/>
                    <w:ind w:left="-105" w:leftChars="-50" w:right="-105" w:rightChars="-50"/>
                    <w:jc w:val="center"/>
                    <w:textAlignment w:val="center"/>
                    <w:rPr>
                      <w:kern w:val="0"/>
                      <w:szCs w:val="21"/>
                      <w:lang w:bidi="ar"/>
                    </w:rPr>
                  </w:pPr>
                  <w:r>
                    <w:rPr>
                      <w:kern w:val="0"/>
                      <w:szCs w:val="21"/>
                      <w:lang w:bidi="ar"/>
                    </w:rPr>
                    <w:t>72.35</w:t>
                  </w:r>
                </w:p>
              </w:tc>
              <w:tc>
                <w:tcPr>
                  <w:tcW w:w="274" w:type="pct"/>
                  <w:vAlign w:val="center"/>
                </w:tcPr>
                <w:p w14:paraId="475EBB82">
                  <w:pPr>
                    <w:widowControl/>
                    <w:ind w:left="-105" w:leftChars="-50" w:right="-105" w:rightChars="-50"/>
                    <w:jc w:val="center"/>
                    <w:textAlignment w:val="center"/>
                    <w:rPr>
                      <w:kern w:val="0"/>
                      <w:szCs w:val="21"/>
                      <w:lang w:bidi="ar"/>
                    </w:rPr>
                  </w:pPr>
                  <w:r>
                    <w:rPr>
                      <w:kern w:val="0"/>
                      <w:szCs w:val="21"/>
                      <w:lang w:bidi="ar"/>
                    </w:rPr>
                    <w:t>昼夜</w:t>
                  </w:r>
                </w:p>
              </w:tc>
              <w:tc>
                <w:tcPr>
                  <w:tcW w:w="424" w:type="pct"/>
                  <w:vAlign w:val="center"/>
                </w:tcPr>
                <w:p w14:paraId="184C4F62">
                  <w:pPr>
                    <w:widowControl/>
                    <w:ind w:left="-105" w:leftChars="-50" w:right="-105" w:rightChars="-50"/>
                    <w:jc w:val="center"/>
                    <w:textAlignment w:val="center"/>
                    <w:rPr>
                      <w:kern w:val="0"/>
                      <w:szCs w:val="21"/>
                      <w:lang w:bidi="ar"/>
                    </w:rPr>
                  </w:pPr>
                  <w:r>
                    <w:rPr>
                      <w:bCs/>
                      <w:szCs w:val="21"/>
                    </w:rPr>
                    <w:t>20</w:t>
                  </w:r>
                </w:p>
              </w:tc>
              <w:tc>
                <w:tcPr>
                  <w:tcW w:w="482" w:type="pct"/>
                  <w:vAlign w:val="center"/>
                </w:tcPr>
                <w:p w14:paraId="428E1E52">
                  <w:pPr>
                    <w:widowControl/>
                    <w:ind w:left="-105" w:leftChars="-50" w:right="-105" w:rightChars="-50"/>
                    <w:jc w:val="center"/>
                    <w:textAlignment w:val="center"/>
                    <w:rPr>
                      <w:kern w:val="0"/>
                      <w:szCs w:val="21"/>
                      <w:lang w:bidi="ar"/>
                    </w:rPr>
                  </w:pPr>
                  <w:r>
                    <w:rPr>
                      <w:kern w:val="0"/>
                      <w:szCs w:val="21"/>
                      <w:lang w:bidi="ar"/>
                    </w:rPr>
                    <w:t>52.35</w:t>
                  </w:r>
                </w:p>
              </w:tc>
              <w:tc>
                <w:tcPr>
                  <w:tcW w:w="381" w:type="pct"/>
                  <w:vMerge w:val="continue"/>
                  <w:vAlign w:val="center"/>
                </w:tcPr>
                <w:p w14:paraId="612E00B6">
                  <w:pPr>
                    <w:widowControl/>
                    <w:ind w:left="-105" w:leftChars="-50" w:right="-105" w:rightChars="-50"/>
                    <w:jc w:val="center"/>
                    <w:textAlignment w:val="center"/>
                    <w:rPr>
                      <w:szCs w:val="21"/>
                    </w:rPr>
                  </w:pPr>
                </w:p>
              </w:tc>
            </w:tr>
            <w:tr w14:paraId="77D9BE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3" w:type="pct"/>
                  <w:vMerge w:val="continue"/>
                  <w:vAlign w:val="center"/>
                </w:tcPr>
                <w:p w14:paraId="0C8EEE4C">
                  <w:pPr>
                    <w:widowControl/>
                    <w:ind w:left="-105" w:leftChars="-50" w:right="-105" w:rightChars="-50"/>
                    <w:jc w:val="center"/>
                    <w:textAlignment w:val="center"/>
                    <w:rPr>
                      <w:kern w:val="0"/>
                      <w:szCs w:val="21"/>
                      <w:lang w:bidi="ar"/>
                    </w:rPr>
                  </w:pPr>
                </w:p>
              </w:tc>
              <w:tc>
                <w:tcPr>
                  <w:tcW w:w="321" w:type="pct"/>
                  <w:vAlign w:val="center"/>
                </w:tcPr>
                <w:p w14:paraId="62589600">
                  <w:pPr>
                    <w:widowControl/>
                    <w:ind w:left="-105" w:leftChars="-50" w:right="-105" w:rightChars="-50"/>
                    <w:jc w:val="center"/>
                    <w:textAlignment w:val="center"/>
                    <w:rPr>
                      <w:kern w:val="0"/>
                      <w:szCs w:val="21"/>
                    </w:rPr>
                  </w:pPr>
                  <w:r>
                    <w:rPr>
                      <w:rFonts w:hint="eastAsia"/>
                      <w:kern w:val="0"/>
                      <w:szCs w:val="21"/>
                    </w:rPr>
                    <w:t>稀释风机</w:t>
                  </w:r>
                </w:p>
              </w:tc>
              <w:tc>
                <w:tcPr>
                  <w:tcW w:w="594" w:type="pct"/>
                  <w:vAlign w:val="center"/>
                </w:tcPr>
                <w:p w14:paraId="7B7F6745">
                  <w:pPr>
                    <w:widowControl/>
                    <w:ind w:left="-105" w:leftChars="-50" w:right="-105" w:rightChars="-50"/>
                    <w:jc w:val="center"/>
                    <w:textAlignment w:val="center"/>
                    <w:rPr>
                      <w:kern w:val="0"/>
                      <w:szCs w:val="21"/>
                    </w:rPr>
                  </w:pPr>
                  <w:r>
                    <w:rPr>
                      <w:kern w:val="0"/>
                      <w:szCs w:val="21"/>
                    </w:rPr>
                    <w:t>350m</w:t>
                  </w:r>
                  <w:r>
                    <w:rPr>
                      <w:kern w:val="0"/>
                      <w:szCs w:val="21"/>
                      <w:vertAlign w:val="superscript"/>
                    </w:rPr>
                    <w:t>3</w:t>
                  </w:r>
                  <w:r>
                    <w:rPr>
                      <w:kern w:val="0"/>
                      <w:szCs w:val="21"/>
                    </w:rPr>
                    <w:t>/h</w:t>
                  </w:r>
                </w:p>
              </w:tc>
              <w:tc>
                <w:tcPr>
                  <w:tcW w:w="319" w:type="pct"/>
                  <w:vAlign w:val="center"/>
                </w:tcPr>
                <w:p w14:paraId="61A9CA22">
                  <w:pPr>
                    <w:widowControl/>
                    <w:ind w:left="-105" w:leftChars="-50" w:right="-105" w:rightChars="-50"/>
                    <w:jc w:val="center"/>
                    <w:textAlignment w:val="center"/>
                    <w:rPr>
                      <w:kern w:val="0"/>
                      <w:szCs w:val="21"/>
                      <w:lang w:bidi="ar"/>
                    </w:rPr>
                  </w:pPr>
                  <w:r>
                    <w:rPr>
                      <w:rFonts w:hint="eastAsia"/>
                      <w:kern w:val="0"/>
                      <w:szCs w:val="21"/>
                      <w:lang w:bidi="ar"/>
                    </w:rPr>
                    <w:t>6</w:t>
                  </w:r>
                </w:p>
              </w:tc>
              <w:tc>
                <w:tcPr>
                  <w:tcW w:w="389" w:type="pct"/>
                  <w:vAlign w:val="center"/>
                </w:tcPr>
                <w:p w14:paraId="49BC7529">
                  <w:pPr>
                    <w:widowControl/>
                    <w:ind w:left="-105" w:leftChars="-50" w:right="-105" w:rightChars="-50"/>
                    <w:jc w:val="center"/>
                    <w:textAlignment w:val="center"/>
                    <w:rPr>
                      <w:kern w:val="0"/>
                      <w:szCs w:val="21"/>
                      <w:lang w:bidi="ar"/>
                    </w:rPr>
                  </w:pPr>
                  <w:r>
                    <w:rPr>
                      <w:rFonts w:hint="eastAsia"/>
                      <w:kern w:val="0"/>
                      <w:szCs w:val="21"/>
                      <w:lang w:bidi="ar"/>
                    </w:rPr>
                    <w:t>85</w:t>
                  </w:r>
                </w:p>
              </w:tc>
              <w:tc>
                <w:tcPr>
                  <w:tcW w:w="319" w:type="pct"/>
                  <w:vMerge w:val="continue"/>
                  <w:vAlign w:val="center"/>
                </w:tcPr>
                <w:p w14:paraId="5DE77491">
                  <w:pPr>
                    <w:ind w:left="-105" w:leftChars="-50" w:right="-105" w:rightChars="-50" w:firstLine="420"/>
                    <w:jc w:val="center"/>
                    <w:textAlignment w:val="center"/>
                    <w:rPr>
                      <w:kern w:val="0"/>
                      <w:szCs w:val="21"/>
                      <w:lang w:bidi="ar"/>
                    </w:rPr>
                  </w:pPr>
                </w:p>
              </w:tc>
              <w:tc>
                <w:tcPr>
                  <w:tcW w:w="256" w:type="pct"/>
                  <w:vAlign w:val="center"/>
                </w:tcPr>
                <w:p w14:paraId="136FD43E">
                  <w:pPr>
                    <w:widowControl/>
                    <w:ind w:left="-105" w:leftChars="-50" w:right="-105" w:rightChars="-50"/>
                    <w:jc w:val="center"/>
                    <w:textAlignment w:val="center"/>
                    <w:rPr>
                      <w:kern w:val="0"/>
                      <w:szCs w:val="21"/>
                      <w:lang w:bidi="ar"/>
                    </w:rPr>
                  </w:pPr>
                  <w:r>
                    <w:rPr>
                      <w:rFonts w:hint="eastAsia"/>
                      <w:kern w:val="0"/>
                      <w:szCs w:val="21"/>
                      <w:lang w:bidi="ar"/>
                    </w:rPr>
                    <w:t>-20</w:t>
                  </w:r>
                </w:p>
              </w:tc>
              <w:tc>
                <w:tcPr>
                  <w:tcW w:w="247" w:type="pct"/>
                  <w:vAlign w:val="center"/>
                </w:tcPr>
                <w:p w14:paraId="442E01C6">
                  <w:pPr>
                    <w:widowControl/>
                    <w:ind w:left="-105" w:leftChars="-50" w:right="-105" w:rightChars="-50"/>
                    <w:jc w:val="center"/>
                    <w:textAlignment w:val="center"/>
                    <w:rPr>
                      <w:kern w:val="0"/>
                      <w:szCs w:val="21"/>
                      <w:lang w:bidi="ar"/>
                    </w:rPr>
                  </w:pPr>
                  <w:r>
                    <w:rPr>
                      <w:rFonts w:hint="eastAsia"/>
                      <w:kern w:val="0"/>
                      <w:szCs w:val="21"/>
                      <w:lang w:bidi="ar"/>
                    </w:rPr>
                    <w:t>5</w:t>
                  </w:r>
                </w:p>
              </w:tc>
              <w:tc>
                <w:tcPr>
                  <w:tcW w:w="177" w:type="pct"/>
                  <w:vAlign w:val="center"/>
                </w:tcPr>
                <w:p w14:paraId="3406EC10">
                  <w:pPr>
                    <w:widowControl/>
                    <w:ind w:left="-105" w:leftChars="-50" w:right="-105" w:rightChars="-50"/>
                    <w:jc w:val="center"/>
                    <w:textAlignment w:val="center"/>
                    <w:rPr>
                      <w:kern w:val="0"/>
                      <w:szCs w:val="21"/>
                      <w:lang w:bidi="ar"/>
                    </w:rPr>
                  </w:pPr>
                  <w:r>
                    <w:rPr>
                      <w:rFonts w:hint="eastAsia"/>
                      <w:kern w:val="0"/>
                      <w:szCs w:val="21"/>
                      <w:lang w:bidi="ar"/>
                    </w:rPr>
                    <w:t>1</w:t>
                  </w:r>
                </w:p>
              </w:tc>
              <w:tc>
                <w:tcPr>
                  <w:tcW w:w="200" w:type="pct"/>
                  <w:vAlign w:val="center"/>
                </w:tcPr>
                <w:p w14:paraId="089AE135">
                  <w:pPr>
                    <w:widowControl/>
                    <w:ind w:left="-105" w:leftChars="-50" w:right="-105" w:rightChars="-50"/>
                    <w:jc w:val="center"/>
                    <w:textAlignment w:val="center"/>
                    <w:rPr>
                      <w:kern w:val="0"/>
                      <w:szCs w:val="21"/>
                      <w:lang w:bidi="ar"/>
                    </w:rPr>
                  </w:pPr>
                  <w:r>
                    <w:rPr>
                      <w:rFonts w:hint="eastAsia"/>
                      <w:kern w:val="0"/>
                      <w:szCs w:val="21"/>
                      <w:lang w:bidi="ar"/>
                    </w:rPr>
                    <w:t>5</w:t>
                  </w:r>
                </w:p>
              </w:tc>
              <w:tc>
                <w:tcPr>
                  <w:tcW w:w="424" w:type="pct"/>
                  <w:vAlign w:val="center"/>
                </w:tcPr>
                <w:p w14:paraId="38BE54FE">
                  <w:pPr>
                    <w:widowControl/>
                    <w:ind w:left="-105" w:leftChars="-50" w:right="-105" w:rightChars="-50"/>
                    <w:jc w:val="center"/>
                    <w:textAlignment w:val="center"/>
                    <w:rPr>
                      <w:kern w:val="0"/>
                      <w:szCs w:val="21"/>
                      <w:lang w:bidi="ar"/>
                    </w:rPr>
                  </w:pPr>
                  <w:r>
                    <w:rPr>
                      <w:kern w:val="0"/>
                      <w:szCs w:val="21"/>
                      <w:lang w:bidi="ar"/>
                    </w:rPr>
                    <w:t>77.86</w:t>
                  </w:r>
                </w:p>
              </w:tc>
              <w:tc>
                <w:tcPr>
                  <w:tcW w:w="274" w:type="pct"/>
                  <w:vAlign w:val="center"/>
                </w:tcPr>
                <w:p w14:paraId="78CF6A96">
                  <w:pPr>
                    <w:widowControl/>
                    <w:ind w:left="-105" w:leftChars="-50" w:right="-105" w:rightChars="-50"/>
                    <w:jc w:val="center"/>
                    <w:textAlignment w:val="center"/>
                    <w:rPr>
                      <w:kern w:val="0"/>
                      <w:szCs w:val="21"/>
                      <w:lang w:bidi="ar"/>
                    </w:rPr>
                  </w:pPr>
                  <w:r>
                    <w:rPr>
                      <w:kern w:val="0"/>
                      <w:szCs w:val="21"/>
                      <w:lang w:bidi="ar"/>
                    </w:rPr>
                    <w:t>昼夜</w:t>
                  </w:r>
                </w:p>
              </w:tc>
              <w:tc>
                <w:tcPr>
                  <w:tcW w:w="424" w:type="pct"/>
                  <w:vAlign w:val="center"/>
                </w:tcPr>
                <w:p w14:paraId="48390649">
                  <w:pPr>
                    <w:widowControl/>
                    <w:ind w:left="-105" w:leftChars="-50" w:right="-105" w:rightChars="-50"/>
                    <w:jc w:val="center"/>
                    <w:textAlignment w:val="center"/>
                    <w:rPr>
                      <w:kern w:val="0"/>
                      <w:szCs w:val="21"/>
                      <w:lang w:bidi="ar"/>
                    </w:rPr>
                  </w:pPr>
                  <w:r>
                    <w:rPr>
                      <w:bCs/>
                      <w:szCs w:val="21"/>
                    </w:rPr>
                    <w:t>20</w:t>
                  </w:r>
                </w:p>
              </w:tc>
              <w:tc>
                <w:tcPr>
                  <w:tcW w:w="482" w:type="pct"/>
                  <w:vAlign w:val="center"/>
                </w:tcPr>
                <w:p w14:paraId="4EB2F9DB">
                  <w:pPr>
                    <w:widowControl/>
                    <w:ind w:left="-105" w:leftChars="-50" w:right="-105" w:rightChars="-50"/>
                    <w:jc w:val="center"/>
                    <w:textAlignment w:val="center"/>
                    <w:rPr>
                      <w:kern w:val="0"/>
                      <w:szCs w:val="21"/>
                      <w:lang w:bidi="ar"/>
                    </w:rPr>
                  </w:pPr>
                  <w:r>
                    <w:rPr>
                      <w:rFonts w:hint="eastAsia"/>
                      <w:kern w:val="0"/>
                      <w:szCs w:val="21"/>
                      <w:lang w:bidi="ar"/>
                    </w:rPr>
                    <w:t>57.86</w:t>
                  </w:r>
                </w:p>
              </w:tc>
              <w:tc>
                <w:tcPr>
                  <w:tcW w:w="381" w:type="pct"/>
                  <w:vMerge w:val="continue"/>
                  <w:vAlign w:val="center"/>
                </w:tcPr>
                <w:p w14:paraId="43283082">
                  <w:pPr>
                    <w:widowControl/>
                    <w:ind w:left="-105" w:leftChars="-50" w:right="-105" w:rightChars="-50"/>
                    <w:jc w:val="center"/>
                    <w:textAlignment w:val="center"/>
                    <w:rPr>
                      <w:szCs w:val="21"/>
                    </w:rPr>
                  </w:pPr>
                </w:p>
              </w:tc>
            </w:tr>
            <w:tr w14:paraId="33A991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3" w:type="pct"/>
                  <w:vMerge w:val="restart"/>
                  <w:vAlign w:val="center"/>
                </w:tcPr>
                <w:p w14:paraId="2C89BB15">
                  <w:pPr>
                    <w:widowControl/>
                    <w:ind w:left="-105" w:leftChars="-50" w:right="-105" w:rightChars="-50"/>
                    <w:jc w:val="center"/>
                    <w:textAlignment w:val="center"/>
                    <w:rPr>
                      <w:kern w:val="0"/>
                      <w:szCs w:val="21"/>
                      <w:lang w:bidi="ar"/>
                    </w:rPr>
                  </w:pPr>
                  <w:r>
                    <w:rPr>
                      <w:rFonts w:hint="eastAsia"/>
                      <w:kern w:val="0"/>
                      <w:szCs w:val="21"/>
                      <w:lang w:bidi="ar"/>
                    </w:rPr>
                    <w:t>脱硫间</w:t>
                  </w:r>
                </w:p>
              </w:tc>
              <w:tc>
                <w:tcPr>
                  <w:tcW w:w="321" w:type="pct"/>
                  <w:vAlign w:val="center"/>
                </w:tcPr>
                <w:p w14:paraId="3ADAE913">
                  <w:pPr>
                    <w:widowControl/>
                    <w:ind w:left="-105" w:leftChars="-50" w:right="-105" w:rightChars="-50"/>
                    <w:jc w:val="center"/>
                    <w:textAlignment w:val="center"/>
                    <w:rPr>
                      <w:kern w:val="0"/>
                      <w:szCs w:val="21"/>
                    </w:rPr>
                  </w:pPr>
                  <w:r>
                    <w:rPr>
                      <w:rFonts w:hint="eastAsia"/>
                      <w:kern w:val="0"/>
                      <w:szCs w:val="21"/>
                    </w:rPr>
                    <w:t>管式曝气器</w:t>
                  </w:r>
                </w:p>
              </w:tc>
              <w:tc>
                <w:tcPr>
                  <w:tcW w:w="594" w:type="pct"/>
                  <w:vAlign w:val="center"/>
                </w:tcPr>
                <w:p w14:paraId="7B2C4C93">
                  <w:pPr>
                    <w:widowControl/>
                    <w:ind w:left="-105" w:leftChars="-50" w:right="-105" w:rightChars="-50"/>
                    <w:jc w:val="center"/>
                    <w:textAlignment w:val="center"/>
                    <w:rPr>
                      <w:kern w:val="0"/>
                      <w:szCs w:val="21"/>
                    </w:rPr>
                  </w:pPr>
                  <w:r>
                    <w:rPr>
                      <w:rFonts w:hint="eastAsia"/>
                      <w:kern w:val="0"/>
                      <w:szCs w:val="21"/>
                    </w:rPr>
                    <w:t>3.4~17m</w:t>
                  </w:r>
                  <w:r>
                    <w:rPr>
                      <w:rFonts w:hint="eastAsia"/>
                      <w:kern w:val="0"/>
                      <w:szCs w:val="21"/>
                      <w:vertAlign w:val="superscript"/>
                    </w:rPr>
                    <w:t xml:space="preserve">3 </w:t>
                  </w:r>
                  <w:r>
                    <w:rPr>
                      <w:rFonts w:hint="eastAsia"/>
                      <w:kern w:val="0"/>
                      <w:szCs w:val="21"/>
                    </w:rPr>
                    <w:t>/h</w:t>
                  </w:r>
                </w:p>
              </w:tc>
              <w:tc>
                <w:tcPr>
                  <w:tcW w:w="319" w:type="pct"/>
                  <w:vAlign w:val="center"/>
                </w:tcPr>
                <w:p w14:paraId="6D8298F6">
                  <w:pPr>
                    <w:widowControl/>
                    <w:ind w:left="-105" w:leftChars="-50" w:right="-105" w:rightChars="-50"/>
                    <w:jc w:val="center"/>
                    <w:textAlignment w:val="center"/>
                    <w:rPr>
                      <w:kern w:val="0"/>
                      <w:szCs w:val="21"/>
                      <w:lang w:bidi="ar"/>
                    </w:rPr>
                  </w:pPr>
                  <w:r>
                    <w:rPr>
                      <w:rFonts w:hint="eastAsia"/>
                      <w:kern w:val="0"/>
                      <w:szCs w:val="21"/>
                      <w:lang w:bidi="ar"/>
                    </w:rPr>
                    <w:t>2</w:t>
                  </w:r>
                </w:p>
              </w:tc>
              <w:tc>
                <w:tcPr>
                  <w:tcW w:w="389" w:type="pct"/>
                  <w:vAlign w:val="center"/>
                </w:tcPr>
                <w:p w14:paraId="4633156B">
                  <w:pPr>
                    <w:widowControl/>
                    <w:ind w:left="-105" w:leftChars="-50" w:right="-105" w:rightChars="-50"/>
                    <w:jc w:val="center"/>
                    <w:textAlignment w:val="center"/>
                    <w:rPr>
                      <w:kern w:val="0"/>
                      <w:szCs w:val="21"/>
                      <w:lang w:bidi="ar"/>
                    </w:rPr>
                  </w:pPr>
                  <w:r>
                    <w:rPr>
                      <w:rFonts w:hint="eastAsia"/>
                      <w:kern w:val="0"/>
                      <w:szCs w:val="21"/>
                      <w:lang w:bidi="ar"/>
                    </w:rPr>
                    <w:t>90</w:t>
                  </w:r>
                </w:p>
              </w:tc>
              <w:tc>
                <w:tcPr>
                  <w:tcW w:w="319" w:type="pct"/>
                  <w:vMerge w:val="continue"/>
                  <w:vAlign w:val="center"/>
                </w:tcPr>
                <w:p w14:paraId="30C9940C">
                  <w:pPr>
                    <w:ind w:left="-105" w:leftChars="-50" w:right="-105" w:rightChars="-50" w:firstLine="420"/>
                    <w:jc w:val="center"/>
                    <w:textAlignment w:val="center"/>
                    <w:rPr>
                      <w:kern w:val="0"/>
                      <w:szCs w:val="21"/>
                      <w:lang w:bidi="ar"/>
                    </w:rPr>
                  </w:pPr>
                </w:p>
              </w:tc>
              <w:tc>
                <w:tcPr>
                  <w:tcW w:w="256" w:type="pct"/>
                  <w:vAlign w:val="center"/>
                </w:tcPr>
                <w:p w14:paraId="40415299">
                  <w:pPr>
                    <w:widowControl/>
                    <w:ind w:left="-105" w:leftChars="-50" w:right="-105" w:rightChars="-50"/>
                    <w:jc w:val="center"/>
                    <w:textAlignment w:val="center"/>
                    <w:rPr>
                      <w:kern w:val="0"/>
                      <w:szCs w:val="21"/>
                      <w:lang w:bidi="ar"/>
                    </w:rPr>
                  </w:pPr>
                  <w:r>
                    <w:rPr>
                      <w:rFonts w:hint="eastAsia"/>
                      <w:kern w:val="0"/>
                      <w:szCs w:val="21"/>
                      <w:lang w:bidi="ar"/>
                    </w:rPr>
                    <w:t>-20</w:t>
                  </w:r>
                </w:p>
              </w:tc>
              <w:tc>
                <w:tcPr>
                  <w:tcW w:w="247" w:type="pct"/>
                  <w:vAlign w:val="center"/>
                </w:tcPr>
                <w:p w14:paraId="250A80F0">
                  <w:pPr>
                    <w:widowControl/>
                    <w:ind w:left="-105" w:leftChars="-50" w:right="-105" w:rightChars="-50"/>
                    <w:jc w:val="center"/>
                    <w:textAlignment w:val="center"/>
                    <w:rPr>
                      <w:kern w:val="0"/>
                      <w:szCs w:val="21"/>
                      <w:lang w:bidi="ar"/>
                    </w:rPr>
                  </w:pPr>
                  <w:r>
                    <w:rPr>
                      <w:rFonts w:hint="eastAsia"/>
                      <w:kern w:val="0"/>
                      <w:szCs w:val="21"/>
                      <w:lang w:bidi="ar"/>
                    </w:rPr>
                    <w:t>-50</w:t>
                  </w:r>
                </w:p>
              </w:tc>
              <w:tc>
                <w:tcPr>
                  <w:tcW w:w="177" w:type="pct"/>
                  <w:vAlign w:val="center"/>
                </w:tcPr>
                <w:p w14:paraId="1F014A5C">
                  <w:pPr>
                    <w:widowControl/>
                    <w:ind w:left="-105" w:leftChars="-50" w:right="-105" w:rightChars="-50"/>
                    <w:jc w:val="center"/>
                    <w:textAlignment w:val="center"/>
                    <w:rPr>
                      <w:kern w:val="0"/>
                      <w:szCs w:val="21"/>
                      <w:lang w:bidi="ar"/>
                    </w:rPr>
                  </w:pPr>
                  <w:r>
                    <w:rPr>
                      <w:rFonts w:hint="eastAsia"/>
                      <w:kern w:val="0"/>
                      <w:szCs w:val="21"/>
                      <w:lang w:bidi="ar"/>
                    </w:rPr>
                    <w:t>1</w:t>
                  </w:r>
                </w:p>
              </w:tc>
              <w:tc>
                <w:tcPr>
                  <w:tcW w:w="200" w:type="pct"/>
                  <w:vAlign w:val="center"/>
                </w:tcPr>
                <w:p w14:paraId="0F8E76BA">
                  <w:pPr>
                    <w:widowControl/>
                    <w:ind w:left="-105" w:leftChars="-50" w:right="-105" w:rightChars="-50"/>
                    <w:jc w:val="center"/>
                    <w:textAlignment w:val="center"/>
                    <w:rPr>
                      <w:kern w:val="0"/>
                      <w:szCs w:val="21"/>
                      <w:lang w:bidi="ar"/>
                    </w:rPr>
                  </w:pPr>
                  <w:r>
                    <w:rPr>
                      <w:rFonts w:hint="eastAsia"/>
                      <w:kern w:val="0"/>
                      <w:szCs w:val="21"/>
                      <w:lang w:bidi="ar"/>
                    </w:rPr>
                    <w:t>5</w:t>
                  </w:r>
                </w:p>
              </w:tc>
              <w:tc>
                <w:tcPr>
                  <w:tcW w:w="424" w:type="pct"/>
                  <w:vAlign w:val="center"/>
                </w:tcPr>
                <w:p w14:paraId="676D8619">
                  <w:pPr>
                    <w:widowControl/>
                    <w:ind w:left="-105" w:leftChars="-50" w:right="-105" w:rightChars="-50"/>
                    <w:jc w:val="center"/>
                    <w:textAlignment w:val="center"/>
                    <w:rPr>
                      <w:kern w:val="0"/>
                      <w:szCs w:val="21"/>
                      <w:lang w:bidi="ar"/>
                    </w:rPr>
                  </w:pPr>
                  <w:r>
                    <w:rPr>
                      <w:rFonts w:hint="eastAsia"/>
                      <w:kern w:val="0"/>
                      <w:szCs w:val="21"/>
                      <w:lang w:bidi="ar"/>
                    </w:rPr>
                    <w:t>92.63</w:t>
                  </w:r>
                </w:p>
              </w:tc>
              <w:tc>
                <w:tcPr>
                  <w:tcW w:w="274" w:type="pct"/>
                  <w:vAlign w:val="center"/>
                </w:tcPr>
                <w:p w14:paraId="6FBE66B0">
                  <w:pPr>
                    <w:widowControl/>
                    <w:ind w:left="-105" w:leftChars="-50" w:right="-105" w:rightChars="-50"/>
                    <w:jc w:val="center"/>
                    <w:textAlignment w:val="center"/>
                    <w:rPr>
                      <w:kern w:val="0"/>
                      <w:szCs w:val="21"/>
                      <w:lang w:bidi="ar"/>
                    </w:rPr>
                  </w:pPr>
                  <w:r>
                    <w:rPr>
                      <w:kern w:val="0"/>
                      <w:szCs w:val="21"/>
                      <w:lang w:bidi="ar"/>
                    </w:rPr>
                    <w:t>昼夜</w:t>
                  </w:r>
                </w:p>
              </w:tc>
              <w:tc>
                <w:tcPr>
                  <w:tcW w:w="424" w:type="pct"/>
                  <w:vAlign w:val="center"/>
                </w:tcPr>
                <w:p w14:paraId="76766692">
                  <w:pPr>
                    <w:widowControl/>
                    <w:ind w:left="-105" w:leftChars="-50" w:right="-105" w:rightChars="-50"/>
                    <w:jc w:val="center"/>
                    <w:textAlignment w:val="center"/>
                    <w:rPr>
                      <w:kern w:val="0"/>
                      <w:szCs w:val="21"/>
                      <w:lang w:bidi="ar"/>
                    </w:rPr>
                  </w:pPr>
                  <w:r>
                    <w:rPr>
                      <w:bCs/>
                      <w:szCs w:val="21"/>
                    </w:rPr>
                    <w:t>20</w:t>
                  </w:r>
                </w:p>
              </w:tc>
              <w:tc>
                <w:tcPr>
                  <w:tcW w:w="482" w:type="pct"/>
                  <w:vAlign w:val="center"/>
                </w:tcPr>
                <w:p w14:paraId="3749D9F6">
                  <w:pPr>
                    <w:widowControl/>
                    <w:ind w:left="-105" w:leftChars="-50" w:right="-105" w:rightChars="-50"/>
                    <w:jc w:val="center"/>
                    <w:textAlignment w:val="center"/>
                    <w:rPr>
                      <w:kern w:val="0"/>
                      <w:szCs w:val="21"/>
                      <w:lang w:bidi="ar"/>
                    </w:rPr>
                  </w:pPr>
                  <w:r>
                    <w:rPr>
                      <w:rFonts w:hint="eastAsia"/>
                      <w:kern w:val="0"/>
                      <w:szCs w:val="21"/>
                      <w:lang w:bidi="ar"/>
                    </w:rPr>
                    <w:t>72.63</w:t>
                  </w:r>
                </w:p>
              </w:tc>
              <w:tc>
                <w:tcPr>
                  <w:tcW w:w="381" w:type="pct"/>
                  <w:vMerge w:val="continue"/>
                  <w:vAlign w:val="center"/>
                </w:tcPr>
                <w:p w14:paraId="273B9400">
                  <w:pPr>
                    <w:widowControl/>
                    <w:ind w:left="-105" w:leftChars="-50" w:right="-105" w:rightChars="-50"/>
                    <w:jc w:val="center"/>
                    <w:textAlignment w:val="center"/>
                    <w:rPr>
                      <w:szCs w:val="21"/>
                    </w:rPr>
                  </w:pPr>
                </w:p>
              </w:tc>
            </w:tr>
            <w:tr w14:paraId="09DF21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3" w:type="pct"/>
                  <w:vMerge w:val="continue"/>
                  <w:vAlign w:val="center"/>
                </w:tcPr>
                <w:p w14:paraId="204F7630">
                  <w:pPr>
                    <w:widowControl/>
                    <w:ind w:left="-105" w:leftChars="-50" w:right="-105" w:rightChars="-50"/>
                    <w:jc w:val="center"/>
                    <w:textAlignment w:val="center"/>
                    <w:rPr>
                      <w:kern w:val="0"/>
                      <w:szCs w:val="21"/>
                      <w:lang w:bidi="ar"/>
                    </w:rPr>
                  </w:pPr>
                </w:p>
              </w:tc>
              <w:tc>
                <w:tcPr>
                  <w:tcW w:w="321" w:type="pct"/>
                  <w:vAlign w:val="center"/>
                </w:tcPr>
                <w:p w14:paraId="2375D845">
                  <w:pPr>
                    <w:widowControl/>
                    <w:ind w:left="-105" w:leftChars="-50" w:right="-105" w:rightChars="-50"/>
                    <w:jc w:val="center"/>
                    <w:textAlignment w:val="center"/>
                    <w:rPr>
                      <w:kern w:val="0"/>
                      <w:szCs w:val="21"/>
                    </w:rPr>
                  </w:pPr>
                  <w:r>
                    <w:rPr>
                      <w:rFonts w:hint="eastAsia"/>
                      <w:kern w:val="0"/>
                      <w:szCs w:val="21"/>
                    </w:rPr>
                    <w:t>板框式压滤机</w:t>
                  </w:r>
                </w:p>
              </w:tc>
              <w:tc>
                <w:tcPr>
                  <w:tcW w:w="594" w:type="pct"/>
                  <w:vAlign w:val="center"/>
                </w:tcPr>
                <w:p w14:paraId="7AF697D2">
                  <w:pPr>
                    <w:widowControl/>
                    <w:ind w:left="-105" w:leftChars="-50" w:right="-105" w:rightChars="-50"/>
                    <w:jc w:val="center"/>
                    <w:textAlignment w:val="center"/>
                    <w:rPr>
                      <w:kern w:val="0"/>
                      <w:szCs w:val="21"/>
                    </w:rPr>
                  </w:pPr>
                  <w:r>
                    <w:rPr>
                      <w:rFonts w:hint="eastAsia"/>
                      <w:kern w:val="0"/>
                      <w:szCs w:val="21"/>
                    </w:rPr>
                    <w:t>/</w:t>
                  </w:r>
                </w:p>
              </w:tc>
              <w:tc>
                <w:tcPr>
                  <w:tcW w:w="319" w:type="pct"/>
                  <w:vAlign w:val="center"/>
                </w:tcPr>
                <w:p w14:paraId="612B3B70">
                  <w:pPr>
                    <w:widowControl/>
                    <w:ind w:left="-105" w:leftChars="-50" w:right="-105" w:rightChars="-50"/>
                    <w:jc w:val="center"/>
                    <w:textAlignment w:val="center"/>
                    <w:rPr>
                      <w:kern w:val="0"/>
                      <w:szCs w:val="21"/>
                      <w:lang w:bidi="ar"/>
                    </w:rPr>
                  </w:pPr>
                  <w:r>
                    <w:rPr>
                      <w:rFonts w:hint="eastAsia"/>
                      <w:kern w:val="0"/>
                      <w:szCs w:val="21"/>
                      <w:lang w:bidi="ar"/>
                    </w:rPr>
                    <w:t>1</w:t>
                  </w:r>
                </w:p>
              </w:tc>
              <w:tc>
                <w:tcPr>
                  <w:tcW w:w="389" w:type="pct"/>
                  <w:vAlign w:val="center"/>
                </w:tcPr>
                <w:p w14:paraId="5294241C">
                  <w:pPr>
                    <w:widowControl/>
                    <w:ind w:left="-105" w:leftChars="-50" w:right="-105" w:rightChars="-50"/>
                    <w:jc w:val="center"/>
                    <w:textAlignment w:val="center"/>
                    <w:rPr>
                      <w:kern w:val="0"/>
                      <w:szCs w:val="21"/>
                      <w:lang w:bidi="ar"/>
                    </w:rPr>
                  </w:pPr>
                  <w:r>
                    <w:rPr>
                      <w:rFonts w:hint="eastAsia"/>
                      <w:kern w:val="0"/>
                      <w:szCs w:val="21"/>
                      <w:lang w:bidi="ar"/>
                    </w:rPr>
                    <w:t>90</w:t>
                  </w:r>
                </w:p>
              </w:tc>
              <w:tc>
                <w:tcPr>
                  <w:tcW w:w="319" w:type="pct"/>
                  <w:vMerge w:val="continue"/>
                  <w:vAlign w:val="center"/>
                </w:tcPr>
                <w:p w14:paraId="183A19A5">
                  <w:pPr>
                    <w:ind w:left="-105" w:leftChars="-50" w:right="-105" w:rightChars="-50" w:firstLine="420"/>
                    <w:jc w:val="center"/>
                    <w:textAlignment w:val="center"/>
                    <w:rPr>
                      <w:kern w:val="0"/>
                      <w:szCs w:val="21"/>
                      <w:lang w:bidi="ar"/>
                    </w:rPr>
                  </w:pPr>
                </w:p>
              </w:tc>
              <w:tc>
                <w:tcPr>
                  <w:tcW w:w="256" w:type="pct"/>
                  <w:vAlign w:val="center"/>
                </w:tcPr>
                <w:p w14:paraId="07F68FC2">
                  <w:pPr>
                    <w:widowControl/>
                    <w:ind w:left="-105" w:leftChars="-50" w:right="-105" w:rightChars="-50"/>
                    <w:jc w:val="center"/>
                    <w:textAlignment w:val="center"/>
                    <w:rPr>
                      <w:kern w:val="0"/>
                      <w:szCs w:val="21"/>
                      <w:lang w:bidi="ar"/>
                    </w:rPr>
                  </w:pPr>
                  <w:r>
                    <w:rPr>
                      <w:rFonts w:hint="eastAsia"/>
                      <w:kern w:val="0"/>
                      <w:szCs w:val="21"/>
                      <w:lang w:bidi="ar"/>
                    </w:rPr>
                    <w:t>-20</w:t>
                  </w:r>
                </w:p>
              </w:tc>
              <w:tc>
                <w:tcPr>
                  <w:tcW w:w="247" w:type="pct"/>
                  <w:vAlign w:val="center"/>
                </w:tcPr>
                <w:p w14:paraId="18F5BD87">
                  <w:pPr>
                    <w:widowControl/>
                    <w:ind w:left="-105" w:leftChars="-50" w:right="-105" w:rightChars="-50"/>
                    <w:jc w:val="center"/>
                    <w:textAlignment w:val="center"/>
                    <w:rPr>
                      <w:kern w:val="0"/>
                      <w:szCs w:val="21"/>
                      <w:lang w:bidi="ar"/>
                    </w:rPr>
                  </w:pPr>
                  <w:r>
                    <w:rPr>
                      <w:rFonts w:hint="eastAsia"/>
                      <w:kern w:val="0"/>
                      <w:szCs w:val="21"/>
                      <w:lang w:bidi="ar"/>
                    </w:rPr>
                    <w:t>-60</w:t>
                  </w:r>
                </w:p>
              </w:tc>
              <w:tc>
                <w:tcPr>
                  <w:tcW w:w="177" w:type="pct"/>
                  <w:vAlign w:val="center"/>
                </w:tcPr>
                <w:p w14:paraId="2674926D">
                  <w:pPr>
                    <w:widowControl/>
                    <w:ind w:left="-105" w:leftChars="-50" w:right="-105" w:rightChars="-50"/>
                    <w:jc w:val="center"/>
                    <w:textAlignment w:val="center"/>
                    <w:rPr>
                      <w:kern w:val="0"/>
                      <w:szCs w:val="21"/>
                      <w:lang w:bidi="ar"/>
                    </w:rPr>
                  </w:pPr>
                  <w:r>
                    <w:rPr>
                      <w:rFonts w:hint="eastAsia"/>
                      <w:kern w:val="0"/>
                      <w:szCs w:val="21"/>
                      <w:lang w:bidi="ar"/>
                    </w:rPr>
                    <w:t>4</w:t>
                  </w:r>
                </w:p>
              </w:tc>
              <w:tc>
                <w:tcPr>
                  <w:tcW w:w="200" w:type="pct"/>
                  <w:vAlign w:val="center"/>
                </w:tcPr>
                <w:p w14:paraId="612223C8">
                  <w:pPr>
                    <w:widowControl/>
                    <w:ind w:left="-105" w:leftChars="-50" w:right="-105" w:rightChars="-50"/>
                    <w:jc w:val="center"/>
                    <w:textAlignment w:val="center"/>
                    <w:rPr>
                      <w:kern w:val="0"/>
                      <w:szCs w:val="21"/>
                      <w:lang w:bidi="ar"/>
                    </w:rPr>
                  </w:pPr>
                  <w:r>
                    <w:rPr>
                      <w:rFonts w:hint="eastAsia"/>
                      <w:kern w:val="0"/>
                      <w:szCs w:val="21"/>
                      <w:lang w:bidi="ar"/>
                    </w:rPr>
                    <w:t>5</w:t>
                  </w:r>
                </w:p>
              </w:tc>
              <w:tc>
                <w:tcPr>
                  <w:tcW w:w="424" w:type="pct"/>
                  <w:vAlign w:val="center"/>
                </w:tcPr>
                <w:p w14:paraId="75C394BB">
                  <w:pPr>
                    <w:widowControl/>
                    <w:ind w:left="-105" w:leftChars="-50" w:right="-105" w:rightChars="-50"/>
                    <w:jc w:val="center"/>
                    <w:textAlignment w:val="center"/>
                    <w:rPr>
                      <w:kern w:val="0"/>
                      <w:szCs w:val="21"/>
                      <w:lang w:bidi="ar"/>
                    </w:rPr>
                  </w:pPr>
                  <w:r>
                    <w:rPr>
                      <w:kern w:val="0"/>
                      <w:szCs w:val="21"/>
                      <w:lang w:bidi="ar"/>
                    </w:rPr>
                    <w:t>92.63</w:t>
                  </w:r>
                </w:p>
              </w:tc>
              <w:tc>
                <w:tcPr>
                  <w:tcW w:w="274" w:type="pct"/>
                  <w:vAlign w:val="center"/>
                </w:tcPr>
                <w:p w14:paraId="6B2DCB68">
                  <w:pPr>
                    <w:widowControl/>
                    <w:ind w:left="-105" w:leftChars="-50" w:right="-105" w:rightChars="-50"/>
                    <w:jc w:val="center"/>
                    <w:textAlignment w:val="center"/>
                    <w:rPr>
                      <w:kern w:val="0"/>
                      <w:szCs w:val="21"/>
                      <w:lang w:bidi="ar"/>
                    </w:rPr>
                  </w:pPr>
                  <w:r>
                    <w:rPr>
                      <w:kern w:val="0"/>
                      <w:szCs w:val="21"/>
                      <w:lang w:bidi="ar"/>
                    </w:rPr>
                    <w:t>昼夜</w:t>
                  </w:r>
                </w:p>
              </w:tc>
              <w:tc>
                <w:tcPr>
                  <w:tcW w:w="424" w:type="pct"/>
                  <w:vAlign w:val="center"/>
                </w:tcPr>
                <w:p w14:paraId="56E15030">
                  <w:pPr>
                    <w:widowControl/>
                    <w:ind w:left="-105" w:leftChars="-50" w:right="-105" w:rightChars="-50"/>
                    <w:jc w:val="center"/>
                    <w:textAlignment w:val="center"/>
                    <w:rPr>
                      <w:kern w:val="0"/>
                      <w:szCs w:val="21"/>
                      <w:lang w:bidi="ar"/>
                    </w:rPr>
                  </w:pPr>
                  <w:r>
                    <w:rPr>
                      <w:bCs/>
                      <w:szCs w:val="21"/>
                    </w:rPr>
                    <w:t>20</w:t>
                  </w:r>
                </w:p>
              </w:tc>
              <w:tc>
                <w:tcPr>
                  <w:tcW w:w="482" w:type="pct"/>
                  <w:vAlign w:val="center"/>
                </w:tcPr>
                <w:p w14:paraId="1CCE2193">
                  <w:pPr>
                    <w:widowControl/>
                    <w:ind w:left="-105" w:leftChars="-50" w:right="-105" w:rightChars="-50"/>
                    <w:jc w:val="center"/>
                    <w:textAlignment w:val="center"/>
                    <w:rPr>
                      <w:kern w:val="0"/>
                      <w:szCs w:val="21"/>
                      <w:lang w:bidi="ar"/>
                    </w:rPr>
                  </w:pPr>
                  <w:r>
                    <w:rPr>
                      <w:rFonts w:hint="eastAsia"/>
                      <w:kern w:val="0"/>
                      <w:szCs w:val="21"/>
                      <w:lang w:bidi="ar"/>
                    </w:rPr>
                    <w:t>72.63</w:t>
                  </w:r>
                </w:p>
              </w:tc>
              <w:tc>
                <w:tcPr>
                  <w:tcW w:w="381" w:type="pct"/>
                  <w:vMerge w:val="continue"/>
                  <w:vAlign w:val="center"/>
                </w:tcPr>
                <w:p w14:paraId="2AEAB99A">
                  <w:pPr>
                    <w:widowControl/>
                    <w:ind w:left="-105" w:leftChars="-50" w:right="-105" w:rightChars="-50"/>
                    <w:jc w:val="center"/>
                    <w:textAlignment w:val="center"/>
                    <w:rPr>
                      <w:szCs w:val="21"/>
                    </w:rPr>
                  </w:pPr>
                </w:p>
              </w:tc>
            </w:tr>
            <w:tr w14:paraId="4D04B5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93" w:type="pct"/>
                  <w:vMerge w:val="continue"/>
                  <w:vAlign w:val="center"/>
                </w:tcPr>
                <w:p w14:paraId="5E4971C3">
                  <w:pPr>
                    <w:widowControl/>
                    <w:ind w:left="-105" w:leftChars="-50" w:right="-105" w:rightChars="-50"/>
                    <w:jc w:val="center"/>
                    <w:textAlignment w:val="center"/>
                    <w:rPr>
                      <w:kern w:val="0"/>
                      <w:szCs w:val="21"/>
                      <w:lang w:bidi="ar"/>
                    </w:rPr>
                  </w:pPr>
                </w:p>
              </w:tc>
              <w:tc>
                <w:tcPr>
                  <w:tcW w:w="321" w:type="pct"/>
                  <w:vAlign w:val="center"/>
                </w:tcPr>
                <w:p w14:paraId="429E3DA6">
                  <w:pPr>
                    <w:widowControl/>
                    <w:ind w:left="-105" w:leftChars="-50" w:right="-105" w:rightChars="-50"/>
                    <w:jc w:val="center"/>
                    <w:textAlignment w:val="center"/>
                    <w:rPr>
                      <w:kern w:val="0"/>
                      <w:szCs w:val="21"/>
                    </w:rPr>
                  </w:pPr>
                  <w:r>
                    <w:rPr>
                      <w:rFonts w:hint="eastAsia"/>
                      <w:kern w:val="0"/>
                      <w:szCs w:val="21"/>
                    </w:rPr>
                    <w:t>泥浆泵</w:t>
                  </w:r>
                </w:p>
              </w:tc>
              <w:tc>
                <w:tcPr>
                  <w:tcW w:w="594" w:type="pct"/>
                  <w:vAlign w:val="center"/>
                </w:tcPr>
                <w:p w14:paraId="4BAFF427">
                  <w:pPr>
                    <w:widowControl/>
                    <w:ind w:left="-105" w:leftChars="-50" w:right="-105" w:rightChars="-50"/>
                    <w:jc w:val="center"/>
                    <w:textAlignment w:val="center"/>
                    <w:rPr>
                      <w:kern w:val="0"/>
                      <w:szCs w:val="21"/>
                    </w:rPr>
                  </w:pPr>
                  <w:r>
                    <w:rPr>
                      <w:kern w:val="0"/>
                      <w:szCs w:val="21"/>
                    </w:rPr>
                    <w:t>Q15m</w:t>
                  </w:r>
                  <w:r>
                    <w:rPr>
                      <w:kern w:val="0"/>
                      <w:szCs w:val="21"/>
                      <w:vertAlign w:val="superscript"/>
                    </w:rPr>
                    <w:t>3</w:t>
                  </w:r>
                </w:p>
              </w:tc>
              <w:tc>
                <w:tcPr>
                  <w:tcW w:w="319" w:type="pct"/>
                  <w:vAlign w:val="center"/>
                </w:tcPr>
                <w:p w14:paraId="383656C2">
                  <w:pPr>
                    <w:widowControl/>
                    <w:ind w:left="-105" w:leftChars="-50" w:right="-105" w:rightChars="-50"/>
                    <w:jc w:val="center"/>
                    <w:textAlignment w:val="center"/>
                    <w:rPr>
                      <w:kern w:val="0"/>
                      <w:szCs w:val="21"/>
                      <w:lang w:bidi="ar"/>
                    </w:rPr>
                  </w:pPr>
                  <w:r>
                    <w:rPr>
                      <w:rFonts w:hint="eastAsia"/>
                      <w:kern w:val="0"/>
                      <w:szCs w:val="21"/>
                      <w:lang w:bidi="ar"/>
                    </w:rPr>
                    <w:t>2</w:t>
                  </w:r>
                </w:p>
              </w:tc>
              <w:tc>
                <w:tcPr>
                  <w:tcW w:w="389" w:type="pct"/>
                  <w:vAlign w:val="center"/>
                </w:tcPr>
                <w:p w14:paraId="17AB1B1C">
                  <w:pPr>
                    <w:widowControl/>
                    <w:ind w:left="-105" w:leftChars="-50" w:right="-105" w:rightChars="-50"/>
                    <w:jc w:val="center"/>
                    <w:textAlignment w:val="center"/>
                    <w:rPr>
                      <w:kern w:val="0"/>
                      <w:szCs w:val="21"/>
                      <w:lang w:bidi="ar"/>
                    </w:rPr>
                  </w:pPr>
                  <w:r>
                    <w:rPr>
                      <w:rFonts w:hint="eastAsia"/>
                      <w:kern w:val="0"/>
                      <w:szCs w:val="21"/>
                      <w:lang w:bidi="ar"/>
                    </w:rPr>
                    <w:t>90</w:t>
                  </w:r>
                </w:p>
              </w:tc>
              <w:tc>
                <w:tcPr>
                  <w:tcW w:w="319" w:type="pct"/>
                  <w:vMerge w:val="continue"/>
                  <w:vAlign w:val="center"/>
                </w:tcPr>
                <w:p w14:paraId="1A3BB15A">
                  <w:pPr>
                    <w:ind w:left="-105" w:leftChars="-50" w:right="-105" w:rightChars="-50" w:firstLine="420"/>
                    <w:jc w:val="center"/>
                    <w:textAlignment w:val="center"/>
                    <w:rPr>
                      <w:kern w:val="0"/>
                      <w:szCs w:val="21"/>
                      <w:lang w:bidi="ar"/>
                    </w:rPr>
                  </w:pPr>
                </w:p>
              </w:tc>
              <w:tc>
                <w:tcPr>
                  <w:tcW w:w="256" w:type="pct"/>
                  <w:vAlign w:val="center"/>
                </w:tcPr>
                <w:p w14:paraId="7F0F9BAA">
                  <w:pPr>
                    <w:widowControl/>
                    <w:ind w:left="-105" w:leftChars="-50" w:right="-105" w:rightChars="-50"/>
                    <w:jc w:val="center"/>
                    <w:textAlignment w:val="center"/>
                    <w:rPr>
                      <w:kern w:val="0"/>
                      <w:szCs w:val="21"/>
                      <w:lang w:bidi="ar"/>
                    </w:rPr>
                  </w:pPr>
                  <w:r>
                    <w:rPr>
                      <w:rFonts w:hint="eastAsia"/>
                      <w:kern w:val="0"/>
                      <w:szCs w:val="21"/>
                      <w:lang w:bidi="ar"/>
                    </w:rPr>
                    <w:t>-20</w:t>
                  </w:r>
                </w:p>
              </w:tc>
              <w:tc>
                <w:tcPr>
                  <w:tcW w:w="247" w:type="pct"/>
                  <w:vAlign w:val="center"/>
                </w:tcPr>
                <w:p w14:paraId="14D3BE06">
                  <w:pPr>
                    <w:widowControl/>
                    <w:ind w:left="-105" w:leftChars="-50" w:right="-105" w:rightChars="-50"/>
                    <w:jc w:val="center"/>
                    <w:textAlignment w:val="center"/>
                    <w:rPr>
                      <w:kern w:val="0"/>
                      <w:szCs w:val="21"/>
                      <w:lang w:bidi="ar"/>
                    </w:rPr>
                  </w:pPr>
                  <w:r>
                    <w:rPr>
                      <w:rFonts w:hint="eastAsia"/>
                      <w:kern w:val="0"/>
                      <w:szCs w:val="21"/>
                      <w:lang w:bidi="ar"/>
                    </w:rPr>
                    <w:t>-55</w:t>
                  </w:r>
                </w:p>
              </w:tc>
              <w:tc>
                <w:tcPr>
                  <w:tcW w:w="177" w:type="pct"/>
                  <w:vAlign w:val="center"/>
                </w:tcPr>
                <w:p w14:paraId="1A2DAA00">
                  <w:pPr>
                    <w:widowControl/>
                    <w:ind w:left="-105" w:leftChars="-50" w:right="-105" w:rightChars="-50"/>
                    <w:jc w:val="center"/>
                    <w:textAlignment w:val="center"/>
                    <w:rPr>
                      <w:kern w:val="0"/>
                      <w:szCs w:val="21"/>
                      <w:lang w:bidi="ar"/>
                    </w:rPr>
                  </w:pPr>
                  <w:r>
                    <w:rPr>
                      <w:rFonts w:hint="eastAsia"/>
                      <w:kern w:val="0"/>
                      <w:szCs w:val="21"/>
                      <w:lang w:bidi="ar"/>
                    </w:rPr>
                    <w:t>1</w:t>
                  </w:r>
                </w:p>
              </w:tc>
              <w:tc>
                <w:tcPr>
                  <w:tcW w:w="200" w:type="pct"/>
                  <w:vAlign w:val="center"/>
                </w:tcPr>
                <w:p w14:paraId="64DF6FDB">
                  <w:pPr>
                    <w:widowControl/>
                    <w:ind w:left="-105" w:leftChars="-50" w:right="-105" w:rightChars="-50"/>
                    <w:jc w:val="center"/>
                    <w:textAlignment w:val="center"/>
                    <w:rPr>
                      <w:kern w:val="0"/>
                      <w:szCs w:val="21"/>
                      <w:lang w:bidi="ar"/>
                    </w:rPr>
                  </w:pPr>
                  <w:r>
                    <w:rPr>
                      <w:rFonts w:hint="eastAsia"/>
                      <w:kern w:val="0"/>
                      <w:szCs w:val="21"/>
                      <w:lang w:bidi="ar"/>
                    </w:rPr>
                    <w:t>5</w:t>
                  </w:r>
                </w:p>
              </w:tc>
              <w:tc>
                <w:tcPr>
                  <w:tcW w:w="424" w:type="pct"/>
                  <w:vAlign w:val="center"/>
                </w:tcPr>
                <w:p w14:paraId="6AD304B0">
                  <w:pPr>
                    <w:widowControl/>
                    <w:ind w:left="-105" w:leftChars="-50" w:right="-105" w:rightChars="-50"/>
                    <w:jc w:val="center"/>
                    <w:textAlignment w:val="center"/>
                    <w:rPr>
                      <w:kern w:val="0"/>
                      <w:szCs w:val="21"/>
                      <w:lang w:bidi="ar"/>
                    </w:rPr>
                  </w:pPr>
                  <w:r>
                    <w:rPr>
                      <w:kern w:val="0"/>
                      <w:szCs w:val="21"/>
                      <w:lang w:bidi="ar"/>
                    </w:rPr>
                    <w:t>92.63</w:t>
                  </w:r>
                </w:p>
              </w:tc>
              <w:tc>
                <w:tcPr>
                  <w:tcW w:w="274" w:type="pct"/>
                  <w:vAlign w:val="center"/>
                </w:tcPr>
                <w:p w14:paraId="3C67D5DD">
                  <w:pPr>
                    <w:widowControl/>
                    <w:ind w:left="-105" w:leftChars="-50" w:right="-105" w:rightChars="-50"/>
                    <w:jc w:val="center"/>
                    <w:textAlignment w:val="center"/>
                    <w:rPr>
                      <w:kern w:val="0"/>
                      <w:szCs w:val="21"/>
                      <w:lang w:bidi="ar"/>
                    </w:rPr>
                  </w:pPr>
                  <w:r>
                    <w:rPr>
                      <w:kern w:val="0"/>
                      <w:szCs w:val="21"/>
                      <w:lang w:bidi="ar"/>
                    </w:rPr>
                    <w:t>昼夜</w:t>
                  </w:r>
                </w:p>
              </w:tc>
              <w:tc>
                <w:tcPr>
                  <w:tcW w:w="424" w:type="pct"/>
                  <w:vAlign w:val="center"/>
                </w:tcPr>
                <w:p w14:paraId="768457EC">
                  <w:pPr>
                    <w:widowControl/>
                    <w:ind w:left="-105" w:leftChars="-50" w:right="-105" w:rightChars="-50"/>
                    <w:jc w:val="center"/>
                    <w:textAlignment w:val="center"/>
                    <w:rPr>
                      <w:kern w:val="0"/>
                      <w:szCs w:val="21"/>
                      <w:lang w:bidi="ar"/>
                    </w:rPr>
                  </w:pPr>
                  <w:r>
                    <w:rPr>
                      <w:bCs/>
                      <w:szCs w:val="21"/>
                    </w:rPr>
                    <w:t>20</w:t>
                  </w:r>
                </w:p>
              </w:tc>
              <w:tc>
                <w:tcPr>
                  <w:tcW w:w="482" w:type="pct"/>
                  <w:vAlign w:val="center"/>
                </w:tcPr>
                <w:p w14:paraId="4E2DF45E">
                  <w:pPr>
                    <w:widowControl/>
                    <w:ind w:left="-105" w:leftChars="-50" w:right="-105" w:rightChars="-50"/>
                    <w:jc w:val="center"/>
                    <w:textAlignment w:val="center"/>
                    <w:rPr>
                      <w:kern w:val="0"/>
                      <w:szCs w:val="21"/>
                      <w:lang w:bidi="ar"/>
                    </w:rPr>
                  </w:pPr>
                  <w:r>
                    <w:rPr>
                      <w:rFonts w:hint="eastAsia"/>
                      <w:kern w:val="0"/>
                      <w:szCs w:val="21"/>
                      <w:lang w:bidi="ar"/>
                    </w:rPr>
                    <w:t>72.63</w:t>
                  </w:r>
                </w:p>
              </w:tc>
              <w:tc>
                <w:tcPr>
                  <w:tcW w:w="381" w:type="pct"/>
                  <w:vMerge w:val="continue"/>
                  <w:vAlign w:val="center"/>
                </w:tcPr>
                <w:p w14:paraId="540488E6">
                  <w:pPr>
                    <w:widowControl/>
                    <w:ind w:left="-105" w:leftChars="-50" w:right="-105" w:rightChars="-50"/>
                    <w:jc w:val="center"/>
                    <w:textAlignment w:val="center"/>
                    <w:rPr>
                      <w:szCs w:val="21"/>
                    </w:rPr>
                  </w:pPr>
                </w:p>
              </w:tc>
            </w:tr>
            <w:bookmarkEnd w:id="33"/>
          </w:tbl>
          <w:p w14:paraId="6A53857B">
            <w:pPr>
              <w:adjustRightInd w:val="0"/>
              <w:snapToGrid w:val="0"/>
              <w:jc w:val="center"/>
              <w:rPr>
                <w:b/>
                <w:szCs w:val="21"/>
              </w:rPr>
            </w:pPr>
            <w:r>
              <w:rPr>
                <w:rFonts w:hint="eastAsia"/>
                <w:b/>
                <w:szCs w:val="21"/>
              </w:rPr>
              <w:t>表4-8  噪声污染源源强核算结果及相关参数一览表（室外）</w:t>
            </w:r>
          </w:p>
          <w:tbl>
            <w:tblPr>
              <w:tblStyle w:val="3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45"/>
              <w:gridCol w:w="884"/>
              <w:gridCol w:w="850"/>
              <w:gridCol w:w="709"/>
              <w:gridCol w:w="709"/>
              <w:gridCol w:w="709"/>
              <w:gridCol w:w="707"/>
              <w:gridCol w:w="1137"/>
              <w:gridCol w:w="980"/>
              <w:gridCol w:w="807"/>
            </w:tblGrid>
            <w:tr w14:paraId="4287D9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7" w:type="pct"/>
                  <w:vMerge w:val="restart"/>
                  <w:vAlign w:val="center"/>
                </w:tcPr>
                <w:p w14:paraId="2900C31F">
                  <w:pPr>
                    <w:pStyle w:val="68"/>
                    <w:rPr>
                      <w:b w:val="0"/>
                      <w:bCs/>
                    </w:rPr>
                  </w:pPr>
                  <w:r>
                    <w:rPr>
                      <w:rFonts w:hint="eastAsia"/>
                      <w:b w:val="0"/>
                      <w:bCs/>
                    </w:rPr>
                    <w:t>序号</w:t>
                  </w:r>
                </w:p>
              </w:tc>
              <w:tc>
                <w:tcPr>
                  <w:tcW w:w="530" w:type="pct"/>
                  <w:vMerge w:val="restart"/>
                  <w:vAlign w:val="center"/>
                </w:tcPr>
                <w:p w14:paraId="1D4A3B47">
                  <w:pPr>
                    <w:pStyle w:val="68"/>
                    <w:rPr>
                      <w:b w:val="0"/>
                      <w:bCs/>
                    </w:rPr>
                  </w:pPr>
                  <w:r>
                    <w:rPr>
                      <w:rFonts w:hint="eastAsia"/>
                      <w:b w:val="0"/>
                      <w:bCs/>
                    </w:rPr>
                    <w:t>声源名称</w:t>
                  </w:r>
                </w:p>
              </w:tc>
              <w:tc>
                <w:tcPr>
                  <w:tcW w:w="510" w:type="pct"/>
                  <w:vMerge w:val="restart"/>
                  <w:vAlign w:val="center"/>
                </w:tcPr>
                <w:p w14:paraId="43D0E36A">
                  <w:pPr>
                    <w:pStyle w:val="68"/>
                    <w:rPr>
                      <w:b w:val="0"/>
                      <w:bCs/>
                    </w:rPr>
                  </w:pPr>
                  <w:r>
                    <w:rPr>
                      <w:rFonts w:hint="eastAsia"/>
                      <w:b w:val="0"/>
                      <w:bCs/>
                    </w:rPr>
                    <w:t>型号</w:t>
                  </w:r>
                </w:p>
              </w:tc>
              <w:tc>
                <w:tcPr>
                  <w:tcW w:w="425" w:type="pct"/>
                  <w:vMerge w:val="restart"/>
                  <w:vAlign w:val="center"/>
                </w:tcPr>
                <w:p w14:paraId="6ED0C9A4">
                  <w:pPr>
                    <w:pStyle w:val="68"/>
                    <w:rPr>
                      <w:b w:val="0"/>
                      <w:bCs/>
                    </w:rPr>
                  </w:pPr>
                  <w:r>
                    <w:rPr>
                      <w:rFonts w:hint="eastAsia"/>
                      <w:b w:val="0"/>
                      <w:bCs/>
                    </w:rPr>
                    <w:t>数量（台/套）</w:t>
                  </w:r>
                </w:p>
              </w:tc>
              <w:tc>
                <w:tcPr>
                  <w:tcW w:w="1274" w:type="pct"/>
                  <w:gridSpan w:val="3"/>
                  <w:vAlign w:val="center"/>
                </w:tcPr>
                <w:p w14:paraId="3FB1446E">
                  <w:pPr>
                    <w:pStyle w:val="68"/>
                    <w:rPr>
                      <w:b w:val="0"/>
                      <w:bCs/>
                    </w:rPr>
                  </w:pPr>
                  <w:r>
                    <w:rPr>
                      <w:rFonts w:hint="eastAsia"/>
                      <w:b w:val="0"/>
                      <w:bCs/>
                    </w:rPr>
                    <w:t>空间相对位置/m</w:t>
                  </w:r>
                </w:p>
              </w:tc>
              <w:tc>
                <w:tcPr>
                  <w:tcW w:w="682" w:type="pct"/>
                  <w:vMerge w:val="restart"/>
                  <w:vAlign w:val="center"/>
                </w:tcPr>
                <w:p w14:paraId="0E9B1185">
                  <w:pPr>
                    <w:pStyle w:val="68"/>
                    <w:rPr>
                      <w:b w:val="0"/>
                      <w:bCs/>
                    </w:rPr>
                  </w:pPr>
                  <w:r>
                    <w:rPr>
                      <w:rFonts w:hint="eastAsia"/>
                      <w:b w:val="0"/>
                      <w:bCs/>
                    </w:rPr>
                    <w:t>声源源强dB（A）</w:t>
                  </w:r>
                </w:p>
              </w:tc>
              <w:tc>
                <w:tcPr>
                  <w:tcW w:w="588" w:type="pct"/>
                  <w:vMerge w:val="restart"/>
                  <w:vAlign w:val="center"/>
                </w:tcPr>
                <w:p w14:paraId="6DFBE1D2">
                  <w:pPr>
                    <w:pStyle w:val="68"/>
                    <w:rPr>
                      <w:b w:val="0"/>
                      <w:bCs/>
                    </w:rPr>
                  </w:pPr>
                  <w:r>
                    <w:rPr>
                      <w:rFonts w:hint="eastAsia"/>
                      <w:b w:val="0"/>
                      <w:bCs/>
                    </w:rPr>
                    <w:t>声源控制措施</w:t>
                  </w:r>
                </w:p>
              </w:tc>
              <w:tc>
                <w:tcPr>
                  <w:tcW w:w="484" w:type="pct"/>
                  <w:vMerge w:val="restart"/>
                  <w:vAlign w:val="center"/>
                </w:tcPr>
                <w:p w14:paraId="73133291">
                  <w:pPr>
                    <w:pStyle w:val="68"/>
                    <w:rPr>
                      <w:b w:val="0"/>
                      <w:bCs/>
                    </w:rPr>
                  </w:pPr>
                  <w:r>
                    <w:rPr>
                      <w:rFonts w:hint="eastAsia"/>
                      <w:b w:val="0"/>
                      <w:bCs/>
                    </w:rPr>
                    <w:t>运行时段</w:t>
                  </w:r>
                </w:p>
              </w:tc>
            </w:tr>
            <w:tr w14:paraId="658491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7" w:type="pct"/>
                  <w:vMerge w:val="continue"/>
                  <w:vAlign w:val="center"/>
                </w:tcPr>
                <w:p w14:paraId="70AF7124">
                  <w:pPr>
                    <w:pStyle w:val="68"/>
                    <w:rPr>
                      <w:b w:val="0"/>
                      <w:bCs/>
                    </w:rPr>
                  </w:pPr>
                </w:p>
              </w:tc>
              <w:tc>
                <w:tcPr>
                  <w:tcW w:w="530" w:type="pct"/>
                  <w:vMerge w:val="continue"/>
                  <w:vAlign w:val="center"/>
                </w:tcPr>
                <w:p w14:paraId="15945F07">
                  <w:pPr>
                    <w:pStyle w:val="68"/>
                    <w:rPr>
                      <w:b w:val="0"/>
                      <w:bCs/>
                    </w:rPr>
                  </w:pPr>
                </w:p>
              </w:tc>
              <w:tc>
                <w:tcPr>
                  <w:tcW w:w="510" w:type="pct"/>
                  <w:vMerge w:val="continue"/>
                  <w:vAlign w:val="center"/>
                </w:tcPr>
                <w:p w14:paraId="780E4736">
                  <w:pPr>
                    <w:pStyle w:val="68"/>
                    <w:rPr>
                      <w:b w:val="0"/>
                      <w:bCs/>
                    </w:rPr>
                  </w:pPr>
                </w:p>
              </w:tc>
              <w:tc>
                <w:tcPr>
                  <w:tcW w:w="425" w:type="pct"/>
                  <w:vMerge w:val="continue"/>
                  <w:vAlign w:val="center"/>
                </w:tcPr>
                <w:p w14:paraId="28100CC0">
                  <w:pPr>
                    <w:pStyle w:val="68"/>
                    <w:rPr>
                      <w:b w:val="0"/>
                      <w:bCs/>
                    </w:rPr>
                  </w:pPr>
                </w:p>
              </w:tc>
              <w:tc>
                <w:tcPr>
                  <w:tcW w:w="425" w:type="pct"/>
                  <w:vAlign w:val="center"/>
                </w:tcPr>
                <w:p w14:paraId="56CEE13F">
                  <w:pPr>
                    <w:pStyle w:val="68"/>
                    <w:rPr>
                      <w:b w:val="0"/>
                      <w:bCs/>
                    </w:rPr>
                  </w:pPr>
                  <w:r>
                    <w:rPr>
                      <w:rFonts w:hint="eastAsia"/>
                      <w:b w:val="0"/>
                      <w:bCs/>
                    </w:rPr>
                    <w:t>X</w:t>
                  </w:r>
                </w:p>
              </w:tc>
              <w:tc>
                <w:tcPr>
                  <w:tcW w:w="425" w:type="pct"/>
                  <w:vAlign w:val="center"/>
                </w:tcPr>
                <w:p w14:paraId="59A406D3">
                  <w:pPr>
                    <w:pStyle w:val="68"/>
                    <w:rPr>
                      <w:b w:val="0"/>
                      <w:bCs/>
                    </w:rPr>
                  </w:pPr>
                  <w:r>
                    <w:rPr>
                      <w:rFonts w:hint="eastAsia"/>
                      <w:b w:val="0"/>
                      <w:bCs/>
                    </w:rPr>
                    <w:t>Y</w:t>
                  </w:r>
                </w:p>
              </w:tc>
              <w:tc>
                <w:tcPr>
                  <w:tcW w:w="424" w:type="pct"/>
                  <w:vAlign w:val="center"/>
                </w:tcPr>
                <w:p w14:paraId="04A6BDCC">
                  <w:pPr>
                    <w:pStyle w:val="68"/>
                    <w:rPr>
                      <w:b w:val="0"/>
                      <w:bCs/>
                    </w:rPr>
                  </w:pPr>
                  <w:r>
                    <w:rPr>
                      <w:rFonts w:hint="eastAsia"/>
                      <w:b w:val="0"/>
                      <w:bCs/>
                    </w:rPr>
                    <w:t>Z</w:t>
                  </w:r>
                </w:p>
              </w:tc>
              <w:tc>
                <w:tcPr>
                  <w:tcW w:w="682" w:type="pct"/>
                  <w:vMerge w:val="continue"/>
                  <w:vAlign w:val="center"/>
                </w:tcPr>
                <w:p w14:paraId="0BCBF93A">
                  <w:pPr>
                    <w:pStyle w:val="68"/>
                    <w:rPr>
                      <w:b w:val="0"/>
                      <w:bCs/>
                    </w:rPr>
                  </w:pPr>
                </w:p>
              </w:tc>
              <w:tc>
                <w:tcPr>
                  <w:tcW w:w="588" w:type="pct"/>
                  <w:vMerge w:val="continue"/>
                  <w:vAlign w:val="center"/>
                </w:tcPr>
                <w:p w14:paraId="2B24EFCD">
                  <w:pPr>
                    <w:pStyle w:val="68"/>
                    <w:rPr>
                      <w:b w:val="0"/>
                      <w:bCs/>
                    </w:rPr>
                  </w:pPr>
                </w:p>
              </w:tc>
              <w:tc>
                <w:tcPr>
                  <w:tcW w:w="484" w:type="pct"/>
                  <w:vMerge w:val="continue"/>
                  <w:vAlign w:val="center"/>
                </w:tcPr>
                <w:p w14:paraId="43105B1F">
                  <w:pPr>
                    <w:pStyle w:val="68"/>
                    <w:rPr>
                      <w:b w:val="0"/>
                      <w:bCs/>
                    </w:rPr>
                  </w:pPr>
                </w:p>
              </w:tc>
            </w:tr>
            <w:tr w14:paraId="5A23A6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7" w:type="pct"/>
                  <w:vAlign w:val="center"/>
                </w:tcPr>
                <w:p w14:paraId="35EF2A91">
                  <w:pPr>
                    <w:pStyle w:val="68"/>
                    <w:rPr>
                      <w:b w:val="0"/>
                      <w:bCs/>
                    </w:rPr>
                  </w:pPr>
                  <w:r>
                    <w:rPr>
                      <w:rFonts w:hint="eastAsia"/>
                      <w:b w:val="0"/>
                      <w:bCs/>
                    </w:rPr>
                    <w:t>1</w:t>
                  </w:r>
                </w:p>
              </w:tc>
              <w:tc>
                <w:tcPr>
                  <w:tcW w:w="530" w:type="pct"/>
                  <w:vAlign w:val="center"/>
                </w:tcPr>
                <w:p w14:paraId="3340C6B5">
                  <w:pPr>
                    <w:pStyle w:val="68"/>
                    <w:rPr>
                      <w:b w:val="0"/>
                      <w:bCs/>
                    </w:rPr>
                  </w:pPr>
                  <w:r>
                    <w:rPr>
                      <w:rFonts w:hint="eastAsia"/>
                      <w:b w:val="0"/>
                      <w:bCs/>
                    </w:rPr>
                    <w:t>引风机</w:t>
                  </w:r>
                </w:p>
              </w:tc>
              <w:tc>
                <w:tcPr>
                  <w:tcW w:w="510" w:type="pct"/>
                  <w:vAlign w:val="center"/>
                </w:tcPr>
                <w:p w14:paraId="5713D2E9">
                  <w:pPr>
                    <w:pStyle w:val="68"/>
                    <w:rPr>
                      <w:b w:val="0"/>
                      <w:bCs/>
                    </w:rPr>
                  </w:pPr>
                  <w:r>
                    <w:rPr>
                      <w:rFonts w:hint="eastAsia"/>
                      <w:b w:val="0"/>
                      <w:bCs/>
                    </w:rPr>
                    <w:t>/</w:t>
                  </w:r>
                </w:p>
              </w:tc>
              <w:tc>
                <w:tcPr>
                  <w:tcW w:w="425" w:type="pct"/>
                  <w:vAlign w:val="center"/>
                </w:tcPr>
                <w:p w14:paraId="66F5D12C">
                  <w:pPr>
                    <w:pStyle w:val="68"/>
                    <w:rPr>
                      <w:b w:val="0"/>
                      <w:bCs/>
                    </w:rPr>
                  </w:pPr>
                  <w:r>
                    <w:rPr>
                      <w:rFonts w:hint="eastAsia"/>
                      <w:b w:val="0"/>
                      <w:bCs/>
                    </w:rPr>
                    <w:t>3</w:t>
                  </w:r>
                </w:p>
              </w:tc>
              <w:tc>
                <w:tcPr>
                  <w:tcW w:w="425" w:type="pct"/>
                  <w:vAlign w:val="center"/>
                </w:tcPr>
                <w:p w14:paraId="2E8F2796">
                  <w:pPr>
                    <w:pStyle w:val="68"/>
                    <w:rPr>
                      <w:b w:val="0"/>
                      <w:bCs/>
                    </w:rPr>
                  </w:pPr>
                  <w:r>
                    <w:rPr>
                      <w:rFonts w:hint="eastAsia"/>
                      <w:b w:val="0"/>
                      <w:bCs/>
                      <w:kern w:val="0"/>
                      <w:szCs w:val="21"/>
                      <w:lang w:bidi="ar"/>
                    </w:rPr>
                    <w:t>5</w:t>
                  </w:r>
                </w:p>
              </w:tc>
              <w:tc>
                <w:tcPr>
                  <w:tcW w:w="425" w:type="pct"/>
                  <w:vAlign w:val="center"/>
                </w:tcPr>
                <w:p w14:paraId="44EE7165">
                  <w:pPr>
                    <w:pStyle w:val="68"/>
                    <w:rPr>
                      <w:b w:val="0"/>
                      <w:bCs/>
                    </w:rPr>
                  </w:pPr>
                  <w:r>
                    <w:rPr>
                      <w:rFonts w:hint="eastAsia"/>
                      <w:b w:val="0"/>
                      <w:bCs/>
                      <w:kern w:val="0"/>
                      <w:szCs w:val="21"/>
                      <w:lang w:bidi="ar"/>
                    </w:rPr>
                    <w:t>45</w:t>
                  </w:r>
                </w:p>
              </w:tc>
              <w:tc>
                <w:tcPr>
                  <w:tcW w:w="424" w:type="pct"/>
                  <w:vAlign w:val="center"/>
                </w:tcPr>
                <w:p w14:paraId="0A81099C">
                  <w:pPr>
                    <w:pStyle w:val="68"/>
                    <w:rPr>
                      <w:b w:val="0"/>
                      <w:bCs/>
                    </w:rPr>
                  </w:pPr>
                  <w:r>
                    <w:rPr>
                      <w:rFonts w:hint="eastAsia"/>
                      <w:b w:val="0"/>
                      <w:bCs/>
                      <w:kern w:val="0"/>
                      <w:szCs w:val="21"/>
                      <w:lang w:bidi="ar"/>
                    </w:rPr>
                    <w:t>1</w:t>
                  </w:r>
                </w:p>
              </w:tc>
              <w:tc>
                <w:tcPr>
                  <w:tcW w:w="682" w:type="pct"/>
                  <w:vAlign w:val="center"/>
                </w:tcPr>
                <w:p w14:paraId="135A57F4">
                  <w:pPr>
                    <w:pStyle w:val="68"/>
                    <w:rPr>
                      <w:b w:val="0"/>
                      <w:bCs/>
                    </w:rPr>
                  </w:pPr>
                  <w:r>
                    <w:rPr>
                      <w:rFonts w:hint="eastAsia"/>
                      <w:b w:val="0"/>
                      <w:bCs/>
                    </w:rPr>
                    <w:t>9</w:t>
                  </w:r>
                  <w:r>
                    <w:rPr>
                      <w:b w:val="0"/>
                      <w:bCs/>
                    </w:rPr>
                    <w:t>0</w:t>
                  </w:r>
                </w:p>
              </w:tc>
              <w:tc>
                <w:tcPr>
                  <w:tcW w:w="588" w:type="pct"/>
                  <w:vAlign w:val="center"/>
                </w:tcPr>
                <w:p w14:paraId="0BECDA8D">
                  <w:pPr>
                    <w:pStyle w:val="68"/>
                    <w:rPr>
                      <w:b w:val="0"/>
                      <w:bCs/>
                    </w:rPr>
                  </w:pPr>
                  <w:r>
                    <w:rPr>
                      <w:rFonts w:hint="eastAsia"/>
                      <w:b w:val="0"/>
                      <w:bCs/>
                    </w:rPr>
                    <w:t>基础减振</w:t>
                  </w:r>
                </w:p>
              </w:tc>
              <w:tc>
                <w:tcPr>
                  <w:tcW w:w="484" w:type="pct"/>
                  <w:vAlign w:val="center"/>
                </w:tcPr>
                <w:p w14:paraId="1888FB76">
                  <w:pPr>
                    <w:pStyle w:val="68"/>
                    <w:rPr>
                      <w:b w:val="0"/>
                      <w:bCs/>
                    </w:rPr>
                  </w:pPr>
                  <w:r>
                    <w:rPr>
                      <w:rFonts w:hint="eastAsia"/>
                      <w:b w:val="0"/>
                      <w:bCs/>
                    </w:rPr>
                    <w:t>昼夜</w:t>
                  </w:r>
                </w:p>
              </w:tc>
            </w:tr>
          </w:tbl>
          <w:p w14:paraId="633E4997">
            <w:pPr>
              <w:adjustRightInd w:val="0"/>
              <w:snapToGrid w:val="0"/>
              <w:spacing w:line="360" w:lineRule="auto"/>
              <w:ind w:firstLine="480" w:firstLineChars="200"/>
              <w:rPr>
                <w:kern w:val="0"/>
                <w:sz w:val="24"/>
              </w:rPr>
            </w:pPr>
          </w:p>
          <w:p w14:paraId="0F143FF8">
            <w:pPr>
              <w:adjustRightInd w:val="0"/>
              <w:snapToGrid w:val="0"/>
              <w:spacing w:line="360" w:lineRule="auto"/>
              <w:ind w:firstLine="480" w:firstLineChars="200"/>
              <w:rPr>
                <w:kern w:val="0"/>
                <w:sz w:val="24"/>
              </w:rPr>
            </w:pPr>
            <w:r>
              <w:rPr>
                <w:rFonts w:hint="eastAsia"/>
                <w:kern w:val="0"/>
                <w:sz w:val="24"/>
              </w:rPr>
              <w:t>本次环评将生产车间设备的噪声叠加后视为一个等效声源，并按照风机、泵类等各产噪设备同时运行的情况进行叠加，按照点声源衰减模式进行预测，具体预测公示如下：</w:t>
            </w:r>
          </w:p>
          <w:p w14:paraId="16E6C2BF">
            <w:pPr>
              <w:adjustRightInd w:val="0"/>
              <w:snapToGrid w:val="0"/>
              <w:spacing w:line="360" w:lineRule="auto"/>
              <w:ind w:firstLine="480" w:firstLineChars="200"/>
              <w:jc w:val="center"/>
              <w:rPr>
                <w:kern w:val="0"/>
                <w:sz w:val="24"/>
              </w:rPr>
            </w:pPr>
            <w:r>
              <w:rPr>
                <w:kern w:val="0"/>
                <w:sz w:val="24"/>
              </w:rPr>
              <w:object>
                <v:shape id="_x0000_i1030" o:spt="75" type="#_x0000_t75" style="height:43.5pt;width:135pt;" o:ole="t" fillcolor="#6D6D6D" filled="f" o:preferrelative="t" stroked="f" coordsize="21600,21600">
                  <v:path/>
                  <v:fill on="f" focussize="0,0"/>
                  <v:stroke on="f" joinstyle="miter"/>
                  <v:imagedata r:id="rId32" o:title=""/>
                  <o:lock v:ext="edit" aspectratio="t"/>
                  <w10:wrap type="none"/>
                  <w10:anchorlock/>
                </v:shape>
                <o:OLEObject Type="Embed" ProgID="Equation.3" ShapeID="_x0000_i1030" DrawAspect="Content" ObjectID="_1468075730" r:id="rId31">
                  <o:LockedField>false</o:LockedField>
                </o:OLEObject>
              </w:object>
            </w:r>
          </w:p>
          <w:p w14:paraId="1C147E07">
            <w:pPr>
              <w:adjustRightInd w:val="0"/>
              <w:snapToGrid w:val="0"/>
              <w:spacing w:line="360" w:lineRule="auto"/>
              <w:ind w:firstLine="480" w:firstLineChars="200"/>
              <w:rPr>
                <w:kern w:val="0"/>
                <w:sz w:val="24"/>
              </w:rPr>
            </w:pPr>
            <w:r>
              <w:rPr>
                <w:rFonts w:hint="eastAsia"/>
                <w:kern w:val="0"/>
                <w:sz w:val="24"/>
              </w:rPr>
              <w:t>式中：</w:t>
            </w:r>
            <w:r>
              <w:rPr>
                <w:kern w:val="0"/>
                <w:sz w:val="24"/>
              </w:rPr>
              <w:t xml:space="preserve"> Ln――</w:t>
            </w:r>
            <w:r>
              <w:rPr>
                <w:rFonts w:hint="eastAsia"/>
                <w:kern w:val="0"/>
                <w:sz w:val="24"/>
              </w:rPr>
              <w:t>评价点的合成声级，</w:t>
            </w:r>
            <w:r>
              <w:rPr>
                <w:kern w:val="0"/>
                <w:sz w:val="24"/>
              </w:rPr>
              <w:t>dB</w:t>
            </w:r>
            <w:r>
              <w:rPr>
                <w:rFonts w:hint="eastAsia"/>
                <w:kern w:val="0"/>
                <w:sz w:val="24"/>
              </w:rPr>
              <w:t>；</w:t>
            </w:r>
          </w:p>
          <w:p w14:paraId="59338245">
            <w:pPr>
              <w:adjustRightInd w:val="0"/>
              <w:snapToGrid w:val="0"/>
              <w:spacing w:line="360" w:lineRule="auto"/>
              <w:ind w:firstLine="480" w:firstLineChars="200"/>
              <w:rPr>
                <w:kern w:val="0"/>
                <w:sz w:val="24"/>
              </w:rPr>
            </w:pPr>
            <w:r>
              <w:rPr>
                <w:kern w:val="0"/>
                <w:sz w:val="24"/>
              </w:rPr>
              <w:t xml:space="preserve">       Li――</w:t>
            </w:r>
            <w:r>
              <w:rPr>
                <w:rFonts w:hint="eastAsia"/>
                <w:kern w:val="0"/>
                <w:sz w:val="24"/>
              </w:rPr>
              <w:t>某声源对评价点的声级，</w:t>
            </w:r>
            <w:r>
              <w:rPr>
                <w:kern w:val="0"/>
                <w:sz w:val="24"/>
              </w:rPr>
              <w:t>dB</w:t>
            </w:r>
            <w:r>
              <w:rPr>
                <w:rFonts w:hint="eastAsia"/>
                <w:kern w:val="0"/>
                <w:sz w:val="24"/>
              </w:rPr>
              <w:t>。</w:t>
            </w:r>
          </w:p>
          <w:p w14:paraId="281985F5">
            <w:pPr>
              <w:adjustRightInd w:val="0"/>
              <w:snapToGrid w:val="0"/>
              <w:spacing w:line="360" w:lineRule="auto"/>
              <w:ind w:firstLine="480" w:firstLineChars="200"/>
              <w:rPr>
                <w:kern w:val="0"/>
                <w:sz w:val="24"/>
              </w:rPr>
            </w:pPr>
            <w:r>
              <w:rPr>
                <w:rFonts w:hint="eastAsia"/>
                <w:kern w:val="0"/>
                <w:sz w:val="24"/>
              </w:rPr>
              <w:t>按照噪声随传播距离增加的衰减计算模式，预测模式如下：</w:t>
            </w:r>
          </w:p>
          <w:p w14:paraId="7634C943">
            <w:pPr>
              <w:adjustRightInd w:val="0"/>
              <w:snapToGrid w:val="0"/>
              <w:spacing w:line="360" w:lineRule="auto"/>
              <w:ind w:firstLine="480" w:firstLineChars="200"/>
              <w:jc w:val="center"/>
              <w:rPr>
                <w:kern w:val="0"/>
                <w:sz w:val="24"/>
              </w:rPr>
            </w:pPr>
            <w:r>
              <w:rPr>
                <w:kern w:val="0"/>
                <w:sz w:val="24"/>
              </w:rPr>
              <w:t>L2</w:t>
            </w:r>
            <w:r>
              <w:rPr>
                <w:rFonts w:hint="eastAsia"/>
                <w:kern w:val="0"/>
                <w:sz w:val="24"/>
              </w:rPr>
              <w:t>＝</w:t>
            </w:r>
            <w:r>
              <w:rPr>
                <w:kern w:val="0"/>
                <w:sz w:val="24"/>
              </w:rPr>
              <w:t>L1</w:t>
            </w:r>
            <w:r>
              <w:rPr>
                <w:rFonts w:hint="eastAsia"/>
                <w:kern w:val="0"/>
                <w:sz w:val="24"/>
              </w:rPr>
              <w:t>－</w:t>
            </w:r>
            <w:r>
              <w:rPr>
                <w:kern w:val="0"/>
                <w:sz w:val="24"/>
              </w:rPr>
              <w:t>20lg(r2/r1)-ΔL    (r2</w:t>
            </w:r>
            <w:r>
              <w:rPr>
                <w:rFonts w:hint="eastAsia"/>
                <w:kern w:val="0"/>
                <w:sz w:val="24"/>
              </w:rPr>
              <w:t>＞</w:t>
            </w:r>
            <w:r>
              <w:rPr>
                <w:kern w:val="0"/>
                <w:sz w:val="24"/>
              </w:rPr>
              <w:t>r1)</w:t>
            </w:r>
          </w:p>
          <w:p w14:paraId="621A178F">
            <w:pPr>
              <w:adjustRightInd w:val="0"/>
              <w:snapToGrid w:val="0"/>
              <w:spacing w:line="360" w:lineRule="auto"/>
              <w:ind w:firstLine="480" w:firstLineChars="200"/>
              <w:rPr>
                <w:kern w:val="0"/>
                <w:sz w:val="24"/>
              </w:rPr>
            </w:pPr>
            <w:r>
              <w:rPr>
                <w:rFonts w:hint="eastAsia"/>
                <w:kern w:val="0"/>
                <w:sz w:val="24"/>
              </w:rPr>
              <w:t>式中：</w:t>
            </w:r>
            <w:r>
              <w:rPr>
                <w:kern w:val="0"/>
                <w:sz w:val="24"/>
              </w:rPr>
              <w:t>L1</w:t>
            </w:r>
            <w:r>
              <w:rPr>
                <w:rFonts w:hint="eastAsia"/>
                <w:kern w:val="0"/>
                <w:sz w:val="24"/>
              </w:rPr>
              <w:t>、</w:t>
            </w:r>
            <w:r>
              <w:rPr>
                <w:kern w:val="0"/>
                <w:sz w:val="24"/>
              </w:rPr>
              <w:t>L2——</w:t>
            </w:r>
            <w:r>
              <w:rPr>
                <w:rFonts w:hint="eastAsia"/>
                <w:kern w:val="0"/>
                <w:sz w:val="24"/>
              </w:rPr>
              <w:t>距声源</w:t>
            </w:r>
            <w:r>
              <w:rPr>
                <w:kern w:val="0"/>
                <w:sz w:val="24"/>
              </w:rPr>
              <w:t>r1</w:t>
            </w:r>
            <w:r>
              <w:rPr>
                <w:rFonts w:hint="eastAsia"/>
                <w:kern w:val="0"/>
                <w:sz w:val="24"/>
              </w:rPr>
              <w:t>、</w:t>
            </w:r>
            <w:r>
              <w:rPr>
                <w:kern w:val="0"/>
                <w:sz w:val="24"/>
              </w:rPr>
              <w:t>r2</w:t>
            </w:r>
            <w:r>
              <w:rPr>
                <w:rFonts w:hint="eastAsia"/>
                <w:kern w:val="0"/>
                <w:sz w:val="24"/>
              </w:rPr>
              <w:t>处的噪声值，</w:t>
            </w:r>
            <w:r>
              <w:rPr>
                <w:kern w:val="0"/>
                <w:sz w:val="24"/>
              </w:rPr>
              <w:t>dB</w:t>
            </w:r>
            <w:r>
              <w:rPr>
                <w:rFonts w:hint="eastAsia"/>
                <w:kern w:val="0"/>
                <w:sz w:val="24"/>
              </w:rPr>
              <w:t>（</w:t>
            </w:r>
            <w:r>
              <w:rPr>
                <w:kern w:val="0"/>
                <w:sz w:val="24"/>
              </w:rPr>
              <w:t>A</w:t>
            </w:r>
            <w:r>
              <w:rPr>
                <w:rFonts w:hint="eastAsia"/>
                <w:kern w:val="0"/>
                <w:sz w:val="24"/>
              </w:rPr>
              <w:t>）；</w:t>
            </w:r>
          </w:p>
          <w:p w14:paraId="1E06AB7B">
            <w:pPr>
              <w:adjustRightInd w:val="0"/>
              <w:snapToGrid w:val="0"/>
              <w:spacing w:line="360" w:lineRule="auto"/>
              <w:ind w:firstLine="480" w:firstLineChars="200"/>
              <w:rPr>
                <w:kern w:val="0"/>
                <w:sz w:val="24"/>
              </w:rPr>
            </w:pPr>
            <w:r>
              <w:rPr>
                <w:kern w:val="0"/>
                <w:sz w:val="24"/>
              </w:rPr>
              <w:t xml:space="preserve">       r1</w:t>
            </w:r>
            <w:r>
              <w:rPr>
                <w:rFonts w:hint="eastAsia"/>
                <w:kern w:val="0"/>
                <w:sz w:val="24"/>
              </w:rPr>
              <w:t>、</w:t>
            </w:r>
            <w:r>
              <w:rPr>
                <w:kern w:val="0"/>
                <w:sz w:val="24"/>
              </w:rPr>
              <w:t>r2——</w:t>
            </w:r>
            <w:r>
              <w:rPr>
                <w:rFonts w:hint="eastAsia"/>
                <w:kern w:val="0"/>
                <w:sz w:val="24"/>
              </w:rPr>
              <w:t>预测点距声源的距离。</w:t>
            </w:r>
          </w:p>
          <w:p w14:paraId="00ED620F">
            <w:pPr>
              <w:adjustRightInd w:val="0"/>
              <w:snapToGrid w:val="0"/>
              <w:spacing w:line="360" w:lineRule="auto"/>
              <w:ind w:firstLine="480" w:firstLineChars="200"/>
              <w:rPr>
                <w:kern w:val="0"/>
                <w:sz w:val="24"/>
              </w:rPr>
            </w:pPr>
            <w:r>
              <w:rPr>
                <w:rFonts w:hint="eastAsia"/>
                <w:kern w:val="0"/>
                <w:sz w:val="24"/>
              </w:rPr>
              <w:t>经计算，厂界噪声预测结果见表</w:t>
            </w:r>
            <w:r>
              <w:rPr>
                <w:kern w:val="0"/>
                <w:sz w:val="24"/>
              </w:rPr>
              <w:t>4-</w:t>
            </w:r>
            <w:r>
              <w:rPr>
                <w:rFonts w:hint="eastAsia"/>
                <w:kern w:val="0"/>
                <w:sz w:val="24"/>
              </w:rPr>
              <w:t>9。</w:t>
            </w:r>
          </w:p>
          <w:p w14:paraId="2DD77ACB">
            <w:pPr>
              <w:adjustRightInd w:val="0"/>
              <w:snapToGrid w:val="0"/>
              <w:jc w:val="center"/>
              <w:rPr>
                <w:b/>
                <w:szCs w:val="21"/>
              </w:rPr>
            </w:pPr>
            <w:r>
              <w:rPr>
                <w:rFonts w:hint="eastAsia"/>
                <w:b/>
                <w:szCs w:val="21"/>
              </w:rPr>
              <w:t>表</w:t>
            </w:r>
            <w:r>
              <w:rPr>
                <w:b/>
                <w:szCs w:val="21"/>
              </w:rPr>
              <w:t>4-</w:t>
            </w:r>
            <w:r>
              <w:rPr>
                <w:rFonts w:hint="eastAsia"/>
                <w:b/>
                <w:szCs w:val="21"/>
              </w:rPr>
              <w:t>9</w:t>
            </w:r>
            <w:r>
              <w:rPr>
                <w:b/>
                <w:szCs w:val="21"/>
              </w:rPr>
              <w:t xml:space="preserve">   </w:t>
            </w:r>
            <w:r>
              <w:rPr>
                <w:rFonts w:hint="eastAsia"/>
                <w:b/>
                <w:szCs w:val="21"/>
              </w:rPr>
              <w:t>厂界噪声的预测结果</w:t>
            </w:r>
            <w:r>
              <w:rPr>
                <w:b/>
                <w:szCs w:val="21"/>
              </w:rPr>
              <w:t xml:space="preserve">  </w:t>
            </w:r>
            <w:r>
              <w:rPr>
                <w:rFonts w:hint="eastAsia"/>
                <w:b/>
                <w:szCs w:val="21"/>
              </w:rPr>
              <w:t>单位：</w:t>
            </w:r>
            <w:r>
              <w:rPr>
                <w:b/>
                <w:szCs w:val="21"/>
              </w:rPr>
              <w:t>dB</w:t>
            </w:r>
            <w:r>
              <w:rPr>
                <w:rFonts w:hint="eastAsia"/>
                <w:b/>
                <w:szCs w:val="21"/>
              </w:rPr>
              <w:t>（</w:t>
            </w:r>
            <w:r>
              <w:rPr>
                <w:b/>
                <w:szCs w:val="21"/>
              </w:rPr>
              <w:t>A</w:t>
            </w:r>
            <w:r>
              <w:rPr>
                <w:rFonts w:hint="eastAsia"/>
                <w:b/>
                <w:szCs w:val="21"/>
              </w:rPr>
              <w:t>）</w:t>
            </w:r>
          </w:p>
          <w:tbl>
            <w:tblPr>
              <w:tblStyle w:val="31"/>
              <w:tblW w:w="829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36"/>
              <w:gridCol w:w="1614"/>
              <w:gridCol w:w="1615"/>
              <w:gridCol w:w="1615"/>
              <w:gridCol w:w="1615"/>
            </w:tblGrid>
            <w:tr w14:paraId="1987D5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0" w:hRule="atLeast"/>
                <w:jc w:val="center"/>
              </w:trPr>
              <w:tc>
                <w:tcPr>
                  <w:tcW w:w="1837" w:type="dxa"/>
                  <w:vAlign w:val="center"/>
                </w:tcPr>
                <w:p w14:paraId="3E8E9111">
                  <w:pPr>
                    <w:adjustRightInd w:val="0"/>
                    <w:snapToGrid w:val="0"/>
                    <w:jc w:val="center"/>
                    <w:rPr>
                      <w:bCs/>
                      <w:szCs w:val="21"/>
                    </w:rPr>
                  </w:pPr>
                  <w:r>
                    <w:rPr>
                      <w:rFonts w:hint="eastAsia"/>
                      <w:bCs/>
                      <w:szCs w:val="21"/>
                    </w:rPr>
                    <w:t>厂界</w:t>
                  </w:r>
                </w:p>
              </w:tc>
              <w:tc>
                <w:tcPr>
                  <w:tcW w:w="1614" w:type="dxa"/>
                  <w:vAlign w:val="center"/>
                </w:tcPr>
                <w:p w14:paraId="7E601DEA">
                  <w:pPr>
                    <w:adjustRightInd w:val="0"/>
                    <w:snapToGrid w:val="0"/>
                    <w:jc w:val="center"/>
                    <w:rPr>
                      <w:bCs/>
                      <w:szCs w:val="21"/>
                    </w:rPr>
                  </w:pPr>
                  <w:r>
                    <w:rPr>
                      <w:rFonts w:hint="eastAsia"/>
                      <w:bCs/>
                      <w:szCs w:val="21"/>
                    </w:rPr>
                    <w:t>东厂界</w:t>
                  </w:r>
                </w:p>
              </w:tc>
              <w:tc>
                <w:tcPr>
                  <w:tcW w:w="1615" w:type="dxa"/>
                  <w:vAlign w:val="center"/>
                </w:tcPr>
                <w:p w14:paraId="48688F58">
                  <w:pPr>
                    <w:adjustRightInd w:val="0"/>
                    <w:snapToGrid w:val="0"/>
                    <w:jc w:val="center"/>
                    <w:rPr>
                      <w:bCs/>
                      <w:szCs w:val="21"/>
                    </w:rPr>
                  </w:pPr>
                  <w:r>
                    <w:rPr>
                      <w:rFonts w:hint="eastAsia"/>
                      <w:bCs/>
                      <w:szCs w:val="21"/>
                    </w:rPr>
                    <w:t>西厂界</w:t>
                  </w:r>
                </w:p>
              </w:tc>
              <w:tc>
                <w:tcPr>
                  <w:tcW w:w="1615" w:type="dxa"/>
                  <w:vAlign w:val="center"/>
                </w:tcPr>
                <w:p w14:paraId="6E500E30">
                  <w:pPr>
                    <w:adjustRightInd w:val="0"/>
                    <w:snapToGrid w:val="0"/>
                    <w:jc w:val="center"/>
                    <w:rPr>
                      <w:bCs/>
                      <w:szCs w:val="21"/>
                    </w:rPr>
                  </w:pPr>
                  <w:r>
                    <w:rPr>
                      <w:rFonts w:hint="eastAsia"/>
                      <w:bCs/>
                      <w:szCs w:val="21"/>
                    </w:rPr>
                    <w:t>南厂界</w:t>
                  </w:r>
                </w:p>
              </w:tc>
              <w:tc>
                <w:tcPr>
                  <w:tcW w:w="1615" w:type="dxa"/>
                  <w:vAlign w:val="center"/>
                </w:tcPr>
                <w:p w14:paraId="103D44DF">
                  <w:pPr>
                    <w:adjustRightInd w:val="0"/>
                    <w:snapToGrid w:val="0"/>
                    <w:jc w:val="center"/>
                    <w:rPr>
                      <w:bCs/>
                      <w:szCs w:val="21"/>
                    </w:rPr>
                  </w:pPr>
                  <w:r>
                    <w:rPr>
                      <w:rFonts w:hint="eastAsia"/>
                      <w:bCs/>
                      <w:szCs w:val="21"/>
                    </w:rPr>
                    <w:t>北厂界</w:t>
                  </w:r>
                </w:p>
              </w:tc>
            </w:tr>
            <w:tr w14:paraId="4AF82C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37" w:type="dxa"/>
                  <w:vAlign w:val="center"/>
                </w:tcPr>
                <w:p w14:paraId="0B0A526E">
                  <w:pPr>
                    <w:adjustRightInd w:val="0"/>
                    <w:snapToGrid w:val="0"/>
                    <w:jc w:val="center"/>
                    <w:rPr>
                      <w:bCs/>
                      <w:szCs w:val="21"/>
                    </w:rPr>
                  </w:pPr>
                  <w:r>
                    <w:rPr>
                      <w:rFonts w:hint="eastAsia"/>
                      <w:bCs/>
                      <w:szCs w:val="21"/>
                    </w:rPr>
                    <w:t>经厂房隔声、采取降噪措施后</w:t>
                  </w:r>
                </w:p>
              </w:tc>
              <w:tc>
                <w:tcPr>
                  <w:tcW w:w="1614" w:type="dxa"/>
                  <w:vAlign w:val="center"/>
                </w:tcPr>
                <w:p w14:paraId="2608FE16">
                  <w:pPr>
                    <w:adjustRightInd w:val="0"/>
                    <w:snapToGrid w:val="0"/>
                    <w:jc w:val="center"/>
                    <w:rPr>
                      <w:bCs/>
                      <w:szCs w:val="21"/>
                    </w:rPr>
                  </w:pPr>
                  <w:r>
                    <w:rPr>
                      <w:rFonts w:hint="eastAsia"/>
                      <w:bCs/>
                      <w:szCs w:val="21"/>
                    </w:rPr>
                    <w:t>43</w:t>
                  </w:r>
                </w:p>
              </w:tc>
              <w:tc>
                <w:tcPr>
                  <w:tcW w:w="1615" w:type="dxa"/>
                  <w:vAlign w:val="center"/>
                </w:tcPr>
                <w:p w14:paraId="42084757">
                  <w:pPr>
                    <w:adjustRightInd w:val="0"/>
                    <w:snapToGrid w:val="0"/>
                    <w:jc w:val="center"/>
                    <w:rPr>
                      <w:bCs/>
                      <w:szCs w:val="21"/>
                    </w:rPr>
                  </w:pPr>
                  <w:r>
                    <w:rPr>
                      <w:rFonts w:hint="eastAsia"/>
                      <w:bCs/>
                      <w:szCs w:val="21"/>
                    </w:rPr>
                    <w:t>23</w:t>
                  </w:r>
                </w:p>
              </w:tc>
              <w:tc>
                <w:tcPr>
                  <w:tcW w:w="1615" w:type="dxa"/>
                  <w:vAlign w:val="center"/>
                </w:tcPr>
                <w:p w14:paraId="52A5BB08">
                  <w:pPr>
                    <w:adjustRightInd w:val="0"/>
                    <w:snapToGrid w:val="0"/>
                    <w:jc w:val="center"/>
                    <w:rPr>
                      <w:bCs/>
                      <w:szCs w:val="21"/>
                    </w:rPr>
                  </w:pPr>
                  <w:r>
                    <w:rPr>
                      <w:rFonts w:hint="eastAsia"/>
                      <w:bCs/>
                      <w:szCs w:val="21"/>
                    </w:rPr>
                    <w:t>12</w:t>
                  </w:r>
                </w:p>
              </w:tc>
              <w:tc>
                <w:tcPr>
                  <w:tcW w:w="1615" w:type="dxa"/>
                  <w:vAlign w:val="center"/>
                </w:tcPr>
                <w:p w14:paraId="3B05075C">
                  <w:pPr>
                    <w:adjustRightInd w:val="0"/>
                    <w:snapToGrid w:val="0"/>
                    <w:jc w:val="center"/>
                    <w:rPr>
                      <w:bCs/>
                      <w:szCs w:val="21"/>
                    </w:rPr>
                  </w:pPr>
                  <w:r>
                    <w:rPr>
                      <w:rFonts w:hint="eastAsia"/>
                      <w:bCs/>
                      <w:szCs w:val="21"/>
                    </w:rPr>
                    <w:t>36</w:t>
                  </w:r>
                </w:p>
              </w:tc>
            </w:tr>
            <w:tr w14:paraId="1A95CB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37" w:type="dxa"/>
                  <w:vAlign w:val="center"/>
                </w:tcPr>
                <w:p w14:paraId="2DBD55E5">
                  <w:pPr>
                    <w:adjustRightInd w:val="0"/>
                    <w:snapToGrid w:val="0"/>
                    <w:jc w:val="center"/>
                    <w:rPr>
                      <w:bCs/>
                      <w:szCs w:val="21"/>
                    </w:rPr>
                  </w:pPr>
                  <w:r>
                    <w:rPr>
                      <w:rFonts w:hint="eastAsia"/>
                      <w:bCs/>
                      <w:szCs w:val="21"/>
                    </w:rPr>
                    <w:t>标准值</w:t>
                  </w:r>
                </w:p>
              </w:tc>
              <w:tc>
                <w:tcPr>
                  <w:tcW w:w="6459" w:type="dxa"/>
                  <w:gridSpan w:val="4"/>
                  <w:vAlign w:val="center"/>
                </w:tcPr>
                <w:p w14:paraId="5394EDC2">
                  <w:pPr>
                    <w:adjustRightInd w:val="0"/>
                    <w:snapToGrid w:val="0"/>
                    <w:jc w:val="center"/>
                    <w:rPr>
                      <w:bCs/>
                      <w:szCs w:val="21"/>
                    </w:rPr>
                  </w:pPr>
                  <w:r>
                    <w:rPr>
                      <w:rFonts w:hint="eastAsia"/>
                      <w:bCs/>
                      <w:szCs w:val="21"/>
                    </w:rPr>
                    <w:t>《工业企业厂界环境噪声排放标准》（</w:t>
                  </w:r>
                  <w:r>
                    <w:rPr>
                      <w:bCs/>
                      <w:szCs w:val="21"/>
                    </w:rPr>
                    <w:t>GB12348-2008</w:t>
                  </w:r>
                  <w:r>
                    <w:rPr>
                      <w:rFonts w:hint="eastAsia"/>
                      <w:bCs/>
                      <w:szCs w:val="21"/>
                    </w:rPr>
                    <w:t>）</w:t>
                  </w:r>
                </w:p>
                <w:p w14:paraId="137214D4">
                  <w:pPr>
                    <w:adjustRightInd w:val="0"/>
                    <w:snapToGrid w:val="0"/>
                    <w:jc w:val="center"/>
                    <w:rPr>
                      <w:bCs/>
                      <w:szCs w:val="21"/>
                    </w:rPr>
                  </w:pPr>
                  <w:r>
                    <w:rPr>
                      <w:rFonts w:hint="eastAsia"/>
                      <w:bCs/>
                      <w:szCs w:val="21"/>
                    </w:rPr>
                    <w:t>昼间≤</w:t>
                  </w:r>
                  <w:r>
                    <w:rPr>
                      <w:bCs/>
                      <w:szCs w:val="21"/>
                    </w:rPr>
                    <w:t>6</w:t>
                  </w:r>
                  <w:r>
                    <w:rPr>
                      <w:rFonts w:hint="eastAsia"/>
                      <w:bCs/>
                      <w:szCs w:val="21"/>
                    </w:rPr>
                    <w:t>0</w:t>
                  </w:r>
                  <w:r>
                    <w:rPr>
                      <w:bCs/>
                      <w:szCs w:val="21"/>
                    </w:rPr>
                    <w:t>dB(A)</w:t>
                  </w:r>
                  <w:r>
                    <w:rPr>
                      <w:rFonts w:hint="eastAsia"/>
                      <w:bCs/>
                      <w:szCs w:val="21"/>
                    </w:rPr>
                    <w:t>，夜间≤</w:t>
                  </w:r>
                  <w:r>
                    <w:rPr>
                      <w:bCs/>
                      <w:szCs w:val="21"/>
                    </w:rPr>
                    <w:t>5</w:t>
                  </w:r>
                  <w:r>
                    <w:rPr>
                      <w:rFonts w:hint="eastAsia"/>
                      <w:bCs/>
                      <w:szCs w:val="21"/>
                    </w:rPr>
                    <w:t>0</w:t>
                  </w:r>
                  <w:r>
                    <w:rPr>
                      <w:bCs/>
                      <w:szCs w:val="21"/>
                    </w:rPr>
                    <w:t>dB(A)</w:t>
                  </w:r>
                </w:p>
              </w:tc>
            </w:tr>
            <w:tr w14:paraId="7867BF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837" w:type="dxa"/>
                  <w:vAlign w:val="center"/>
                </w:tcPr>
                <w:p w14:paraId="7FA625D6">
                  <w:pPr>
                    <w:adjustRightInd w:val="0"/>
                    <w:snapToGrid w:val="0"/>
                    <w:jc w:val="center"/>
                    <w:rPr>
                      <w:bCs/>
                      <w:szCs w:val="21"/>
                    </w:rPr>
                  </w:pPr>
                  <w:r>
                    <w:rPr>
                      <w:rFonts w:hint="eastAsia"/>
                      <w:bCs/>
                      <w:szCs w:val="21"/>
                    </w:rPr>
                    <w:t>预测结果</w:t>
                  </w:r>
                </w:p>
              </w:tc>
              <w:tc>
                <w:tcPr>
                  <w:tcW w:w="1614" w:type="dxa"/>
                  <w:vAlign w:val="center"/>
                </w:tcPr>
                <w:p w14:paraId="24067828">
                  <w:pPr>
                    <w:adjustRightInd w:val="0"/>
                    <w:snapToGrid w:val="0"/>
                    <w:jc w:val="center"/>
                    <w:rPr>
                      <w:bCs/>
                      <w:szCs w:val="21"/>
                    </w:rPr>
                  </w:pPr>
                  <w:r>
                    <w:rPr>
                      <w:rFonts w:hint="eastAsia"/>
                      <w:bCs/>
                      <w:szCs w:val="21"/>
                    </w:rPr>
                    <w:t>达标</w:t>
                  </w:r>
                </w:p>
              </w:tc>
              <w:tc>
                <w:tcPr>
                  <w:tcW w:w="1615" w:type="dxa"/>
                  <w:vAlign w:val="center"/>
                </w:tcPr>
                <w:p w14:paraId="273C6249">
                  <w:pPr>
                    <w:adjustRightInd w:val="0"/>
                    <w:snapToGrid w:val="0"/>
                    <w:jc w:val="center"/>
                    <w:rPr>
                      <w:bCs/>
                      <w:szCs w:val="21"/>
                    </w:rPr>
                  </w:pPr>
                  <w:r>
                    <w:rPr>
                      <w:rFonts w:hint="eastAsia"/>
                      <w:bCs/>
                      <w:szCs w:val="21"/>
                    </w:rPr>
                    <w:t>达标</w:t>
                  </w:r>
                </w:p>
              </w:tc>
              <w:tc>
                <w:tcPr>
                  <w:tcW w:w="1615" w:type="dxa"/>
                  <w:vAlign w:val="center"/>
                </w:tcPr>
                <w:p w14:paraId="5293567F">
                  <w:pPr>
                    <w:adjustRightInd w:val="0"/>
                    <w:snapToGrid w:val="0"/>
                    <w:jc w:val="center"/>
                    <w:rPr>
                      <w:bCs/>
                      <w:szCs w:val="21"/>
                    </w:rPr>
                  </w:pPr>
                  <w:r>
                    <w:rPr>
                      <w:rFonts w:hint="eastAsia"/>
                      <w:bCs/>
                      <w:szCs w:val="21"/>
                    </w:rPr>
                    <w:t>达标</w:t>
                  </w:r>
                </w:p>
              </w:tc>
              <w:tc>
                <w:tcPr>
                  <w:tcW w:w="1615" w:type="dxa"/>
                  <w:vAlign w:val="center"/>
                </w:tcPr>
                <w:p w14:paraId="796A2704">
                  <w:pPr>
                    <w:adjustRightInd w:val="0"/>
                    <w:snapToGrid w:val="0"/>
                    <w:jc w:val="center"/>
                    <w:rPr>
                      <w:bCs/>
                      <w:szCs w:val="21"/>
                    </w:rPr>
                  </w:pPr>
                  <w:r>
                    <w:rPr>
                      <w:rFonts w:hint="eastAsia"/>
                      <w:bCs/>
                      <w:szCs w:val="21"/>
                    </w:rPr>
                    <w:t>达标</w:t>
                  </w:r>
                </w:p>
              </w:tc>
            </w:tr>
          </w:tbl>
          <w:p w14:paraId="3F241BE3">
            <w:pPr>
              <w:adjustRightInd w:val="0"/>
              <w:snapToGrid w:val="0"/>
              <w:spacing w:before="120" w:beforeLines="50" w:line="360" w:lineRule="auto"/>
              <w:ind w:firstLine="480" w:firstLineChars="200"/>
              <w:rPr>
                <w:kern w:val="0"/>
                <w:sz w:val="24"/>
              </w:rPr>
            </w:pPr>
            <w:r>
              <w:rPr>
                <w:rFonts w:hint="eastAsia"/>
                <w:kern w:val="0"/>
                <w:sz w:val="24"/>
              </w:rPr>
              <w:t>本项目运营期，厂界昼夜间噪声贡献值在12</w:t>
            </w:r>
            <w:r>
              <w:rPr>
                <w:kern w:val="0"/>
                <w:sz w:val="24"/>
              </w:rPr>
              <w:t>dB(A)~</w:t>
            </w:r>
            <w:r>
              <w:rPr>
                <w:rFonts w:hint="eastAsia"/>
                <w:kern w:val="0"/>
                <w:sz w:val="24"/>
              </w:rPr>
              <w:t>43</w:t>
            </w:r>
            <w:r>
              <w:rPr>
                <w:kern w:val="0"/>
                <w:sz w:val="24"/>
              </w:rPr>
              <w:t>dB(A)</w:t>
            </w:r>
            <w:r>
              <w:rPr>
                <w:rFonts w:hint="eastAsia"/>
                <w:kern w:val="0"/>
                <w:sz w:val="24"/>
              </w:rPr>
              <w:t>之间，满足《工业企业厂界环境噪声排放标准》（</w:t>
            </w:r>
            <w:r>
              <w:rPr>
                <w:kern w:val="0"/>
                <w:sz w:val="24"/>
              </w:rPr>
              <w:t>GB12348-2008</w:t>
            </w:r>
            <w:r>
              <w:rPr>
                <w:rFonts w:hint="eastAsia"/>
                <w:kern w:val="0"/>
                <w:sz w:val="24"/>
              </w:rPr>
              <w:t>）标准限值要求。</w:t>
            </w:r>
          </w:p>
          <w:p w14:paraId="79B78D90">
            <w:pPr>
              <w:adjustRightInd w:val="0"/>
              <w:snapToGrid w:val="0"/>
              <w:spacing w:before="120" w:beforeLines="50" w:line="360" w:lineRule="auto"/>
              <w:ind w:firstLine="480" w:firstLineChars="200"/>
              <w:rPr>
                <w:b/>
                <w:sz w:val="24"/>
              </w:rPr>
            </w:pPr>
            <w:bookmarkStart w:id="34" w:name="_Hlk176423986"/>
            <w:r>
              <w:rPr>
                <w:rFonts w:hint="eastAsia"/>
                <w:kern w:val="0"/>
                <w:sz w:val="24"/>
              </w:rPr>
              <w:t>引用《杭锦旗聚能能源有限公司油房壕矿井及选煤厂环境影响报告书》中噪声预测结论：“工业场地各厂界昼间噪声均能满足</w:t>
            </w:r>
            <w:r>
              <w:rPr>
                <w:kern w:val="0"/>
                <w:sz w:val="24"/>
              </w:rPr>
              <w:t>《工业企业厂界</w:t>
            </w:r>
            <w:r>
              <w:rPr>
                <w:rFonts w:hint="eastAsia"/>
                <w:kern w:val="0"/>
                <w:sz w:val="24"/>
              </w:rPr>
              <w:t>环境</w:t>
            </w:r>
            <w:r>
              <w:rPr>
                <w:kern w:val="0"/>
                <w:sz w:val="24"/>
              </w:rPr>
              <w:t>噪声</w:t>
            </w:r>
            <w:r>
              <w:rPr>
                <w:rFonts w:hint="eastAsia"/>
                <w:kern w:val="0"/>
                <w:sz w:val="24"/>
              </w:rPr>
              <w:t>排放</w:t>
            </w:r>
            <w:r>
              <w:rPr>
                <w:kern w:val="0"/>
                <w:sz w:val="24"/>
              </w:rPr>
              <w:t>标准》（GB12348</w:t>
            </w:r>
            <w:r>
              <w:rPr>
                <w:rFonts w:hint="eastAsia"/>
                <w:kern w:val="0"/>
                <w:sz w:val="24"/>
              </w:rPr>
              <w:t>-2008</w:t>
            </w:r>
            <w:r>
              <w:rPr>
                <w:kern w:val="0"/>
                <w:sz w:val="24"/>
              </w:rPr>
              <w:t>）中的</w:t>
            </w:r>
            <w:r>
              <w:rPr>
                <w:rFonts w:hint="eastAsia"/>
                <w:kern w:val="0"/>
                <w:sz w:val="24"/>
              </w:rPr>
              <w:t>2类</w:t>
            </w:r>
            <w:r>
              <w:rPr>
                <w:kern w:val="0"/>
                <w:sz w:val="24"/>
              </w:rPr>
              <w:t>标准</w:t>
            </w:r>
            <w:r>
              <w:rPr>
                <w:rFonts w:hint="eastAsia"/>
                <w:kern w:val="0"/>
                <w:sz w:val="24"/>
              </w:rPr>
              <w:t>要求，1#东厂界、3#西厂界、4#西厂界和5#西北厂界夜间噪声出现超标现象，最大超标值分别为2.2</w:t>
            </w:r>
            <w:r>
              <w:rPr>
                <w:kern w:val="0"/>
                <w:sz w:val="24"/>
              </w:rPr>
              <w:t>dB(A)</w:t>
            </w:r>
            <w:r>
              <w:rPr>
                <w:rFonts w:hint="eastAsia"/>
                <w:kern w:val="0"/>
                <w:sz w:val="24"/>
              </w:rPr>
              <w:t>、5.9</w:t>
            </w:r>
            <w:r>
              <w:rPr>
                <w:kern w:val="0"/>
                <w:sz w:val="24"/>
              </w:rPr>
              <w:t>dB(A)</w:t>
            </w:r>
            <w:r>
              <w:rPr>
                <w:rFonts w:hint="eastAsia"/>
                <w:kern w:val="0"/>
                <w:sz w:val="24"/>
              </w:rPr>
              <w:t>、5.1</w:t>
            </w:r>
            <w:r>
              <w:rPr>
                <w:kern w:val="0"/>
                <w:sz w:val="24"/>
              </w:rPr>
              <w:t>dB(A)</w:t>
            </w:r>
            <w:r>
              <w:rPr>
                <w:rFonts w:hint="eastAsia"/>
                <w:kern w:val="0"/>
                <w:sz w:val="24"/>
              </w:rPr>
              <w:t>和2.9</w:t>
            </w:r>
            <w:r>
              <w:rPr>
                <w:kern w:val="0"/>
                <w:sz w:val="24"/>
              </w:rPr>
              <w:t>dB(A)</w:t>
            </w:r>
            <w:r>
              <w:rPr>
                <w:rFonts w:hint="eastAsia"/>
                <w:kern w:val="0"/>
                <w:sz w:val="24"/>
              </w:rPr>
              <w:t>，其中1#东厂界夜间噪声超标是由于装车站噪声影响所致，3#西厂界、4#西厂界夜间噪声超标是由于生活污水处理站和矿井水处理站水泵噪声影响所致，5#西北厂界夜间噪声超标是由于主井井口房、空气加热室以及压风机房噪声影响所致，各厂界噪声超标范围均在厂界外100m范围以内，本项目工业场地各厂界外200m范围内均无村庄等噪声敏感点，因此厂界噪声超标不会对周围声环境产生严重影响。评价要求将工业场地东、西、西北厂界外100m作为噪声防护范围，</w:t>
            </w:r>
            <w:r>
              <w:rPr>
                <w:kern w:val="0"/>
                <w:sz w:val="24"/>
              </w:rPr>
              <w:t>在今后的规划中禁止在该范围内新建学校、医院、养老院和居民点等声环境敏感目标。</w:t>
            </w:r>
            <w:r>
              <w:rPr>
                <w:rFonts w:hint="eastAsia"/>
                <w:kern w:val="0"/>
                <w:sz w:val="24"/>
              </w:rPr>
              <w:t>”表明锅炉房及配套设施对周边环境影响较小，本项目建成后虽增加了运行设备数量，但噪声贡献量较小，厂界噪声预测值可满足《工业企业厂界环境噪声排放标准》 （GB12348-2008）中2类标准限值，对周围声环境影响较小。</w:t>
            </w:r>
            <w:bookmarkEnd w:id="34"/>
          </w:p>
          <w:bookmarkEnd w:id="32"/>
          <w:p w14:paraId="5BDB83BA">
            <w:pPr>
              <w:adjustRightInd w:val="0"/>
              <w:snapToGrid w:val="0"/>
              <w:spacing w:line="360" w:lineRule="auto"/>
              <w:ind w:firstLine="482" w:firstLineChars="200"/>
              <w:rPr>
                <w:b/>
                <w:bCs/>
                <w:sz w:val="24"/>
              </w:rPr>
            </w:pPr>
            <w:r>
              <w:rPr>
                <w:b/>
                <w:bCs/>
                <w:sz w:val="24"/>
              </w:rPr>
              <w:t>4</w:t>
            </w:r>
            <w:r>
              <w:rPr>
                <w:rFonts w:hint="eastAsia"/>
                <w:b/>
                <w:bCs/>
                <w:sz w:val="24"/>
              </w:rPr>
              <w:t>、固体废物</w:t>
            </w:r>
          </w:p>
          <w:p w14:paraId="0F5956EE">
            <w:pPr>
              <w:adjustRightInd w:val="0"/>
              <w:snapToGrid w:val="0"/>
              <w:spacing w:line="360" w:lineRule="auto"/>
              <w:ind w:firstLine="480" w:firstLineChars="200"/>
              <w:rPr>
                <w:kern w:val="0"/>
                <w:sz w:val="24"/>
              </w:rPr>
            </w:pPr>
            <w:r>
              <w:rPr>
                <w:rFonts w:hint="eastAsia"/>
                <w:kern w:val="0"/>
                <w:sz w:val="24"/>
              </w:rPr>
              <w:t>本项目无新增劳动定员，无生活垃圾产生。固体废物主要包括软水制备产生的废离子交换树脂、锅炉灰渣、脱硫副产物、废催化剂等。</w:t>
            </w:r>
          </w:p>
          <w:p w14:paraId="086B22D4">
            <w:pPr>
              <w:adjustRightInd w:val="0"/>
              <w:snapToGrid w:val="0"/>
              <w:spacing w:line="360" w:lineRule="auto"/>
              <w:ind w:firstLine="480" w:firstLineChars="200"/>
              <w:rPr>
                <w:kern w:val="0"/>
                <w:sz w:val="24"/>
              </w:rPr>
            </w:pPr>
            <w:r>
              <w:rPr>
                <w:rFonts w:hint="eastAsia"/>
                <w:kern w:val="0"/>
                <w:sz w:val="24"/>
              </w:rPr>
              <w:t>（1）废离子交换树脂</w:t>
            </w:r>
          </w:p>
          <w:p w14:paraId="589730CD">
            <w:pPr>
              <w:adjustRightInd w:val="0"/>
              <w:snapToGrid w:val="0"/>
              <w:spacing w:line="360" w:lineRule="auto"/>
              <w:ind w:firstLine="480" w:firstLineChars="200"/>
              <w:rPr>
                <w:kern w:val="0"/>
                <w:sz w:val="24"/>
              </w:rPr>
            </w:pPr>
            <w:r>
              <w:rPr>
                <w:rFonts w:hint="eastAsia"/>
                <w:kern w:val="0"/>
                <w:sz w:val="24"/>
              </w:rPr>
              <w:t>项目软水制备系统离子交换树脂每3年更换一次，废树脂产生量为</w:t>
            </w:r>
            <w:r>
              <w:rPr>
                <w:kern w:val="0"/>
                <w:sz w:val="24"/>
              </w:rPr>
              <w:t>1.5</w:t>
            </w:r>
            <w:r>
              <w:rPr>
                <w:rFonts w:hint="eastAsia"/>
                <w:kern w:val="0"/>
                <w:sz w:val="24"/>
              </w:rPr>
              <w:t>t次，0.</w:t>
            </w:r>
            <w:r>
              <w:rPr>
                <w:kern w:val="0"/>
                <w:sz w:val="24"/>
              </w:rPr>
              <w:t>5</w:t>
            </w:r>
            <w:r>
              <w:rPr>
                <w:rFonts w:hint="eastAsia"/>
                <w:kern w:val="0"/>
                <w:sz w:val="24"/>
              </w:rPr>
              <w:t>t/a。本项目废离子交换树脂属一般工业固体废物，定期更换时由厂家回收处理，不在厂区暂存。</w:t>
            </w:r>
          </w:p>
          <w:p w14:paraId="592963BF">
            <w:pPr>
              <w:adjustRightInd w:val="0"/>
              <w:snapToGrid w:val="0"/>
              <w:spacing w:line="360" w:lineRule="auto"/>
              <w:ind w:firstLine="480" w:firstLineChars="200"/>
              <w:rPr>
                <w:kern w:val="0"/>
                <w:sz w:val="24"/>
              </w:rPr>
            </w:pPr>
            <w:r>
              <w:rPr>
                <w:rFonts w:hint="eastAsia"/>
                <w:kern w:val="0"/>
                <w:sz w:val="24"/>
              </w:rPr>
              <w:t>（2）锅炉灰渣</w:t>
            </w:r>
          </w:p>
          <w:p w14:paraId="4E6C073E">
            <w:pPr>
              <w:adjustRightInd w:val="0"/>
              <w:snapToGrid w:val="0"/>
              <w:spacing w:line="360" w:lineRule="auto"/>
              <w:ind w:firstLine="480" w:firstLineChars="200"/>
              <w:rPr>
                <w:kern w:val="0"/>
                <w:sz w:val="24"/>
              </w:rPr>
            </w:pPr>
            <w:r>
              <w:rPr>
                <w:rFonts w:hint="eastAsia"/>
                <w:kern w:val="0"/>
                <w:sz w:val="24"/>
              </w:rPr>
              <w:t>根据《污染源源强核算技术指南 锅炉》（H</w:t>
            </w:r>
            <w:r>
              <w:rPr>
                <w:kern w:val="0"/>
                <w:sz w:val="24"/>
              </w:rPr>
              <w:t>J991-2018</w:t>
            </w:r>
            <w:r>
              <w:rPr>
                <w:rFonts w:hint="eastAsia"/>
                <w:kern w:val="0"/>
                <w:sz w:val="24"/>
              </w:rPr>
              <w:t>），灰渣产生量：</w:t>
            </w:r>
          </w:p>
          <w:p w14:paraId="215EB7D5">
            <w:pPr>
              <w:adjustRightInd w:val="0"/>
              <w:snapToGrid w:val="0"/>
              <w:spacing w:line="360" w:lineRule="auto"/>
              <w:jc w:val="center"/>
              <w:rPr>
                <w:kern w:val="0"/>
                <w:sz w:val="24"/>
              </w:rPr>
            </w:pPr>
            <w:r>
              <w:rPr>
                <w:kern w:val="0"/>
                <w:sz w:val="24"/>
              </w:rPr>
              <w:drawing>
                <wp:inline distT="0" distB="0" distL="0" distR="0">
                  <wp:extent cx="2333625" cy="533400"/>
                  <wp:effectExtent l="0" t="0" r="9525" b="0"/>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pic:cNvPicPr>
                            <a:picLocks noChangeAspect="1"/>
                          </pic:cNvPicPr>
                        </pic:nvPicPr>
                        <pic:blipFill>
                          <a:blip r:embed="rId33"/>
                          <a:stretch>
                            <a:fillRect/>
                          </a:stretch>
                        </pic:blipFill>
                        <pic:spPr>
                          <a:xfrm>
                            <a:off x="0" y="0"/>
                            <a:ext cx="2333625" cy="533400"/>
                          </a:xfrm>
                          <a:prstGeom prst="rect">
                            <a:avLst/>
                          </a:prstGeom>
                        </pic:spPr>
                      </pic:pic>
                    </a:graphicData>
                  </a:graphic>
                </wp:inline>
              </w:drawing>
            </w:r>
          </w:p>
          <w:p w14:paraId="49BF25D8">
            <w:pPr>
              <w:adjustRightInd w:val="0"/>
              <w:snapToGrid w:val="0"/>
              <w:spacing w:line="360" w:lineRule="auto"/>
              <w:ind w:firstLine="480" w:firstLineChars="200"/>
              <w:rPr>
                <w:kern w:val="0"/>
                <w:sz w:val="24"/>
              </w:rPr>
            </w:pPr>
            <w:r>
              <w:rPr>
                <w:rFonts w:hint="eastAsia"/>
                <w:kern w:val="0"/>
                <w:sz w:val="24"/>
              </w:rPr>
              <w:t>式中：E</w:t>
            </w:r>
            <w:r>
              <w:rPr>
                <w:rFonts w:hint="eastAsia"/>
                <w:kern w:val="0"/>
                <w:sz w:val="24"/>
                <w:vertAlign w:val="subscript"/>
              </w:rPr>
              <w:t>hz</w:t>
            </w:r>
            <w:r>
              <w:rPr>
                <w:rFonts w:hint="eastAsia"/>
                <w:kern w:val="0"/>
                <w:sz w:val="24"/>
              </w:rPr>
              <w:t>——核算时段内灰渣产生量，t；</w:t>
            </w:r>
          </w:p>
          <w:p w14:paraId="451BA38A">
            <w:pPr>
              <w:adjustRightInd w:val="0"/>
              <w:snapToGrid w:val="0"/>
              <w:spacing w:line="360" w:lineRule="auto"/>
              <w:ind w:firstLine="480" w:firstLineChars="200"/>
              <w:rPr>
                <w:kern w:val="0"/>
                <w:sz w:val="24"/>
              </w:rPr>
            </w:pPr>
            <w:r>
              <w:rPr>
                <w:rFonts w:hint="eastAsia"/>
                <w:kern w:val="0"/>
                <w:sz w:val="24"/>
              </w:rPr>
              <w:t>R——核算时段内锅炉燃料耗量，t，取37630；</w:t>
            </w:r>
          </w:p>
          <w:p w14:paraId="505DB754">
            <w:pPr>
              <w:adjustRightInd w:val="0"/>
              <w:snapToGrid w:val="0"/>
              <w:spacing w:line="360" w:lineRule="auto"/>
              <w:ind w:firstLine="480" w:firstLineChars="200"/>
              <w:rPr>
                <w:kern w:val="0"/>
                <w:sz w:val="24"/>
              </w:rPr>
            </w:pPr>
            <w:r>
              <w:rPr>
                <w:kern w:val="0"/>
                <w:sz w:val="24"/>
              </w:rPr>
              <w:t>A</w:t>
            </w:r>
            <w:r>
              <w:rPr>
                <w:rFonts w:hint="eastAsia"/>
                <w:kern w:val="0"/>
                <w:sz w:val="24"/>
              </w:rPr>
              <w:t>a</w:t>
            </w:r>
            <w:r>
              <w:rPr>
                <w:kern w:val="0"/>
                <w:sz w:val="24"/>
              </w:rPr>
              <w:t>r</w:t>
            </w:r>
            <w:r>
              <w:rPr>
                <w:rFonts w:hint="eastAsia"/>
                <w:kern w:val="0"/>
                <w:sz w:val="24"/>
              </w:rPr>
              <w:t>——收到基灰分的质量分数，%，本项目以4.54%计；</w:t>
            </w:r>
          </w:p>
          <w:p w14:paraId="364EF552">
            <w:pPr>
              <w:adjustRightInd w:val="0"/>
              <w:snapToGrid w:val="0"/>
              <w:spacing w:line="360" w:lineRule="auto"/>
              <w:ind w:firstLine="480" w:firstLineChars="200"/>
              <w:rPr>
                <w:kern w:val="0"/>
                <w:sz w:val="24"/>
              </w:rPr>
            </w:pPr>
            <w:r>
              <w:rPr>
                <w:kern w:val="0"/>
                <w:sz w:val="24"/>
              </w:rPr>
              <w:t>q</w:t>
            </w:r>
            <w:r>
              <w:rPr>
                <w:kern w:val="0"/>
                <w:sz w:val="24"/>
                <w:vertAlign w:val="subscript"/>
              </w:rPr>
              <w:t>4</w:t>
            </w:r>
            <w:r>
              <w:rPr>
                <w:rFonts w:hint="eastAsia"/>
                <w:kern w:val="0"/>
                <w:sz w:val="24"/>
              </w:rPr>
              <w:t>——锅炉机械不完全燃烧热损失，%，本项目以5%；</w:t>
            </w:r>
          </w:p>
          <w:p w14:paraId="0E262289">
            <w:pPr>
              <w:adjustRightInd w:val="0"/>
              <w:snapToGrid w:val="0"/>
              <w:spacing w:line="360" w:lineRule="auto"/>
              <w:ind w:firstLine="480" w:firstLineChars="200"/>
              <w:rPr>
                <w:kern w:val="0"/>
                <w:sz w:val="24"/>
              </w:rPr>
            </w:pPr>
            <w:r>
              <w:rPr>
                <w:rFonts w:hint="eastAsia"/>
                <w:kern w:val="0"/>
                <w:sz w:val="24"/>
              </w:rPr>
              <w:t>Q</w:t>
            </w:r>
            <w:r>
              <w:rPr>
                <w:rFonts w:hint="eastAsia"/>
                <w:kern w:val="0"/>
                <w:sz w:val="24"/>
                <w:vertAlign w:val="subscript"/>
              </w:rPr>
              <w:t>net，ar</w:t>
            </w:r>
            <w:r>
              <w:rPr>
                <w:rFonts w:hint="eastAsia"/>
                <w:kern w:val="0"/>
                <w:sz w:val="24"/>
              </w:rPr>
              <w:t>——收到基低位发热量，</w:t>
            </w:r>
            <w:r>
              <w:rPr>
                <w:kern w:val="0"/>
                <w:sz w:val="24"/>
              </w:rPr>
              <w:t>kJ/</w:t>
            </w:r>
            <w:r>
              <w:rPr>
                <w:rFonts w:hint="eastAsia"/>
                <w:kern w:val="0"/>
                <w:sz w:val="24"/>
              </w:rPr>
              <w:t>kg，本项目以23798.58</w:t>
            </w:r>
            <w:r>
              <w:rPr>
                <w:kern w:val="0"/>
                <w:sz w:val="24"/>
              </w:rPr>
              <w:t>计</w:t>
            </w:r>
          </w:p>
          <w:p w14:paraId="4E9D6AB3">
            <w:pPr>
              <w:adjustRightInd w:val="0"/>
              <w:snapToGrid w:val="0"/>
              <w:spacing w:line="360" w:lineRule="auto"/>
              <w:ind w:firstLine="480" w:firstLineChars="200"/>
              <w:rPr>
                <w:kern w:val="0"/>
                <w:sz w:val="24"/>
              </w:rPr>
            </w:pPr>
            <w:r>
              <w:rPr>
                <w:rFonts w:hint="eastAsia"/>
                <w:kern w:val="0"/>
                <w:sz w:val="24"/>
              </w:rPr>
              <w:t>因此，项目锅炉灰渣产生量为3030.</w:t>
            </w:r>
            <w:r>
              <w:rPr>
                <w:kern w:val="0"/>
                <w:sz w:val="24"/>
              </w:rPr>
              <w:t>42</w:t>
            </w:r>
            <w:r>
              <w:rPr>
                <w:rFonts w:hint="eastAsia"/>
                <w:kern w:val="0"/>
                <w:sz w:val="24"/>
              </w:rPr>
              <w:t>9</w:t>
            </w:r>
            <w:r>
              <w:rPr>
                <w:kern w:val="0"/>
                <w:sz w:val="24"/>
              </w:rPr>
              <w:t>t/a</w:t>
            </w:r>
            <w:r>
              <w:rPr>
                <w:rFonts w:hint="eastAsia"/>
                <w:kern w:val="0"/>
                <w:sz w:val="24"/>
              </w:rPr>
              <w:t>，其中锅炉烟气带出飞灰量为392.7</w:t>
            </w:r>
            <w:r>
              <w:rPr>
                <w:kern w:val="0"/>
                <w:sz w:val="24"/>
              </w:rPr>
              <w:t>36t/a</w:t>
            </w:r>
            <w:r>
              <w:rPr>
                <w:rFonts w:hint="eastAsia"/>
                <w:kern w:val="0"/>
                <w:sz w:val="24"/>
              </w:rPr>
              <w:t>，产生的飞灰经旋风除尘加布袋除尘器进行处理，处理效率9</w:t>
            </w:r>
            <w:r>
              <w:rPr>
                <w:kern w:val="0"/>
                <w:sz w:val="24"/>
              </w:rPr>
              <w:t>9</w:t>
            </w:r>
            <w:r>
              <w:rPr>
                <w:rFonts w:hint="eastAsia"/>
                <w:kern w:val="0"/>
                <w:sz w:val="24"/>
              </w:rPr>
              <w:t>%，因此，收集的飞灰量为388.8</w:t>
            </w:r>
            <w:r>
              <w:rPr>
                <w:kern w:val="0"/>
                <w:sz w:val="24"/>
              </w:rPr>
              <w:t>0</w:t>
            </w:r>
            <w:r>
              <w:rPr>
                <w:rFonts w:hint="eastAsia"/>
                <w:kern w:val="0"/>
                <w:sz w:val="24"/>
              </w:rPr>
              <w:t>9</w:t>
            </w:r>
            <w:r>
              <w:rPr>
                <w:kern w:val="0"/>
                <w:sz w:val="24"/>
              </w:rPr>
              <w:t>t/a</w:t>
            </w:r>
            <w:r>
              <w:rPr>
                <w:rFonts w:hint="eastAsia"/>
                <w:kern w:val="0"/>
                <w:sz w:val="24"/>
              </w:rPr>
              <w:t>。锅炉炉渣产生量为26</w:t>
            </w:r>
            <w:r>
              <w:rPr>
                <w:kern w:val="0"/>
                <w:sz w:val="24"/>
              </w:rPr>
              <w:t>37.693t/a</w:t>
            </w:r>
            <w:r>
              <w:rPr>
                <w:rFonts w:hint="eastAsia"/>
                <w:kern w:val="0"/>
                <w:sz w:val="24"/>
              </w:rPr>
              <w:t>。项目收集的飞灰以及炉渣收集后</w:t>
            </w:r>
            <w:r>
              <w:rPr>
                <w:kern w:val="0"/>
                <w:sz w:val="24"/>
              </w:rPr>
              <w:t>暂存于</w:t>
            </w:r>
            <w:r>
              <w:rPr>
                <w:rFonts w:hint="eastAsia"/>
                <w:kern w:val="0"/>
                <w:sz w:val="24"/>
              </w:rPr>
              <w:t>渣仓</w:t>
            </w:r>
            <w:r>
              <w:rPr>
                <w:kern w:val="0"/>
                <w:sz w:val="24"/>
              </w:rPr>
              <w:t>内，</w:t>
            </w:r>
            <w:r>
              <w:rPr>
                <w:rFonts w:hint="eastAsia"/>
                <w:kern w:val="0"/>
                <w:sz w:val="24"/>
              </w:rPr>
              <w:t>外售利用。</w:t>
            </w:r>
          </w:p>
          <w:p w14:paraId="4E04A2C5">
            <w:pPr>
              <w:adjustRightInd w:val="0"/>
              <w:snapToGrid w:val="0"/>
              <w:spacing w:line="360" w:lineRule="auto"/>
              <w:ind w:firstLine="480" w:firstLineChars="200"/>
              <w:rPr>
                <w:kern w:val="0"/>
                <w:sz w:val="24"/>
              </w:rPr>
            </w:pPr>
            <w:r>
              <w:rPr>
                <w:rFonts w:hint="eastAsia"/>
                <w:kern w:val="0"/>
                <w:sz w:val="24"/>
              </w:rPr>
              <w:t>（3）脱硫副产物</w:t>
            </w:r>
          </w:p>
          <w:p w14:paraId="0D0E2FBA">
            <w:pPr>
              <w:adjustRightInd w:val="0"/>
              <w:snapToGrid w:val="0"/>
              <w:spacing w:line="360" w:lineRule="auto"/>
              <w:ind w:firstLine="480" w:firstLineChars="200"/>
              <w:rPr>
                <w:kern w:val="0"/>
                <w:sz w:val="24"/>
              </w:rPr>
            </w:pPr>
            <w:r>
              <w:rPr>
                <w:rFonts w:hint="eastAsia"/>
                <w:kern w:val="0"/>
                <w:sz w:val="24"/>
              </w:rPr>
              <w:t>本项目锅炉烟气脱硫塔采用“氧化镁湿法脱硫”，</w:t>
            </w:r>
            <w:r>
              <w:rPr>
                <w:kern w:val="0"/>
                <w:sz w:val="24"/>
              </w:rPr>
              <w:t>SO</w:t>
            </w:r>
            <w:r>
              <w:rPr>
                <w:kern w:val="0"/>
                <w:sz w:val="24"/>
                <w:vertAlign w:val="subscript"/>
              </w:rPr>
              <w:t>2</w:t>
            </w:r>
            <w:r>
              <w:rPr>
                <w:kern w:val="0"/>
                <w:sz w:val="24"/>
              </w:rPr>
              <w:t>处理效率≥</w:t>
            </w:r>
            <w:r>
              <w:rPr>
                <w:rFonts w:hint="eastAsia"/>
                <w:kern w:val="0"/>
                <w:sz w:val="24"/>
              </w:rPr>
              <w:t>80</w:t>
            </w:r>
            <w:r>
              <w:rPr>
                <w:kern w:val="0"/>
                <w:sz w:val="24"/>
              </w:rPr>
              <w:t>%，</w:t>
            </w:r>
            <w:r>
              <w:rPr>
                <w:rFonts w:hint="eastAsia"/>
                <w:kern w:val="0"/>
                <w:sz w:val="24"/>
              </w:rPr>
              <w:t>二氧化硫吸收液达到一定浓度时需从循环池排出部分进入沉淀池，并补充新鲜液；压滤池中脱硫副产物再经压滤机脱去水份，滤液回浆液池循环再用，脱硫副产物直接落至翻斗车拉运外售建材厂综合利用，不在场内暂存。</w:t>
            </w:r>
          </w:p>
          <w:p w14:paraId="7449B75A">
            <w:pPr>
              <w:adjustRightInd w:val="0"/>
              <w:snapToGrid w:val="0"/>
              <w:spacing w:line="360" w:lineRule="auto"/>
              <w:ind w:firstLine="480" w:firstLineChars="200"/>
              <w:rPr>
                <w:kern w:val="0"/>
                <w:sz w:val="24"/>
              </w:rPr>
            </w:pPr>
            <w:r>
              <w:rPr>
                <w:rFonts w:hint="eastAsia"/>
                <w:kern w:val="0"/>
                <w:sz w:val="24"/>
              </w:rPr>
              <w:t>根据《污染源源强核算技术指南 锅炉》（H</w:t>
            </w:r>
            <w:r>
              <w:rPr>
                <w:kern w:val="0"/>
                <w:sz w:val="24"/>
              </w:rPr>
              <w:t>J991-2018</w:t>
            </w:r>
            <w:r>
              <w:rPr>
                <w:rFonts w:hint="eastAsia"/>
                <w:kern w:val="0"/>
                <w:sz w:val="24"/>
              </w:rPr>
              <w:t>），脱硫副产物产生量的计算公式为：</w:t>
            </w:r>
          </w:p>
          <w:p w14:paraId="4B0BEE28">
            <w:pPr>
              <w:adjustRightInd w:val="0"/>
              <w:snapToGrid w:val="0"/>
              <w:spacing w:line="360" w:lineRule="auto"/>
              <w:ind w:firstLine="480" w:firstLineChars="200"/>
              <w:jc w:val="center"/>
              <w:rPr>
                <w:kern w:val="0"/>
                <w:sz w:val="24"/>
              </w:rPr>
            </w:pPr>
            <w:r>
              <w:rPr>
                <w:kern w:val="0"/>
                <w:sz w:val="24"/>
              </w:rPr>
              <w:drawing>
                <wp:inline distT="0" distB="0" distL="0" distR="0">
                  <wp:extent cx="1847850" cy="704850"/>
                  <wp:effectExtent l="0" t="0" r="0" b="0"/>
                  <wp:docPr id="3531336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33637" name="图片 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1847850" cy="704850"/>
                          </a:xfrm>
                          <a:prstGeom prst="rect">
                            <a:avLst/>
                          </a:prstGeom>
                          <a:noFill/>
                          <a:ln>
                            <a:noFill/>
                          </a:ln>
                        </pic:spPr>
                      </pic:pic>
                    </a:graphicData>
                  </a:graphic>
                </wp:inline>
              </w:drawing>
            </w:r>
          </w:p>
          <w:p w14:paraId="23BC551E">
            <w:pPr>
              <w:adjustRightInd w:val="0"/>
              <w:snapToGrid w:val="0"/>
              <w:spacing w:line="360" w:lineRule="auto"/>
              <w:ind w:firstLine="480" w:firstLineChars="200"/>
              <w:rPr>
                <w:kern w:val="0"/>
                <w:sz w:val="24"/>
              </w:rPr>
            </w:pPr>
            <w:r>
              <w:rPr>
                <w:rFonts w:hint="eastAsia"/>
                <w:kern w:val="0"/>
                <w:sz w:val="24"/>
              </w:rPr>
              <w:t>式中：E——核算时段内脱硫副产物产生量，t；</w:t>
            </w:r>
          </w:p>
          <w:p w14:paraId="0B1A188C">
            <w:pPr>
              <w:adjustRightInd w:val="0"/>
              <w:snapToGrid w:val="0"/>
              <w:spacing w:line="360" w:lineRule="auto"/>
              <w:ind w:firstLine="480" w:firstLineChars="200"/>
              <w:rPr>
                <w:kern w:val="0"/>
                <w:sz w:val="24"/>
              </w:rPr>
            </w:pPr>
            <w:r>
              <w:rPr>
                <w:rFonts w:hint="eastAsia"/>
                <w:kern w:val="0"/>
                <w:sz w:val="24"/>
              </w:rPr>
              <w:t>M</w:t>
            </w:r>
            <w:r>
              <w:rPr>
                <w:kern w:val="0"/>
                <w:sz w:val="24"/>
                <w:vertAlign w:val="subscript"/>
              </w:rPr>
              <w:t>F</w:t>
            </w:r>
            <w:r>
              <w:rPr>
                <w:rFonts w:hint="eastAsia"/>
                <w:kern w:val="0"/>
                <w:sz w:val="24"/>
              </w:rPr>
              <w:t>——脱硫副产物摩尔质量；120；</w:t>
            </w:r>
          </w:p>
          <w:p w14:paraId="032C72A1">
            <w:pPr>
              <w:adjustRightInd w:val="0"/>
              <w:snapToGrid w:val="0"/>
              <w:spacing w:line="360" w:lineRule="auto"/>
              <w:ind w:firstLine="480" w:firstLineChars="200"/>
              <w:rPr>
                <w:kern w:val="0"/>
                <w:sz w:val="24"/>
              </w:rPr>
            </w:pPr>
            <w:r>
              <w:rPr>
                <w:rFonts w:hint="eastAsia"/>
                <w:kern w:val="0"/>
                <w:sz w:val="24"/>
              </w:rPr>
              <w:t>E</w:t>
            </w:r>
            <w:r>
              <w:rPr>
                <w:kern w:val="0"/>
                <w:sz w:val="24"/>
                <w:vertAlign w:val="subscript"/>
              </w:rPr>
              <w:t>S</w:t>
            </w:r>
            <w:r>
              <w:rPr>
                <w:rFonts w:hint="eastAsia"/>
                <w:kern w:val="0"/>
                <w:sz w:val="24"/>
              </w:rPr>
              <w:t>——核算时段内二氧化硫脱除量，t；87.51</w:t>
            </w:r>
            <w:r>
              <w:rPr>
                <w:kern w:val="0"/>
                <w:sz w:val="24"/>
              </w:rPr>
              <w:t>2</w:t>
            </w:r>
            <w:r>
              <w:rPr>
                <w:rFonts w:hint="eastAsia"/>
                <w:kern w:val="0"/>
                <w:sz w:val="24"/>
              </w:rPr>
              <w:t>t；</w:t>
            </w:r>
          </w:p>
          <w:p w14:paraId="5B362DB4">
            <w:pPr>
              <w:adjustRightInd w:val="0"/>
              <w:snapToGrid w:val="0"/>
              <w:spacing w:line="360" w:lineRule="auto"/>
              <w:ind w:firstLine="480" w:firstLineChars="200"/>
              <w:rPr>
                <w:kern w:val="0"/>
                <w:sz w:val="24"/>
              </w:rPr>
            </w:pPr>
            <w:r>
              <w:rPr>
                <w:rFonts w:hint="eastAsia"/>
                <w:kern w:val="0"/>
                <w:sz w:val="24"/>
              </w:rPr>
              <w:t>6</w:t>
            </w:r>
            <w:r>
              <w:rPr>
                <w:kern w:val="0"/>
                <w:sz w:val="24"/>
              </w:rPr>
              <w:t>4</w:t>
            </w:r>
            <w:r>
              <w:rPr>
                <w:rFonts w:hint="eastAsia"/>
                <w:kern w:val="0"/>
                <w:sz w:val="24"/>
              </w:rPr>
              <w:t>——二氧化硫摩尔质量；</w:t>
            </w:r>
          </w:p>
          <w:p w14:paraId="48843A78">
            <w:pPr>
              <w:adjustRightInd w:val="0"/>
              <w:snapToGrid w:val="0"/>
              <w:spacing w:line="360" w:lineRule="auto"/>
              <w:ind w:firstLine="480" w:firstLineChars="200"/>
              <w:rPr>
                <w:kern w:val="0"/>
                <w:sz w:val="24"/>
              </w:rPr>
            </w:pPr>
            <w:r>
              <w:rPr>
                <w:rFonts w:hint="eastAsia"/>
                <w:kern w:val="0"/>
                <w:sz w:val="24"/>
              </w:rPr>
              <w:t>C</w:t>
            </w:r>
            <w:r>
              <w:rPr>
                <w:kern w:val="0"/>
                <w:sz w:val="24"/>
                <w:vertAlign w:val="subscript"/>
              </w:rPr>
              <w:t>S</w:t>
            </w:r>
            <w:r>
              <w:rPr>
                <w:rFonts w:hint="eastAsia"/>
                <w:kern w:val="0"/>
                <w:sz w:val="24"/>
              </w:rPr>
              <w:t>——脱硫副产物含水率，%，</w:t>
            </w:r>
            <w:r>
              <w:rPr>
                <w:kern w:val="0"/>
                <w:sz w:val="24"/>
              </w:rPr>
              <w:t>40</w:t>
            </w:r>
            <w:r>
              <w:rPr>
                <w:rFonts w:hint="eastAsia"/>
                <w:kern w:val="0"/>
                <w:sz w:val="24"/>
              </w:rPr>
              <w:t>%；</w:t>
            </w:r>
          </w:p>
          <w:p w14:paraId="13C3E38A">
            <w:pPr>
              <w:adjustRightInd w:val="0"/>
              <w:snapToGrid w:val="0"/>
              <w:spacing w:line="360" w:lineRule="auto"/>
              <w:ind w:firstLine="480" w:firstLineChars="200"/>
              <w:rPr>
                <w:kern w:val="0"/>
                <w:sz w:val="24"/>
              </w:rPr>
            </w:pPr>
            <w:r>
              <w:rPr>
                <w:rFonts w:hint="eastAsia"/>
                <w:kern w:val="0"/>
                <w:sz w:val="24"/>
              </w:rPr>
              <w:t>C</w:t>
            </w:r>
            <w:r>
              <w:rPr>
                <w:kern w:val="0"/>
                <w:sz w:val="24"/>
                <w:vertAlign w:val="subscript"/>
              </w:rPr>
              <w:t>g</w:t>
            </w:r>
            <w:r>
              <w:rPr>
                <w:rFonts w:hint="eastAsia"/>
                <w:kern w:val="0"/>
                <w:sz w:val="24"/>
              </w:rPr>
              <w:t>——脱硫副产物纯度，%，</w:t>
            </w:r>
            <w:r>
              <w:rPr>
                <w:kern w:val="0"/>
                <w:sz w:val="24"/>
              </w:rPr>
              <w:t>90</w:t>
            </w:r>
            <w:r>
              <w:rPr>
                <w:rFonts w:hint="eastAsia"/>
                <w:kern w:val="0"/>
                <w:sz w:val="24"/>
              </w:rPr>
              <w:t>%。</w:t>
            </w:r>
          </w:p>
          <w:p w14:paraId="5DFF9F6F">
            <w:pPr>
              <w:adjustRightInd w:val="0"/>
              <w:snapToGrid w:val="0"/>
              <w:spacing w:line="360" w:lineRule="auto"/>
              <w:ind w:firstLine="480" w:firstLineChars="200"/>
              <w:rPr>
                <w:kern w:val="0"/>
                <w:sz w:val="24"/>
              </w:rPr>
            </w:pPr>
            <w:r>
              <w:rPr>
                <w:rFonts w:hint="eastAsia"/>
                <w:kern w:val="0"/>
                <w:sz w:val="24"/>
              </w:rPr>
              <w:t>因此，脱硫副产物产生量为</w:t>
            </w:r>
            <w:r>
              <w:rPr>
                <w:kern w:val="0"/>
                <w:sz w:val="24"/>
              </w:rPr>
              <w:t>303.86</w:t>
            </w:r>
            <w:r>
              <w:rPr>
                <w:rFonts w:hint="eastAsia"/>
                <w:kern w:val="0"/>
                <w:sz w:val="24"/>
              </w:rPr>
              <w:t>t</w:t>
            </w:r>
            <w:r>
              <w:rPr>
                <w:kern w:val="0"/>
                <w:sz w:val="24"/>
              </w:rPr>
              <w:t>/a</w:t>
            </w:r>
            <w:r>
              <w:rPr>
                <w:rFonts w:hint="eastAsia"/>
                <w:kern w:val="0"/>
                <w:sz w:val="24"/>
              </w:rPr>
              <w:t>，外售建材厂综合利用。</w:t>
            </w:r>
          </w:p>
          <w:p w14:paraId="7337A484">
            <w:pPr>
              <w:adjustRightInd w:val="0"/>
              <w:snapToGrid w:val="0"/>
              <w:spacing w:line="360" w:lineRule="auto"/>
              <w:ind w:firstLine="480" w:firstLineChars="200"/>
              <w:rPr>
                <w:kern w:val="0"/>
                <w:sz w:val="24"/>
              </w:rPr>
            </w:pPr>
            <w:r>
              <w:rPr>
                <w:rFonts w:hint="eastAsia"/>
                <w:kern w:val="0"/>
                <w:sz w:val="24"/>
              </w:rPr>
              <w:t>（4）废催化剂</w:t>
            </w:r>
          </w:p>
          <w:p w14:paraId="30E01CEE">
            <w:pPr>
              <w:adjustRightInd w:val="0"/>
              <w:snapToGrid w:val="0"/>
              <w:spacing w:line="360" w:lineRule="auto"/>
              <w:ind w:firstLine="480" w:firstLineChars="200"/>
              <w:rPr>
                <w:kern w:val="0"/>
                <w:sz w:val="24"/>
              </w:rPr>
            </w:pPr>
            <w:r>
              <w:rPr>
                <w:kern w:val="0"/>
                <w:sz w:val="24"/>
              </w:rPr>
              <w:t>SCR系统所用催化剂(V</w:t>
            </w:r>
            <w:r>
              <w:rPr>
                <w:kern w:val="0"/>
                <w:sz w:val="24"/>
                <w:vertAlign w:val="subscript"/>
              </w:rPr>
              <w:t>2</w:t>
            </w:r>
            <w:r>
              <w:rPr>
                <w:kern w:val="0"/>
                <w:sz w:val="24"/>
              </w:rPr>
              <w:t>O</w:t>
            </w:r>
            <w:r>
              <w:rPr>
                <w:kern w:val="0"/>
                <w:sz w:val="24"/>
                <w:vertAlign w:val="subscript"/>
              </w:rPr>
              <w:t>5</w:t>
            </w:r>
            <w:r>
              <w:rPr>
                <w:kern w:val="0"/>
                <w:sz w:val="24"/>
              </w:rPr>
              <w:t>、TiO</w:t>
            </w:r>
            <w:r>
              <w:rPr>
                <w:kern w:val="0"/>
                <w:sz w:val="24"/>
                <w:vertAlign w:val="subscript"/>
              </w:rPr>
              <w:t>2</w:t>
            </w:r>
            <w:r>
              <w:rPr>
                <w:kern w:val="0"/>
                <w:sz w:val="24"/>
              </w:rPr>
              <w:t>)一般约每隔3年更换一次，每次约</w:t>
            </w:r>
            <w:r>
              <w:rPr>
                <w:rFonts w:hint="eastAsia"/>
                <w:kern w:val="0"/>
                <w:sz w:val="24"/>
              </w:rPr>
              <w:t>21</w:t>
            </w:r>
            <w:r>
              <w:rPr>
                <w:kern w:val="0"/>
                <w:sz w:val="24"/>
              </w:rPr>
              <w:t>m</w:t>
            </w:r>
            <w:r>
              <w:rPr>
                <w:kern w:val="0"/>
                <w:sz w:val="24"/>
                <w:vertAlign w:val="superscript"/>
              </w:rPr>
              <w:t>3</w:t>
            </w:r>
            <w:r>
              <w:rPr>
                <w:kern w:val="0"/>
                <w:sz w:val="24"/>
              </w:rPr>
              <w:t>。</w:t>
            </w:r>
          </w:p>
          <w:p w14:paraId="25F9DF5E">
            <w:pPr>
              <w:adjustRightInd w:val="0"/>
              <w:snapToGrid w:val="0"/>
              <w:spacing w:line="360" w:lineRule="auto"/>
              <w:ind w:firstLine="480" w:firstLineChars="200"/>
              <w:rPr>
                <w:kern w:val="0"/>
                <w:sz w:val="24"/>
              </w:rPr>
            </w:pPr>
            <w:r>
              <w:rPr>
                <w:kern w:val="0"/>
                <w:sz w:val="24"/>
              </w:rPr>
              <w:t>根据《国家危险废物名录</w:t>
            </w:r>
            <w:r>
              <w:rPr>
                <w:rFonts w:hint="eastAsia"/>
                <w:kern w:val="0"/>
                <w:sz w:val="24"/>
              </w:rPr>
              <w:t>（2025年版）</w:t>
            </w:r>
            <w:r>
              <w:rPr>
                <w:kern w:val="0"/>
                <w:sz w:val="24"/>
              </w:rPr>
              <w:t>》中</w:t>
            </w:r>
            <w:r>
              <w:rPr>
                <w:rFonts w:ascii="宋体" w:hAnsi="宋体"/>
                <w:kern w:val="0"/>
                <w:sz w:val="24"/>
              </w:rPr>
              <w:t>“</w:t>
            </w:r>
            <w:r>
              <w:rPr>
                <w:kern w:val="0"/>
                <w:sz w:val="24"/>
              </w:rPr>
              <w:t>HW</w:t>
            </w:r>
            <w:r>
              <w:rPr>
                <w:rFonts w:hint="eastAsia"/>
                <w:kern w:val="0"/>
                <w:sz w:val="24"/>
              </w:rPr>
              <w:t>50废催化剂</w:t>
            </w:r>
            <w:r>
              <w:rPr>
                <w:rFonts w:ascii="宋体" w:hAnsi="宋体"/>
                <w:kern w:val="0"/>
                <w:sz w:val="24"/>
              </w:rPr>
              <w:t>”</w:t>
            </w:r>
            <w:r>
              <w:rPr>
                <w:kern w:val="0"/>
                <w:sz w:val="24"/>
              </w:rPr>
              <w:t>，工业来源为</w:t>
            </w:r>
            <w:r>
              <w:rPr>
                <w:rFonts w:hint="eastAsia"/>
                <w:kern w:val="0"/>
                <w:sz w:val="24"/>
              </w:rPr>
              <w:t>“环境治理业”</w:t>
            </w:r>
            <w:r>
              <w:rPr>
                <w:kern w:val="0"/>
                <w:sz w:val="24"/>
              </w:rPr>
              <w:t>，废物名称定为</w:t>
            </w:r>
            <w:r>
              <w:rPr>
                <w:rFonts w:ascii="宋体" w:hAnsi="宋体"/>
                <w:kern w:val="0"/>
                <w:sz w:val="24"/>
              </w:rPr>
              <w:t>“</w:t>
            </w:r>
            <w:r>
              <w:rPr>
                <w:rFonts w:hint="eastAsia"/>
                <w:kern w:val="0"/>
                <w:sz w:val="24"/>
              </w:rPr>
              <w:t>烟气脱硝过程中产生的废钒钛系催化剂</w:t>
            </w:r>
            <w:r>
              <w:rPr>
                <w:rFonts w:ascii="宋体" w:hAnsi="宋体"/>
                <w:kern w:val="0"/>
                <w:sz w:val="24"/>
              </w:rPr>
              <w:t>”</w:t>
            </w:r>
            <w:r>
              <w:rPr>
                <w:rFonts w:hint="eastAsia" w:ascii="宋体" w:hAnsi="宋体"/>
                <w:kern w:val="0"/>
                <w:sz w:val="24"/>
              </w:rPr>
              <w:t>，危废代码</w:t>
            </w:r>
            <w:r>
              <w:rPr>
                <w:kern w:val="0"/>
                <w:sz w:val="24"/>
              </w:rPr>
              <w:t>772-007-50。</w:t>
            </w:r>
          </w:p>
          <w:p w14:paraId="23846928">
            <w:pPr>
              <w:adjustRightInd w:val="0"/>
              <w:snapToGrid w:val="0"/>
              <w:spacing w:line="360" w:lineRule="auto"/>
              <w:ind w:firstLine="480" w:firstLineChars="200"/>
              <w:rPr>
                <w:kern w:val="0"/>
                <w:sz w:val="24"/>
              </w:rPr>
            </w:pPr>
            <w:r>
              <w:rPr>
                <w:rFonts w:hint="eastAsia"/>
                <w:bCs/>
                <w:kern w:val="0"/>
                <w:sz w:val="24"/>
              </w:rPr>
              <w:t>本次于工业场地内新建1座30</w:t>
            </w:r>
            <w:r>
              <w:rPr>
                <w:bCs/>
                <w:kern w:val="0"/>
                <w:sz w:val="24"/>
              </w:rPr>
              <w:t>m</w:t>
            </w:r>
            <w:r>
              <w:rPr>
                <w:rFonts w:hint="eastAsia"/>
                <w:bCs/>
                <w:kern w:val="0"/>
                <w:sz w:val="24"/>
                <w:vertAlign w:val="superscript"/>
              </w:rPr>
              <w:t>2</w:t>
            </w:r>
            <w:r>
              <w:rPr>
                <w:rFonts w:hint="eastAsia"/>
                <w:bCs/>
                <w:kern w:val="0"/>
                <w:sz w:val="24"/>
              </w:rPr>
              <w:t>危废贮存库，废催化剂暂存于危废贮存库，委托有资质单位处理</w:t>
            </w:r>
            <w:r>
              <w:rPr>
                <w:kern w:val="0"/>
                <w:sz w:val="24"/>
              </w:rPr>
              <w:t>，</w:t>
            </w:r>
            <w:r>
              <w:rPr>
                <w:rFonts w:hint="eastAsia"/>
                <w:kern w:val="0"/>
                <w:sz w:val="24"/>
              </w:rPr>
              <w:t>本次评价要求</w:t>
            </w:r>
            <w:r>
              <w:rPr>
                <w:kern w:val="0"/>
                <w:sz w:val="24"/>
              </w:rPr>
              <w:t>按照《危险废物贮存污染控制标准》</w:t>
            </w:r>
            <w:r>
              <w:rPr>
                <w:rFonts w:hint="eastAsia"/>
                <w:kern w:val="0"/>
                <w:sz w:val="24"/>
              </w:rPr>
              <w:t>（GB18597-2023）</w:t>
            </w:r>
            <w:r>
              <w:rPr>
                <w:kern w:val="0"/>
                <w:sz w:val="24"/>
              </w:rPr>
              <w:t>，在贮存和转移过程中，要加强防水、防压等措施，减小催化剂人为损坏。转移废催化剂应执行危险废物转移联单制度</w:t>
            </w:r>
            <w:r>
              <w:rPr>
                <w:rFonts w:hint="eastAsia"/>
                <w:kern w:val="0"/>
                <w:sz w:val="24"/>
              </w:rPr>
              <w:t>。</w:t>
            </w:r>
          </w:p>
          <w:p w14:paraId="15373F13">
            <w:pPr>
              <w:adjustRightInd w:val="0"/>
              <w:snapToGrid w:val="0"/>
              <w:jc w:val="center"/>
              <w:rPr>
                <w:b/>
                <w:kern w:val="0"/>
                <w:szCs w:val="21"/>
              </w:rPr>
            </w:pPr>
            <w:r>
              <w:rPr>
                <w:rFonts w:hint="eastAsia"/>
                <w:b/>
                <w:kern w:val="0"/>
                <w:szCs w:val="21"/>
              </w:rPr>
              <w:t>表</w:t>
            </w:r>
            <w:r>
              <w:rPr>
                <w:b/>
                <w:kern w:val="0"/>
                <w:szCs w:val="21"/>
              </w:rPr>
              <w:t>4</w:t>
            </w:r>
            <w:r>
              <w:rPr>
                <w:rFonts w:hint="eastAsia"/>
                <w:b/>
                <w:kern w:val="0"/>
                <w:szCs w:val="21"/>
              </w:rPr>
              <w:t>-10</w:t>
            </w:r>
            <w:r>
              <w:rPr>
                <w:b/>
                <w:kern w:val="0"/>
                <w:szCs w:val="21"/>
              </w:rPr>
              <w:t xml:space="preserve">  </w:t>
            </w:r>
            <w:r>
              <w:rPr>
                <w:rFonts w:hint="eastAsia"/>
                <w:b/>
                <w:kern w:val="0"/>
                <w:szCs w:val="21"/>
              </w:rPr>
              <w:t>本项目固体废物产生及处置情况</w:t>
            </w:r>
          </w:p>
          <w:tbl>
            <w:tblPr>
              <w:tblStyle w:val="31"/>
              <w:tblW w:w="495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8"/>
              <w:gridCol w:w="1726"/>
              <w:gridCol w:w="1275"/>
              <w:gridCol w:w="1698"/>
              <w:gridCol w:w="2867"/>
            </w:tblGrid>
            <w:tr w14:paraId="5A095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11" w:type="pct"/>
                  <w:tcBorders>
                    <w:top w:val="single" w:color="auto" w:sz="12" w:space="0"/>
                    <w:left w:val="nil"/>
                    <w:bottom w:val="single" w:color="000000" w:sz="4" w:space="0"/>
                    <w:right w:val="single" w:color="000000" w:sz="4" w:space="0"/>
                  </w:tcBorders>
                  <w:vAlign w:val="center"/>
                </w:tcPr>
                <w:p w14:paraId="037B8004">
                  <w:pPr>
                    <w:adjustRightInd w:val="0"/>
                    <w:snapToGrid w:val="0"/>
                    <w:jc w:val="center"/>
                    <w:rPr>
                      <w:bCs/>
                      <w:kern w:val="0"/>
                      <w:szCs w:val="21"/>
                    </w:rPr>
                  </w:pPr>
                  <w:r>
                    <w:rPr>
                      <w:rFonts w:hint="eastAsia"/>
                      <w:bCs/>
                      <w:kern w:val="0"/>
                      <w:szCs w:val="21"/>
                    </w:rPr>
                    <w:t>序号</w:t>
                  </w:r>
                </w:p>
              </w:tc>
              <w:tc>
                <w:tcPr>
                  <w:tcW w:w="1047" w:type="pct"/>
                  <w:tcBorders>
                    <w:top w:val="single" w:color="auto" w:sz="12" w:space="0"/>
                    <w:left w:val="single" w:color="000000" w:sz="4" w:space="0"/>
                    <w:bottom w:val="single" w:color="000000" w:sz="4" w:space="0"/>
                    <w:right w:val="single" w:color="000000" w:sz="4" w:space="0"/>
                  </w:tcBorders>
                  <w:vAlign w:val="center"/>
                </w:tcPr>
                <w:p w14:paraId="33EAD133">
                  <w:pPr>
                    <w:adjustRightInd w:val="0"/>
                    <w:snapToGrid w:val="0"/>
                    <w:jc w:val="center"/>
                    <w:rPr>
                      <w:bCs/>
                      <w:kern w:val="0"/>
                      <w:szCs w:val="21"/>
                    </w:rPr>
                  </w:pPr>
                  <w:r>
                    <w:rPr>
                      <w:rFonts w:hint="eastAsia"/>
                      <w:bCs/>
                      <w:kern w:val="0"/>
                      <w:szCs w:val="21"/>
                    </w:rPr>
                    <w:t>名称</w:t>
                  </w:r>
                </w:p>
              </w:tc>
              <w:tc>
                <w:tcPr>
                  <w:tcW w:w="773" w:type="pct"/>
                  <w:tcBorders>
                    <w:top w:val="single" w:color="auto" w:sz="12" w:space="0"/>
                    <w:left w:val="single" w:color="000000" w:sz="4" w:space="0"/>
                    <w:bottom w:val="single" w:color="000000" w:sz="4" w:space="0"/>
                    <w:right w:val="single" w:color="000000" w:sz="4" w:space="0"/>
                  </w:tcBorders>
                  <w:vAlign w:val="center"/>
                </w:tcPr>
                <w:p w14:paraId="526870C3">
                  <w:pPr>
                    <w:adjustRightInd w:val="0"/>
                    <w:snapToGrid w:val="0"/>
                    <w:jc w:val="center"/>
                    <w:rPr>
                      <w:bCs/>
                      <w:kern w:val="0"/>
                      <w:szCs w:val="21"/>
                    </w:rPr>
                  </w:pPr>
                  <w:r>
                    <w:rPr>
                      <w:rFonts w:hint="eastAsia"/>
                      <w:bCs/>
                      <w:kern w:val="0"/>
                      <w:szCs w:val="21"/>
                    </w:rPr>
                    <w:t>重量（</w:t>
                  </w:r>
                  <w:r>
                    <w:rPr>
                      <w:bCs/>
                      <w:kern w:val="0"/>
                      <w:szCs w:val="21"/>
                    </w:rPr>
                    <w:t>t/a</w:t>
                  </w:r>
                  <w:r>
                    <w:rPr>
                      <w:rFonts w:hint="eastAsia"/>
                      <w:bCs/>
                      <w:kern w:val="0"/>
                      <w:szCs w:val="21"/>
                    </w:rPr>
                    <w:t>）</w:t>
                  </w:r>
                </w:p>
              </w:tc>
              <w:tc>
                <w:tcPr>
                  <w:tcW w:w="1030" w:type="pct"/>
                  <w:tcBorders>
                    <w:top w:val="single" w:color="auto" w:sz="12" w:space="0"/>
                    <w:left w:val="single" w:color="000000" w:sz="4" w:space="0"/>
                    <w:bottom w:val="single" w:color="000000" w:sz="4" w:space="0"/>
                    <w:right w:val="single" w:color="000000" w:sz="4" w:space="0"/>
                  </w:tcBorders>
                  <w:vAlign w:val="center"/>
                </w:tcPr>
                <w:p w14:paraId="0BBABD83">
                  <w:pPr>
                    <w:adjustRightInd w:val="0"/>
                    <w:snapToGrid w:val="0"/>
                    <w:jc w:val="center"/>
                    <w:rPr>
                      <w:bCs/>
                      <w:kern w:val="0"/>
                      <w:szCs w:val="21"/>
                    </w:rPr>
                  </w:pPr>
                  <w:r>
                    <w:rPr>
                      <w:rFonts w:hint="eastAsia"/>
                      <w:bCs/>
                      <w:kern w:val="0"/>
                      <w:szCs w:val="21"/>
                    </w:rPr>
                    <w:t>固废类别</w:t>
                  </w:r>
                </w:p>
              </w:tc>
              <w:tc>
                <w:tcPr>
                  <w:tcW w:w="1739" w:type="pct"/>
                  <w:tcBorders>
                    <w:top w:val="single" w:color="auto" w:sz="12" w:space="0"/>
                    <w:left w:val="single" w:color="000000" w:sz="4" w:space="0"/>
                    <w:bottom w:val="single" w:color="000000" w:sz="4" w:space="0"/>
                    <w:right w:val="nil"/>
                  </w:tcBorders>
                  <w:vAlign w:val="center"/>
                </w:tcPr>
                <w:p w14:paraId="160507CF">
                  <w:pPr>
                    <w:adjustRightInd w:val="0"/>
                    <w:snapToGrid w:val="0"/>
                    <w:jc w:val="center"/>
                    <w:rPr>
                      <w:bCs/>
                      <w:kern w:val="0"/>
                      <w:szCs w:val="21"/>
                    </w:rPr>
                  </w:pPr>
                  <w:r>
                    <w:rPr>
                      <w:rFonts w:hint="eastAsia"/>
                      <w:bCs/>
                      <w:kern w:val="0"/>
                      <w:szCs w:val="21"/>
                    </w:rPr>
                    <w:t>处置方式</w:t>
                  </w:r>
                </w:p>
              </w:tc>
            </w:tr>
            <w:tr w14:paraId="123613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4" w:hRule="atLeast"/>
                <w:jc w:val="center"/>
              </w:trPr>
              <w:tc>
                <w:tcPr>
                  <w:tcW w:w="411" w:type="pct"/>
                  <w:tcBorders>
                    <w:top w:val="single" w:color="000000" w:sz="4" w:space="0"/>
                    <w:left w:val="nil"/>
                    <w:bottom w:val="single" w:color="000000" w:sz="4" w:space="0"/>
                    <w:right w:val="single" w:color="000000" w:sz="4" w:space="0"/>
                  </w:tcBorders>
                  <w:vAlign w:val="center"/>
                </w:tcPr>
                <w:p w14:paraId="32C35B02">
                  <w:pPr>
                    <w:adjustRightInd w:val="0"/>
                    <w:snapToGrid w:val="0"/>
                    <w:jc w:val="center"/>
                    <w:rPr>
                      <w:bCs/>
                      <w:kern w:val="0"/>
                      <w:szCs w:val="21"/>
                    </w:rPr>
                  </w:pPr>
                  <w:r>
                    <w:rPr>
                      <w:bCs/>
                      <w:kern w:val="0"/>
                      <w:szCs w:val="21"/>
                    </w:rPr>
                    <w:t>1</w:t>
                  </w:r>
                </w:p>
              </w:tc>
              <w:tc>
                <w:tcPr>
                  <w:tcW w:w="1047" w:type="pct"/>
                  <w:tcBorders>
                    <w:top w:val="single" w:color="000000" w:sz="4" w:space="0"/>
                    <w:left w:val="single" w:color="000000" w:sz="4" w:space="0"/>
                    <w:bottom w:val="single" w:color="000000" w:sz="4" w:space="0"/>
                    <w:right w:val="single" w:color="000000" w:sz="4" w:space="0"/>
                  </w:tcBorders>
                  <w:vAlign w:val="center"/>
                </w:tcPr>
                <w:p w14:paraId="0B87344C">
                  <w:pPr>
                    <w:adjustRightInd w:val="0"/>
                    <w:snapToGrid w:val="0"/>
                    <w:jc w:val="center"/>
                    <w:rPr>
                      <w:bCs/>
                      <w:kern w:val="0"/>
                      <w:szCs w:val="21"/>
                    </w:rPr>
                  </w:pPr>
                  <w:r>
                    <w:rPr>
                      <w:rFonts w:hint="eastAsia"/>
                      <w:bCs/>
                      <w:kern w:val="0"/>
                      <w:szCs w:val="21"/>
                    </w:rPr>
                    <w:t>废离子交换树脂</w:t>
                  </w:r>
                </w:p>
              </w:tc>
              <w:tc>
                <w:tcPr>
                  <w:tcW w:w="773" w:type="pct"/>
                  <w:tcBorders>
                    <w:top w:val="single" w:color="000000" w:sz="4" w:space="0"/>
                    <w:left w:val="single" w:color="000000" w:sz="4" w:space="0"/>
                    <w:bottom w:val="single" w:color="000000" w:sz="4" w:space="0"/>
                    <w:right w:val="single" w:color="000000" w:sz="4" w:space="0"/>
                  </w:tcBorders>
                  <w:vAlign w:val="center"/>
                </w:tcPr>
                <w:p w14:paraId="5CEDEF8B">
                  <w:pPr>
                    <w:adjustRightInd w:val="0"/>
                    <w:snapToGrid w:val="0"/>
                    <w:jc w:val="center"/>
                    <w:rPr>
                      <w:bCs/>
                      <w:kern w:val="0"/>
                      <w:szCs w:val="21"/>
                    </w:rPr>
                  </w:pPr>
                  <w:r>
                    <w:rPr>
                      <w:bCs/>
                      <w:kern w:val="0"/>
                      <w:szCs w:val="21"/>
                    </w:rPr>
                    <w:t>0.5</w:t>
                  </w:r>
                </w:p>
              </w:tc>
              <w:tc>
                <w:tcPr>
                  <w:tcW w:w="1030" w:type="pct"/>
                  <w:tcBorders>
                    <w:top w:val="single" w:color="000000" w:sz="4" w:space="0"/>
                    <w:left w:val="single" w:color="000000" w:sz="4" w:space="0"/>
                    <w:bottom w:val="single" w:color="000000" w:sz="4" w:space="0"/>
                    <w:right w:val="single" w:color="000000" w:sz="4" w:space="0"/>
                  </w:tcBorders>
                  <w:vAlign w:val="center"/>
                </w:tcPr>
                <w:p w14:paraId="2F0BA095">
                  <w:pPr>
                    <w:adjustRightInd w:val="0"/>
                    <w:snapToGrid w:val="0"/>
                    <w:jc w:val="center"/>
                    <w:rPr>
                      <w:bCs/>
                      <w:kern w:val="0"/>
                      <w:szCs w:val="21"/>
                    </w:rPr>
                  </w:pPr>
                  <w:r>
                    <w:rPr>
                      <w:rFonts w:hint="eastAsia"/>
                      <w:bCs/>
                      <w:kern w:val="0"/>
                      <w:szCs w:val="21"/>
                    </w:rPr>
                    <w:t>一般固体废物</w:t>
                  </w:r>
                </w:p>
              </w:tc>
              <w:tc>
                <w:tcPr>
                  <w:tcW w:w="1739" w:type="pct"/>
                  <w:tcBorders>
                    <w:top w:val="single" w:color="000000" w:sz="4" w:space="0"/>
                    <w:left w:val="single" w:color="000000" w:sz="4" w:space="0"/>
                    <w:bottom w:val="single" w:color="auto" w:sz="4" w:space="0"/>
                    <w:right w:val="nil"/>
                  </w:tcBorders>
                  <w:vAlign w:val="center"/>
                </w:tcPr>
                <w:p w14:paraId="6C1C3BFC">
                  <w:pPr>
                    <w:adjustRightInd w:val="0"/>
                    <w:snapToGrid w:val="0"/>
                    <w:jc w:val="center"/>
                    <w:rPr>
                      <w:bCs/>
                      <w:kern w:val="0"/>
                      <w:szCs w:val="21"/>
                    </w:rPr>
                  </w:pPr>
                  <w:r>
                    <w:rPr>
                      <w:rFonts w:hint="eastAsia"/>
                      <w:bCs/>
                      <w:kern w:val="0"/>
                      <w:szCs w:val="21"/>
                    </w:rPr>
                    <w:t>定期更换时由厂家回收处理</w:t>
                  </w:r>
                </w:p>
              </w:tc>
            </w:tr>
            <w:tr w14:paraId="09926F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4" w:hRule="atLeast"/>
                <w:jc w:val="center"/>
              </w:trPr>
              <w:tc>
                <w:tcPr>
                  <w:tcW w:w="411" w:type="pct"/>
                  <w:tcBorders>
                    <w:top w:val="single" w:color="000000" w:sz="4" w:space="0"/>
                    <w:left w:val="nil"/>
                    <w:bottom w:val="single" w:color="000000" w:sz="4" w:space="0"/>
                    <w:right w:val="single" w:color="000000" w:sz="4" w:space="0"/>
                  </w:tcBorders>
                  <w:vAlign w:val="center"/>
                </w:tcPr>
                <w:p w14:paraId="578BD309">
                  <w:pPr>
                    <w:adjustRightInd w:val="0"/>
                    <w:snapToGrid w:val="0"/>
                    <w:jc w:val="center"/>
                    <w:rPr>
                      <w:bCs/>
                      <w:kern w:val="0"/>
                      <w:szCs w:val="21"/>
                    </w:rPr>
                  </w:pPr>
                  <w:r>
                    <w:rPr>
                      <w:rFonts w:hint="eastAsia"/>
                      <w:bCs/>
                      <w:kern w:val="0"/>
                      <w:szCs w:val="21"/>
                    </w:rPr>
                    <w:t>2</w:t>
                  </w:r>
                </w:p>
              </w:tc>
              <w:tc>
                <w:tcPr>
                  <w:tcW w:w="1047" w:type="pct"/>
                  <w:tcBorders>
                    <w:top w:val="single" w:color="000000" w:sz="4" w:space="0"/>
                    <w:left w:val="single" w:color="000000" w:sz="4" w:space="0"/>
                    <w:bottom w:val="single" w:color="000000" w:sz="4" w:space="0"/>
                    <w:right w:val="single" w:color="000000" w:sz="4" w:space="0"/>
                  </w:tcBorders>
                  <w:vAlign w:val="center"/>
                </w:tcPr>
                <w:p w14:paraId="2A2BEC9E">
                  <w:pPr>
                    <w:adjustRightInd w:val="0"/>
                    <w:snapToGrid w:val="0"/>
                    <w:jc w:val="center"/>
                    <w:rPr>
                      <w:bCs/>
                      <w:kern w:val="0"/>
                      <w:szCs w:val="21"/>
                    </w:rPr>
                  </w:pPr>
                  <w:r>
                    <w:rPr>
                      <w:rFonts w:hint="eastAsia"/>
                      <w:bCs/>
                      <w:kern w:val="0"/>
                      <w:szCs w:val="21"/>
                    </w:rPr>
                    <w:t>锅炉灰渣</w:t>
                  </w:r>
                </w:p>
              </w:tc>
              <w:tc>
                <w:tcPr>
                  <w:tcW w:w="773" w:type="pct"/>
                  <w:tcBorders>
                    <w:top w:val="single" w:color="000000" w:sz="4" w:space="0"/>
                    <w:left w:val="single" w:color="000000" w:sz="4" w:space="0"/>
                    <w:bottom w:val="single" w:color="000000" w:sz="4" w:space="0"/>
                    <w:right w:val="single" w:color="000000" w:sz="4" w:space="0"/>
                  </w:tcBorders>
                  <w:vAlign w:val="center"/>
                </w:tcPr>
                <w:p w14:paraId="722135E6">
                  <w:pPr>
                    <w:adjustRightInd w:val="0"/>
                    <w:snapToGrid w:val="0"/>
                    <w:jc w:val="center"/>
                    <w:rPr>
                      <w:bCs/>
                      <w:kern w:val="0"/>
                      <w:szCs w:val="21"/>
                    </w:rPr>
                  </w:pPr>
                  <w:r>
                    <w:rPr>
                      <w:rFonts w:hint="eastAsia"/>
                      <w:bCs/>
                      <w:kern w:val="0"/>
                      <w:szCs w:val="21"/>
                    </w:rPr>
                    <w:t>30</w:t>
                  </w:r>
                  <w:r>
                    <w:rPr>
                      <w:bCs/>
                      <w:kern w:val="0"/>
                      <w:szCs w:val="21"/>
                    </w:rPr>
                    <w:t>26.502</w:t>
                  </w:r>
                </w:p>
              </w:tc>
              <w:tc>
                <w:tcPr>
                  <w:tcW w:w="1030" w:type="pct"/>
                  <w:tcBorders>
                    <w:top w:val="single" w:color="000000" w:sz="4" w:space="0"/>
                    <w:left w:val="single" w:color="000000" w:sz="4" w:space="0"/>
                    <w:bottom w:val="single" w:color="000000" w:sz="4" w:space="0"/>
                    <w:right w:val="single" w:color="000000" w:sz="4" w:space="0"/>
                  </w:tcBorders>
                  <w:vAlign w:val="center"/>
                </w:tcPr>
                <w:p w14:paraId="7F1DA3D9">
                  <w:pPr>
                    <w:adjustRightInd w:val="0"/>
                    <w:snapToGrid w:val="0"/>
                    <w:jc w:val="center"/>
                    <w:rPr>
                      <w:bCs/>
                      <w:kern w:val="0"/>
                      <w:szCs w:val="21"/>
                    </w:rPr>
                  </w:pPr>
                  <w:r>
                    <w:rPr>
                      <w:rFonts w:hint="eastAsia"/>
                      <w:bCs/>
                      <w:kern w:val="0"/>
                      <w:szCs w:val="21"/>
                    </w:rPr>
                    <w:t>一般固体废物</w:t>
                  </w:r>
                </w:p>
              </w:tc>
              <w:tc>
                <w:tcPr>
                  <w:tcW w:w="1739" w:type="pct"/>
                  <w:tcBorders>
                    <w:top w:val="single" w:color="000000" w:sz="4" w:space="0"/>
                    <w:left w:val="single" w:color="000000" w:sz="4" w:space="0"/>
                    <w:bottom w:val="single" w:color="auto" w:sz="4" w:space="0"/>
                    <w:right w:val="nil"/>
                  </w:tcBorders>
                  <w:vAlign w:val="center"/>
                </w:tcPr>
                <w:p w14:paraId="2F23C03B">
                  <w:pPr>
                    <w:adjustRightInd w:val="0"/>
                    <w:snapToGrid w:val="0"/>
                    <w:jc w:val="center"/>
                    <w:rPr>
                      <w:bCs/>
                      <w:kern w:val="0"/>
                      <w:szCs w:val="21"/>
                    </w:rPr>
                  </w:pPr>
                  <w:r>
                    <w:rPr>
                      <w:rFonts w:hint="eastAsia"/>
                      <w:bCs/>
                      <w:kern w:val="0"/>
                      <w:szCs w:val="21"/>
                    </w:rPr>
                    <w:t>当地铺路或建材厂综合利用</w:t>
                  </w:r>
                </w:p>
              </w:tc>
            </w:tr>
            <w:tr w14:paraId="7E5B69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4" w:hRule="atLeast"/>
                <w:jc w:val="center"/>
              </w:trPr>
              <w:tc>
                <w:tcPr>
                  <w:tcW w:w="411" w:type="pct"/>
                  <w:tcBorders>
                    <w:top w:val="single" w:color="000000" w:sz="4" w:space="0"/>
                    <w:left w:val="nil"/>
                    <w:bottom w:val="single" w:color="000000" w:sz="4" w:space="0"/>
                    <w:right w:val="single" w:color="000000" w:sz="4" w:space="0"/>
                  </w:tcBorders>
                  <w:vAlign w:val="center"/>
                </w:tcPr>
                <w:p w14:paraId="1AE7F4FF">
                  <w:pPr>
                    <w:adjustRightInd w:val="0"/>
                    <w:snapToGrid w:val="0"/>
                    <w:jc w:val="center"/>
                    <w:rPr>
                      <w:bCs/>
                      <w:kern w:val="0"/>
                      <w:szCs w:val="21"/>
                    </w:rPr>
                  </w:pPr>
                  <w:r>
                    <w:rPr>
                      <w:rFonts w:hint="eastAsia"/>
                      <w:bCs/>
                      <w:kern w:val="0"/>
                      <w:szCs w:val="21"/>
                    </w:rPr>
                    <w:t>3</w:t>
                  </w:r>
                </w:p>
              </w:tc>
              <w:tc>
                <w:tcPr>
                  <w:tcW w:w="1047" w:type="pct"/>
                  <w:tcBorders>
                    <w:top w:val="single" w:color="000000" w:sz="4" w:space="0"/>
                    <w:left w:val="single" w:color="000000" w:sz="4" w:space="0"/>
                    <w:bottom w:val="single" w:color="000000" w:sz="4" w:space="0"/>
                    <w:right w:val="single" w:color="000000" w:sz="4" w:space="0"/>
                  </w:tcBorders>
                  <w:vAlign w:val="center"/>
                </w:tcPr>
                <w:p w14:paraId="4FAE8FAF">
                  <w:pPr>
                    <w:adjustRightInd w:val="0"/>
                    <w:snapToGrid w:val="0"/>
                    <w:jc w:val="center"/>
                    <w:rPr>
                      <w:bCs/>
                      <w:kern w:val="0"/>
                      <w:szCs w:val="21"/>
                    </w:rPr>
                  </w:pPr>
                  <w:r>
                    <w:rPr>
                      <w:rFonts w:hint="eastAsia"/>
                      <w:bCs/>
                      <w:kern w:val="0"/>
                      <w:szCs w:val="21"/>
                    </w:rPr>
                    <w:t>脱硫副产物</w:t>
                  </w:r>
                </w:p>
              </w:tc>
              <w:tc>
                <w:tcPr>
                  <w:tcW w:w="773" w:type="pct"/>
                  <w:tcBorders>
                    <w:top w:val="single" w:color="000000" w:sz="4" w:space="0"/>
                    <w:left w:val="single" w:color="000000" w:sz="4" w:space="0"/>
                    <w:bottom w:val="single" w:color="000000" w:sz="4" w:space="0"/>
                    <w:right w:val="single" w:color="000000" w:sz="4" w:space="0"/>
                  </w:tcBorders>
                  <w:vAlign w:val="center"/>
                </w:tcPr>
                <w:p w14:paraId="76CB1D7D">
                  <w:pPr>
                    <w:adjustRightInd w:val="0"/>
                    <w:snapToGrid w:val="0"/>
                    <w:jc w:val="center"/>
                    <w:rPr>
                      <w:bCs/>
                      <w:kern w:val="0"/>
                      <w:szCs w:val="21"/>
                    </w:rPr>
                  </w:pPr>
                  <w:r>
                    <w:rPr>
                      <w:bCs/>
                      <w:kern w:val="0"/>
                      <w:szCs w:val="21"/>
                    </w:rPr>
                    <w:t>303.86</w:t>
                  </w:r>
                </w:p>
              </w:tc>
              <w:tc>
                <w:tcPr>
                  <w:tcW w:w="1030" w:type="pct"/>
                  <w:tcBorders>
                    <w:top w:val="single" w:color="000000" w:sz="4" w:space="0"/>
                    <w:left w:val="single" w:color="000000" w:sz="4" w:space="0"/>
                    <w:bottom w:val="single" w:color="000000" w:sz="4" w:space="0"/>
                    <w:right w:val="single" w:color="000000" w:sz="4" w:space="0"/>
                  </w:tcBorders>
                  <w:vAlign w:val="center"/>
                </w:tcPr>
                <w:p w14:paraId="69373A58">
                  <w:pPr>
                    <w:adjustRightInd w:val="0"/>
                    <w:snapToGrid w:val="0"/>
                    <w:jc w:val="center"/>
                    <w:rPr>
                      <w:bCs/>
                      <w:kern w:val="0"/>
                      <w:szCs w:val="21"/>
                    </w:rPr>
                  </w:pPr>
                  <w:r>
                    <w:rPr>
                      <w:rFonts w:hint="eastAsia"/>
                      <w:bCs/>
                      <w:kern w:val="0"/>
                      <w:szCs w:val="21"/>
                    </w:rPr>
                    <w:t>一般固体废物</w:t>
                  </w:r>
                </w:p>
              </w:tc>
              <w:tc>
                <w:tcPr>
                  <w:tcW w:w="1739" w:type="pct"/>
                  <w:tcBorders>
                    <w:top w:val="single" w:color="000000" w:sz="4" w:space="0"/>
                    <w:left w:val="single" w:color="000000" w:sz="4" w:space="0"/>
                    <w:bottom w:val="single" w:color="auto" w:sz="4" w:space="0"/>
                    <w:right w:val="nil"/>
                  </w:tcBorders>
                  <w:vAlign w:val="center"/>
                </w:tcPr>
                <w:p w14:paraId="06C63E94">
                  <w:pPr>
                    <w:adjustRightInd w:val="0"/>
                    <w:snapToGrid w:val="0"/>
                    <w:jc w:val="center"/>
                    <w:rPr>
                      <w:bCs/>
                      <w:kern w:val="0"/>
                      <w:szCs w:val="21"/>
                    </w:rPr>
                  </w:pPr>
                  <w:r>
                    <w:rPr>
                      <w:rFonts w:hint="eastAsia"/>
                      <w:bCs/>
                      <w:kern w:val="0"/>
                      <w:szCs w:val="21"/>
                    </w:rPr>
                    <w:t>当地铺路或建材厂综合利用</w:t>
                  </w:r>
                </w:p>
              </w:tc>
            </w:tr>
            <w:tr w14:paraId="282923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44" w:hRule="atLeast"/>
                <w:jc w:val="center"/>
              </w:trPr>
              <w:tc>
                <w:tcPr>
                  <w:tcW w:w="411" w:type="pct"/>
                  <w:tcBorders>
                    <w:top w:val="single" w:color="000000" w:sz="4" w:space="0"/>
                    <w:left w:val="nil"/>
                    <w:bottom w:val="single" w:color="000000" w:sz="4" w:space="0"/>
                    <w:right w:val="single" w:color="000000" w:sz="4" w:space="0"/>
                  </w:tcBorders>
                  <w:vAlign w:val="center"/>
                </w:tcPr>
                <w:p w14:paraId="2C4F9A14">
                  <w:pPr>
                    <w:adjustRightInd w:val="0"/>
                    <w:snapToGrid w:val="0"/>
                    <w:jc w:val="center"/>
                    <w:rPr>
                      <w:bCs/>
                      <w:kern w:val="0"/>
                      <w:szCs w:val="21"/>
                    </w:rPr>
                  </w:pPr>
                  <w:r>
                    <w:rPr>
                      <w:rFonts w:hint="eastAsia"/>
                      <w:bCs/>
                      <w:kern w:val="0"/>
                      <w:szCs w:val="21"/>
                    </w:rPr>
                    <w:t>4</w:t>
                  </w:r>
                </w:p>
              </w:tc>
              <w:tc>
                <w:tcPr>
                  <w:tcW w:w="1047" w:type="pct"/>
                  <w:tcBorders>
                    <w:top w:val="single" w:color="000000" w:sz="4" w:space="0"/>
                    <w:left w:val="single" w:color="000000" w:sz="4" w:space="0"/>
                    <w:bottom w:val="single" w:color="000000" w:sz="4" w:space="0"/>
                    <w:right w:val="single" w:color="000000" w:sz="4" w:space="0"/>
                  </w:tcBorders>
                  <w:vAlign w:val="center"/>
                </w:tcPr>
                <w:p w14:paraId="04D6AEB6">
                  <w:pPr>
                    <w:adjustRightInd w:val="0"/>
                    <w:snapToGrid w:val="0"/>
                    <w:jc w:val="center"/>
                    <w:rPr>
                      <w:bCs/>
                      <w:kern w:val="0"/>
                      <w:szCs w:val="21"/>
                    </w:rPr>
                  </w:pPr>
                  <w:r>
                    <w:rPr>
                      <w:rFonts w:hint="eastAsia"/>
                      <w:bCs/>
                      <w:kern w:val="0"/>
                      <w:szCs w:val="21"/>
                    </w:rPr>
                    <w:t>废催化剂</w:t>
                  </w:r>
                </w:p>
              </w:tc>
              <w:tc>
                <w:tcPr>
                  <w:tcW w:w="773" w:type="pct"/>
                  <w:tcBorders>
                    <w:top w:val="single" w:color="000000" w:sz="4" w:space="0"/>
                    <w:left w:val="single" w:color="000000" w:sz="4" w:space="0"/>
                    <w:bottom w:val="single" w:color="000000" w:sz="4" w:space="0"/>
                    <w:right w:val="single" w:color="000000" w:sz="4" w:space="0"/>
                  </w:tcBorders>
                  <w:vAlign w:val="center"/>
                </w:tcPr>
                <w:p w14:paraId="3AF92D7F">
                  <w:pPr>
                    <w:adjustRightInd w:val="0"/>
                    <w:snapToGrid w:val="0"/>
                    <w:jc w:val="center"/>
                    <w:rPr>
                      <w:bCs/>
                      <w:kern w:val="0"/>
                      <w:szCs w:val="21"/>
                    </w:rPr>
                  </w:pPr>
                  <w:r>
                    <w:rPr>
                      <w:rFonts w:hint="eastAsia"/>
                      <w:bCs/>
                      <w:kern w:val="0"/>
                      <w:szCs w:val="21"/>
                    </w:rPr>
                    <w:t>5</w:t>
                  </w:r>
                </w:p>
              </w:tc>
              <w:tc>
                <w:tcPr>
                  <w:tcW w:w="1030" w:type="pct"/>
                  <w:tcBorders>
                    <w:top w:val="single" w:color="000000" w:sz="4" w:space="0"/>
                    <w:left w:val="single" w:color="000000" w:sz="4" w:space="0"/>
                    <w:bottom w:val="single" w:color="000000" w:sz="4" w:space="0"/>
                    <w:right w:val="single" w:color="000000" w:sz="4" w:space="0"/>
                  </w:tcBorders>
                  <w:vAlign w:val="center"/>
                </w:tcPr>
                <w:p w14:paraId="04532F84">
                  <w:pPr>
                    <w:adjustRightInd w:val="0"/>
                    <w:snapToGrid w:val="0"/>
                    <w:jc w:val="center"/>
                    <w:rPr>
                      <w:bCs/>
                      <w:kern w:val="0"/>
                      <w:szCs w:val="21"/>
                    </w:rPr>
                  </w:pPr>
                  <w:r>
                    <w:rPr>
                      <w:rFonts w:hint="eastAsia"/>
                      <w:bCs/>
                      <w:kern w:val="0"/>
                      <w:szCs w:val="21"/>
                    </w:rPr>
                    <w:t>危险废物（</w:t>
                  </w:r>
                  <w:r>
                    <w:rPr>
                      <w:bCs/>
                      <w:kern w:val="0"/>
                      <w:szCs w:val="21"/>
                    </w:rPr>
                    <w:t>HW50</w:t>
                  </w:r>
                  <w:r>
                    <w:rPr>
                      <w:rFonts w:hint="eastAsia"/>
                      <w:bCs/>
                      <w:kern w:val="0"/>
                      <w:szCs w:val="21"/>
                    </w:rPr>
                    <w:t xml:space="preserve"> </w:t>
                  </w:r>
                  <w:r>
                    <w:rPr>
                      <w:bCs/>
                      <w:kern w:val="0"/>
                      <w:szCs w:val="21"/>
                    </w:rPr>
                    <w:t>772-007-50</w:t>
                  </w:r>
                  <w:r>
                    <w:rPr>
                      <w:rFonts w:hint="eastAsia"/>
                      <w:bCs/>
                      <w:kern w:val="0"/>
                      <w:szCs w:val="21"/>
                    </w:rPr>
                    <w:t>）</w:t>
                  </w:r>
                </w:p>
              </w:tc>
              <w:tc>
                <w:tcPr>
                  <w:tcW w:w="1739" w:type="pct"/>
                  <w:tcBorders>
                    <w:top w:val="single" w:color="000000" w:sz="4" w:space="0"/>
                    <w:left w:val="single" w:color="000000" w:sz="4" w:space="0"/>
                    <w:bottom w:val="single" w:color="auto" w:sz="4" w:space="0"/>
                    <w:right w:val="nil"/>
                  </w:tcBorders>
                  <w:vAlign w:val="center"/>
                </w:tcPr>
                <w:p w14:paraId="06528E48">
                  <w:pPr>
                    <w:adjustRightInd w:val="0"/>
                    <w:snapToGrid w:val="0"/>
                    <w:jc w:val="center"/>
                    <w:rPr>
                      <w:bCs/>
                      <w:kern w:val="0"/>
                      <w:szCs w:val="21"/>
                    </w:rPr>
                  </w:pPr>
                  <w:r>
                    <w:rPr>
                      <w:rFonts w:hint="eastAsia"/>
                      <w:bCs/>
                      <w:kern w:val="0"/>
                      <w:szCs w:val="21"/>
                    </w:rPr>
                    <w:t>本次于工业场地内新建1座30</w:t>
                  </w:r>
                  <w:r>
                    <w:rPr>
                      <w:bCs/>
                      <w:kern w:val="0"/>
                      <w:szCs w:val="21"/>
                    </w:rPr>
                    <w:t>m</w:t>
                  </w:r>
                  <w:r>
                    <w:rPr>
                      <w:rFonts w:hint="eastAsia"/>
                      <w:bCs/>
                      <w:kern w:val="0"/>
                      <w:szCs w:val="21"/>
                      <w:vertAlign w:val="superscript"/>
                    </w:rPr>
                    <w:t>2</w:t>
                  </w:r>
                  <w:r>
                    <w:rPr>
                      <w:rFonts w:hint="eastAsia"/>
                      <w:bCs/>
                      <w:kern w:val="0"/>
                      <w:szCs w:val="21"/>
                    </w:rPr>
                    <w:t>危废贮存库，废催化剂暂存于危废贮存库，委托有资质单位处理</w:t>
                  </w:r>
                </w:p>
              </w:tc>
            </w:tr>
            <w:tr w14:paraId="0A5BAB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1458" w:type="pct"/>
                  <w:gridSpan w:val="2"/>
                  <w:tcBorders>
                    <w:top w:val="single" w:color="000000" w:sz="4" w:space="0"/>
                    <w:left w:val="nil"/>
                    <w:bottom w:val="single" w:color="auto" w:sz="12" w:space="0"/>
                    <w:right w:val="single" w:color="000000" w:sz="4" w:space="0"/>
                  </w:tcBorders>
                  <w:vAlign w:val="center"/>
                </w:tcPr>
                <w:p w14:paraId="0FEB1E3A">
                  <w:pPr>
                    <w:adjustRightInd w:val="0"/>
                    <w:snapToGrid w:val="0"/>
                    <w:jc w:val="center"/>
                    <w:rPr>
                      <w:bCs/>
                      <w:kern w:val="0"/>
                      <w:szCs w:val="21"/>
                    </w:rPr>
                  </w:pPr>
                  <w:r>
                    <w:rPr>
                      <w:rFonts w:hint="eastAsia"/>
                      <w:bCs/>
                      <w:kern w:val="0"/>
                      <w:szCs w:val="21"/>
                    </w:rPr>
                    <w:t>合计</w:t>
                  </w:r>
                </w:p>
              </w:tc>
              <w:tc>
                <w:tcPr>
                  <w:tcW w:w="773" w:type="pct"/>
                  <w:tcBorders>
                    <w:top w:val="single" w:color="000000" w:sz="4" w:space="0"/>
                    <w:left w:val="single" w:color="000000" w:sz="4" w:space="0"/>
                    <w:bottom w:val="single" w:color="auto" w:sz="12" w:space="0"/>
                    <w:right w:val="single" w:color="000000" w:sz="4" w:space="0"/>
                  </w:tcBorders>
                  <w:vAlign w:val="center"/>
                </w:tcPr>
                <w:p w14:paraId="49F34E84">
                  <w:pPr>
                    <w:adjustRightInd w:val="0"/>
                    <w:snapToGrid w:val="0"/>
                    <w:jc w:val="center"/>
                    <w:rPr>
                      <w:bCs/>
                      <w:kern w:val="0"/>
                      <w:szCs w:val="21"/>
                    </w:rPr>
                  </w:pPr>
                  <w:r>
                    <w:rPr>
                      <w:bCs/>
                      <w:kern w:val="0"/>
                      <w:szCs w:val="21"/>
                    </w:rPr>
                    <w:t>3335.862</w:t>
                  </w:r>
                </w:p>
              </w:tc>
              <w:tc>
                <w:tcPr>
                  <w:tcW w:w="1030" w:type="pct"/>
                  <w:tcBorders>
                    <w:top w:val="single" w:color="auto" w:sz="4" w:space="0"/>
                    <w:left w:val="single" w:color="000000" w:sz="4" w:space="0"/>
                    <w:bottom w:val="single" w:color="auto" w:sz="12" w:space="0"/>
                    <w:right w:val="single" w:color="000000" w:sz="4" w:space="0"/>
                  </w:tcBorders>
                  <w:vAlign w:val="center"/>
                </w:tcPr>
                <w:p w14:paraId="161807AE">
                  <w:pPr>
                    <w:adjustRightInd w:val="0"/>
                    <w:snapToGrid w:val="0"/>
                    <w:jc w:val="center"/>
                    <w:rPr>
                      <w:bCs/>
                      <w:kern w:val="0"/>
                      <w:szCs w:val="21"/>
                    </w:rPr>
                  </w:pPr>
                  <w:r>
                    <w:rPr>
                      <w:rFonts w:hint="eastAsia"/>
                      <w:bCs/>
                      <w:kern w:val="0"/>
                      <w:szCs w:val="21"/>
                    </w:rPr>
                    <w:t>/</w:t>
                  </w:r>
                </w:p>
              </w:tc>
              <w:tc>
                <w:tcPr>
                  <w:tcW w:w="1739" w:type="pct"/>
                  <w:tcBorders>
                    <w:top w:val="single" w:color="auto" w:sz="4" w:space="0"/>
                    <w:left w:val="single" w:color="000000" w:sz="4" w:space="0"/>
                    <w:bottom w:val="single" w:color="auto" w:sz="12" w:space="0"/>
                    <w:right w:val="nil"/>
                  </w:tcBorders>
                  <w:vAlign w:val="center"/>
                </w:tcPr>
                <w:p w14:paraId="32EB5D01">
                  <w:pPr>
                    <w:adjustRightInd w:val="0"/>
                    <w:snapToGrid w:val="0"/>
                    <w:jc w:val="center"/>
                    <w:rPr>
                      <w:bCs/>
                      <w:kern w:val="0"/>
                      <w:szCs w:val="21"/>
                    </w:rPr>
                  </w:pPr>
                  <w:r>
                    <w:rPr>
                      <w:rFonts w:hint="eastAsia"/>
                      <w:bCs/>
                      <w:kern w:val="0"/>
                      <w:szCs w:val="21"/>
                    </w:rPr>
                    <w:t>/</w:t>
                  </w:r>
                </w:p>
              </w:tc>
            </w:tr>
          </w:tbl>
          <w:p w14:paraId="57C03F1C">
            <w:pPr>
              <w:adjustRightInd w:val="0"/>
              <w:snapToGrid w:val="0"/>
              <w:spacing w:line="360" w:lineRule="auto"/>
              <w:ind w:firstLine="480" w:firstLineChars="200"/>
              <w:rPr>
                <w:kern w:val="0"/>
                <w:sz w:val="24"/>
              </w:rPr>
            </w:pPr>
          </w:p>
          <w:p w14:paraId="79BF158C">
            <w:pPr>
              <w:adjustRightInd w:val="0"/>
              <w:snapToGrid w:val="0"/>
              <w:spacing w:line="360" w:lineRule="auto"/>
              <w:ind w:firstLine="480" w:firstLineChars="200"/>
              <w:rPr>
                <w:kern w:val="0"/>
                <w:sz w:val="24"/>
              </w:rPr>
            </w:pPr>
            <w:r>
              <w:rPr>
                <w:rFonts w:hint="eastAsia"/>
                <w:kern w:val="0"/>
                <w:sz w:val="24"/>
              </w:rPr>
              <w:t>（2）一般固体废物管理要求</w:t>
            </w:r>
          </w:p>
          <w:p w14:paraId="32AAA2A8">
            <w:pPr>
              <w:adjustRightInd w:val="0"/>
              <w:snapToGrid w:val="0"/>
              <w:spacing w:line="360" w:lineRule="auto"/>
              <w:ind w:firstLine="480" w:firstLineChars="200"/>
              <w:rPr>
                <w:kern w:val="0"/>
                <w:sz w:val="24"/>
              </w:rPr>
            </w:pPr>
            <w:r>
              <w:rPr>
                <w:rFonts w:hint="eastAsia"/>
                <w:kern w:val="0"/>
                <w:sz w:val="24"/>
              </w:rPr>
              <w:t>本次一般固体废物管理要求如下：</w:t>
            </w:r>
          </w:p>
          <w:p w14:paraId="572ED82D">
            <w:pPr>
              <w:adjustRightInd w:val="0"/>
              <w:snapToGrid w:val="0"/>
              <w:spacing w:line="360" w:lineRule="auto"/>
              <w:ind w:firstLine="480" w:firstLineChars="200"/>
              <w:rPr>
                <w:kern w:val="0"/>
                <w:sz w:val="24"/>
              </w:rPr>
            </w:pPr>
            <w:r>
              <w:rPr>
                <w:kern w:val="0"/>
                <w:sz w:val="24"/>
              </w:rPr>
              <w:t>1</w:t>
            </w:r>
            <w:r>
              <w:rPr>
                <w:rFonts w:hint="eastAsia"/>
                <w:kern w:val="0"/>
                <w:sz w:val="24"/>
              </w:rPr>
              <w:t>）应记录固体废物的产生量和去向(处理处置、综合利用或外运) 及相应量，固体废物各去向量之和应等于固体废物产生量。</w:t>
            </w:r>
          </w:p>
          <w:p w14:paraId="3B282BB0">
            <w:pPr>
              <w:adjustRightInd w:val="0"/>
              <w:snapToGrid w:val="0"/>
              <w:spacing w:line="360" w:lineRule="auto"/>
              <w:ind w:firstLine="480" w:firstLineChars="200"/>
              <w:rPr>
                <w:kern w:val="0"/>
                <w:sz w:val="24"/>
              </w:rPr>
            </w:pPr>
            <w:r>
              <w:rPr>
                <w:kern w:val="0"/>
                <w:sz w:val="24"/>
              </w:rPr>
              <w:t>2</w:t>
            </w:r>
            <w:r>
              <w:rPr>
                <w:rFonts w:hint="eastAsia"/>
                <w:kern w:val="0"/>
                <w:sz w:val="24"/>
              </w:rPr>
              <w:t>）对固体废物实行从产生、运输直至最终处理实行全过程管理，加强固体废物运输过程的事故风险防范，按照有关法律、法规的要求，对固体废弃物全过程管理应报当地环保行政主管部门等批准。</w:t>
            </w:r>
          </w:p>
          <w:p w14:paraId="0F20C3A6">
            <w:pPr>
              <w:adjustRightInd w:val="0"/>
              <w:snapToGrid w:val="0"/>
              <w:spacing w:line="360" w:lineRule="auto"/>
              <w:ind w:firstLine="480" w:firstLineChars="200"/>
              <w:rPr>
                <w:kern w:val="0"/>
                <w:sz w:val="24"/>
              </w:rPr>
            </w:pPr>
            <w:r>
              <w:rPr>
                <w:kern w:val="0"/>
                <w:sz w:val="24"/>
              </w:rPr>
              <w:t>3</w:t>
            </w:r>
            <w:r>
              <w:rPr>
                <w:rFonts w:hint="eastAsia"/>
                <w:kern w:val="0"/>
                <w:sz w:val="24"/>
              </w:rPr>
              <w:t>）固体废物及时清运，避免长期堆存产生二次污染，并达到相应的污染物排放或控制标准要求。</w:t>
            </w:r>
          </w:p>
          <w:p w14:paraId="2B15690F">
            <w:pPr>
              <w:adjustRightInd w:val="0"/>
              <w:snapToGrid w:val="0"/>
              <w:spacing w:line="360" w:lineRule="auto"/>
              <w:ind w:firstLine="480" w:firstLineChars="200"/>
              <w:rPr>
                <w:kern w:val="0"/>
                <w:sz w:val="24"/>
              </w:rPr>
            </w:pPr>
            <w:r>
              <w:rPr>
                <w:rFonts w:hint="eastAsia"/>
                <w:kern w:val="0"/>
                <w:sz w:val="24"/>
              </w:rPr>
              <w:t>（3）危险废物管理要求</w:t>
            </w:r>
          </w:p>
          <w:p w14:paraId="6F6C2B1B">
            <w:pPr>
              <w:adjustRightInd w:val="0"/>
              <w:snapToGrid w:val="0"/>
              <w:spacing w:line="360" w:lineRule="auto"/>
              <w:ind w:firstLine="480" w:firstLineChars="200"/>
              <w:rPr>
                <w:kern w:val="0"/>
                <w:sz w:val="24"/>
              </w:rPr>
            </w:pPr>
            <w:r>
              <w:rPr>
                <w:rFonts w:hint="eastAsia"/>
                <w:bCs/>
                <w:kern w:val="0"/>
                <w:sz w:val="24"/>
              </w:rPr>
              <w:t>本次于工业场地内新建1座30</w:t>
            </w:r>
            <w:r>
              <w:rPr>
                <w:bCs/>
                <w:kern w:val="0"/>
                <w:sz w:val="24"/>
              </w:rPr>
              <w:t>m</w:t>
            </w:r>
            <w:r>
              <w:rPr>
                <w:rFonts w:hint="eastAsia"/>
                <w:bCs/>
                <w:kern w:val="0"/>
                <w:sz w:val="24"/>
                <w:vertAlign w:val="superscript"/>
              </w:rPr>
              <w:t>2</w:t>
            </w:r>
            <w:r>
              <w:rPr>
                <w:rFonts w:hint="eastAsia"/>
                <w:bCs/>
                <w:kern w:val="0"/>
                <w:sz w:val="24"/>
              </w:rPr>
              <w:t>危废贮存库，废催化剂暂存于危废贮存库，委托有资质单位处理</w:t>
            </w:r>
            <w:r>
              <w:rPr>
                <w:rFonts w:hint="eastAsia"/>
                <w:kern w:val="0"/>
                <w:sz w:val="24"/>
              </w:rPr>
              <w:t>。本项目危险废物应尽快送往有资质的危废处理单位处理，不宜存放过长时间，确需暂存的，本次评价要求危废贮存场所应按照《危险废物贮存污染控制标准》（GB18597-2023）等最新要求做到以下几点：</w:t>
            </w:r>
          </w:p>
          <w:p w14:paraId="23BE8FAA">
            <w:pPr>
              <w:adjustRightInd w:val="0"/>
              <w:snapToGrid w:val="0"/>
              <w:spacing w:line="360" w:lineRule="auto"/>
              <w:ind w:firstLine="480" w:firstLineChars="200"/>
              <w:rPr>
                <w:kern w:val="0"/>
                <w:sz w:val="24"/>
              </w:rPr>
            </w:pPr>
            <w:r>
              <w:rPr>
                <w:rFonts w:hint="eastAsia"/>
                <w:kern w:val="0"/>
                <w:sz w:val="24"/>
              </w:rPr>
              <w:t>①贮存场所应符合《危险废物贮存污染控制标准》（GB18597-2023）中要求，有符合要求的专用标志。</w:t>
            </w:r>
          </w:p>
          <w:p w14:paraId="609A331D">
            <w:pPr>
              <w:adjustRightInd w:val="0"/>
              <w:snapToGrid w:val="0"/>
              <w:spacing w:line="360" w:lineRule="auto"/>
              <w:ind w:firstLine="480" w:firstLineChars="200"/>
              <w:rPr>
                <w:kern w:val="0"/>
                <w:sz w:val="24"/>
              </w:rPr>
            </w:pPr>
            <w:r>
              <w:rPr>
                <w:rFonts w:hint="eastAsia"/>
                <w:kern w:val="0"/>
                <w:sz w:val="24"/>
              </w:rPr>
              <w:t>②危险废物贮存场所必须按《危险废物识别标志设置技术规范》（HJ1276）规定设置警示标志。</w:t>
            </w:r>
          </w:p>
          <w:p w14:paraId="16A7CEE2">
            <w:pPr>
              <w:adjustRightInd w:val="0"/>
              <w:snapToGrid w:val="0"/>
              <w:spacing w:line="360" w:lineRule="auto"/>
              <w:ind w:firstLine="480" w:firstLineChars="200"/>
              <w:rPr>
                <w:kern w:val="0"/>
                <w:sz w:val="24"/>
              </w:rPr>
            </w:pPr>
            <w:r>
              <w:rPr>
                <w:rFonts w:hint="eastAsia"/>
                <w:kern w:val="0"/>
                <w:sz w:val="24"/>
              </w:rPr>
              <w:t>③贮存设施所有者或运营者应配备满足其突发环境事件应急要求的应急人员、装备和物资，并应设置应急照明系统。</w:t>
            </w:r>
          </w:p>
          <w:p w14:paraId="3EB8646E">
            <w:pPr>
              <w:adjustRightInd w:val="0"/>
              <w:snapToGrid w:val="0"/>
              <w:spacing w:line="360" w:lineRule="auto"/>
              <w:ind w:firstLine="480" w:firstLineChars="200"/>
              <w:rPr>
                <w:kern w:val="0"/>
                <w:sz w:val="24"/>
              </w:rPr>
            </w:pPr>
            <w:r>
              <w:rPr>
                <w:rFonts w:hint="eastAsia"/>
                <w:kern w:val="0"/>
                <w:sz w:val="24"/>
              </w:rPr>
              <w:t>④贮存危险废物应根据危险废物的类别、形态、物理化学性质和污染防治要求进行分类贮存，且应避免危险废物与不相容的物质或材料接触。</w:t>
            </w:r>
          </w:p>
          <w:p w14:paraId="42F1AFDF">
            <w:pPr>
              <w:adjustRightInd w:val="0"/>
              <w:snapToGrid w:val="0"/>
              <w:spacing w:line="360" w:lineRule="auto"/>
              <w:ind w:firstLine="480" w:firstLineChars="200"/>
              <w:rPr>
                <w:kern w:val="0"/>
                <w:sz w:val="24"/>
              </w:rPr>
            </w:pPr>
            <w:r>
              <w:rPr>
                <w:rFonts w:hint="eastAsia"/>
                <w:kern w:val="0"/>
                <w:sz w:val="24"/>
              </w:rPr>
              <w:t>⑤贮存容器必须有明显标志，具有耐腐蚀、耐压、密封和不与所贮存的废物发生反应等特性。</w:t>
            </w:r>
          </w:p>
          <w:p w14:paraId="4BDF4645">
            <w:pPr>
              <w:adjustRightInd w:val="0"/>
              <w:snapToGrid w:val="0"/>
              <w:spacing w:line="360" w:lineRule="auto"/>
              <w:ind w:firstLine="480" w:firstLineChars="200"/>
              <w:rPr>
                <w:kern w:val="0"/>
                <w:sz w:val="24"/>
              </w:rPr>
            </w:pPr>
            <w:r>
              <w:rPr>
                <w:rFonts w:hint="eastAsia"/>
                <w:kern w:val="0"/>
                <w:sz w:val="24"/>
              </w:rPr>
              <w:t>⑥基础防渗层为至少1m厚粘土层（渗透系数≤10</w:t>
            </w:r>
            <w:r>
              <w:rPr>
                <w:rFonts w:hint="eastAsia"/>
                <w:kern w:val="0"/>
                <w:sz w:val="24"/>
                <w:vertAlign w:val="superscript"/>
              </w:rPr>
              <w:t>-7</w:t>
            </w:r>
            <w:r>
              <w:rPr>
                <w:rFonts w:hint="eastAsia"/>
                <w:kern w:val="0"/>
                <w:sz w:val="24"/>
              </w:rPr>
              <w:t>cm/s），或至少2mm厚高密度聚乙烯膜等人工防渗材料（渗透系数≤10</w:t>
            </w:r>
            <w:r>
              <w:rPr>
                <w:rFonts w:hint="eastAsia"/>
                <w:kern w:val="0"/>
                <w:sz w:val="24"/>
                <w:vertAlign w:val="superscript"/>
              </w:rPr>
              <w:t>-10</w:t>
            </w:r>
            <w:r>
              <w:rPr>
                <w:rFonts w:hint="eastAsia"/>
                <w:kern w:val="0"/>
                <w:sz w:val="24"/>
              </w:rPr>
              <w:t>cm/s），或其他防渗性能等效的材料。</w:t>
            </w:r>
          </w:p>
          <w:p w14:paraId="76FE806F">
            <w:pPr>
              <w:adjustRightInd w:val="0"/>
              <w:snapToGrid w:val="0"/>
              <w:spacing w:line="360" w:lineRule="auto"/>
              <w:ind w:firstLine="480" w:firstLineChars="200"/>
              <w:rPr>
                <w:kern w:val="0"/>
                <w:sz w:val="24"/>
              </w:rPr>
            </w:pPr>
            <w:r>
              <w:rPr>
                <w:rFonts w:hint="eastAsia"/>
                <w:kern w:val="0"/>
                <w:sz w:val="24"/>
              </w:rPr>
              <w:t>（4）影响分析</w:t>
            </w:r>
          </w:p>
          <w:p w14:paraId="1C9206F5">
            <w:pPr>
              <w:adjustRightInd w:val="0"/>
              <w:snapToGrid w:val="0"/>
              <w:spacing w:line="360" w:lineRule="auto"/>
              <w:ind w:firstLine="480" w:firstLineChars="200"/>
              <w:rPr>
                <w:kern w:val="0"/>
                <w:sz w:val="24"/>
              </w:rPr>
            </w:pPr>
            <w:r>
              <w:rPr>
                <w:rFonts w:hint="eastAsia"/>
                <w:kern w:val="0"/>
                <w:sz w:val="24"/>
              </w:rPr>
              <w:t>本项目无新增劳动定员，无生活垃圾产生。运营期固体废物主要为废离子交换树脂、锅炉灰渣、脱硫副产物、废催化剂。废离子交换树脂由离子交换树脂厂家回收处理，锅炉灰渣、脱硫副产物收集后综合利用，废催化剂暂存于危废暂存间，委托有资质单位处理。综上，项目严格按照有关规定执行，落实本环评提出的各项措施后，项目产生的固废不会对周围环境产生明显不利的影响。</w:t>
            </w:r>
          </w:p>
          <w:p w14:paraId="29219662">
            <w:pPr>
              <w:adjustRightInd w:val="0"/>
              <w:snapToGrid w:val="0"/>
              <w:spacing w:line="360" w:lineRule="auto"/>
              <w:ind w:firstLine="482" w:firstLineChars="200"/>
              <w:rPr>
                <w:b/>
                <w:bCs/>
                <w:kern w:val="0"/>
                <w:sz w:val="24"/>
              </w:rPr>
            </w:pPr>
            <w:r>
              <w:rPr>
                <w:b/>
                <w:bCs/>
                <w:kern w:val="0"/>
                <w:sz w:val="24"/>
              </w:rPr>
              <w:t>5</w:t>
            </w:r>
            <w:r>
              <w:rPr>
                <w:rFonts w:hint="eastAsia"/>
                <w:b/>
                <w:bCs/>
                <w:kern w:val="0"/>
                <w:sz w:val="24"/>
              </w:rPr>
              <w:t>、地下水、土壤</w:t>
            </w:r>
          </w:p>
          <w:p w14:paraId="0892FBFB">
            <w:pPr>
              <w:adjustRightInd w:val="0"/>
              <w:snapToGrid w:val="0"/>
              <w:spacing w:line="360" w:lineRule="auto"/>
              <w:ind w:firstLine="480" w:firstLineChars="200"/>
              <w:rPr>
                <w:bCs/>
                <w:kern w:val="0"/>
                <w:sz w:val="24"/>
              </w:rPr>
            </w:pPr>
            <w:r>
              <w:rPr>
                <w:bCs/>
                <w:kern w:val="0"/>
                <w:sz w:val="24"/>
              </w:rPr>
              <w:t>5.1 地下水影响及环境保护措施</w:t>
            </w:r>
          </w:p>
          <w:p w14:paraId="09D97F83">
            <w:pPr>
              <w:adjustRightInd w:val="0"/>
              <w:snapToGrid w:val="0"/>
              <w:spacing w:line="360" w:lineRule="auto"/>
              <w:ind w:firstLine="480" w:firstLineChars="200"/>
              <w:rPr>
                <w:bCs/>
                <w:kern w:val="0"/>
                <w:sz w:val="24"/>
              </w:rPr>
            </w:pPr>
            <w:r>
              <w:rPr>
                <w:rFonts w:hint="eastAsia"/>
                <w:bCs/>
                <w:kern w:val="0"/>
                <w:sz w:val="24"/>
              </w:rPr>
              <w:t>项目运行期主要为锅炉、软水制备等工程运行产生的污染影响，主要污染物为燃煤蒸汽锅炉排放烟气、煤仓、渣仓等无组织废气、锅炉及软水制备系统产生的排水、废离子交换树脂、锅炉灰渣、脱硫副产物、废催化剂等。本项目采取了可靠的防治措施，正常工况下对地下水和土壤环境影响较小。项目废水主要为锅炉及软水制备系统产生的排水，属清净下水，水质简单。</w:t>
            </w:r>
            <w:r>
              <w:rPr>
                <w:bCs/>
                <w:kern w:val="0"/>
                <w:sz w:val="24"/>
              </w:rPr>
              <w:t>为防止</w:t>
            </w:r>
            <w:r>
              <w:rPr>
                <w:rFonts w:hint="eastAsia"/>
                <w:bCs/>
                <w:kern w:val="0"/>
                <w:sz w:val="24"/>
              </w:rPr>
              <w:t>生产废水泄漏</w:t>
            </w:r>
            <w:r>
              <w:rPr>
                <w:bCs/>
                <w:kern w:val="0"/>
                <w:sz w:val="24"/>
              </w:rPr>
              <w:t>对地下水造成污染，本次评价根据项目可能产生地下水污染的工程单元的分布情况，按照</w:t>
            </w:r>
            <w:r>
              <w:rPr>
                <w:rFonts w:ascii="宋体" w:hAnsi="宋体"/>
                <w:bCs/>
                <w:kern w:val="0"/>
                <w:sz w:val="24"/>
              </w:rPr>
              <w:t>“</w:t>
            </w:r>
            <w:r>
              <w:rPr>
                <w:bCs/>
                <w:kern w:val="0"/>
                <w:sz w:val="24"/>
              </w:rPr>
              <w:t>源头控制、分区防治、污染监控、应急响应</w:t>
            </w:r>
            <w:r>
              <w:rPr>
                <w:rFonts w:ascii="宋体" w:hAnsi="宋体"/>
                <w:bCs/>
                <w:kern w:val="0"/>
                <w:sz w:val="24"/>
              </w:rPr>
              <w:t>”</w:t>
            </w:r>
            <w:r>
              <w:rPr>
                <w:bCs/>
                <w:kern w:val="0"/>
                <w:sz w:val="24"/>
              </w:rPr>
              <w:t>相结合的原则，制定地下水环境保护措施。</w:t>
            </w:r>
          </w:p>
          <w:p w14:paraId="77FD8852">
            <w:pPr>
              <w:adjustRightInd w:val="0"/>
              <w:snapToGrid w:val="0"/>
              <w:spacing w:line="360" w:lineRule="auto"/>
              <w:ind w:firstLine="480" w:firstLineChars="200"/>
              <w:rPr>
                <w:bCs/>
                <w:kern w:val="0"/>
                <w:sz w:val="24"/>
              </w:rPr>
            </w:pPr>
            <w:r>
              <w:rPr>
                <w:rFonts w:hint="eastAsia" w:cs="宋体"/>
                <w:bCs/>
                <w:kern w:val="0"/>
                <w:sz w:val="24"/>
              </w:rPr>
              <w:t>（1）</w:t>
            </w:r>
            <w:r>
              <w:rPr>
                <w:bCs/>
                <w:kern w:val="0"/>
                <w:sz w:val="24"/>
              </w:rPr>
              <w:t>源头控制措施</w:t>
            </w:r>
          </w:p>
          <w:p w14:paraId="5463B9C8">
            <w:pPr>
              <w:adjustRightInd w:val="0"/>
              <w:snapToGrid w:val="0"/>
              <w:spacing w:line="360" w:lineRule="auto"/>
              <w:ind w:firstLine="480" w:firstLineChars="200"/>
              <w:rPr>
                <w:bCs/>
                <w:kern w:val="0"/>
                <w:sz w:val="24"/>
              </w:rPr>
            </w:pPr>
            <w:r>
              <w:rPr>
                <w:rFonts w:hint="eastAsia" w:ascii="宋体" w:hAnsi="宋体" w:cs="宋体"/>
                <w:bCs/>
                <w:kern w:val="0"/>
                <w:sz w:val="24"/>
              </w:rPr>
              <w:t>①</w:t>
            </w:r>
            <w:r>
              <w:rPr>
                <w:bCs/>
                <w:kern w:val="0"/>
                <w:sz w:val="24"/>
              </w:rPr>
              <w:t>对</w:t>
            </w:r>
            <w:r>
              <w:rPr>
                <w:rFonts w:hint="eastAsia"/>
                <w:bCs/>
                <w:kern w:val="0"/>
                <w:sz w:val="24"/>
              </w:rPr>
              <w:t>锅炉房、脱硫车间</w:t>
            </w:r>
            <w:r>
              <w:rPr>
                <w:bCs/>
                <w:kern w:val="0"/>
                <w:sz w:val="24"/>
              </w:rPr>
              <w:t>采取防渗漏措施，避免或减少</w:t>
            </w:r>
            <w:r>
              <w:rPr>
                <w:rFonts w:hint="eastAsia"/>
                <w:bCs/>
                <w:kern w:val="0"/>
                <w:sz w:val="24"/>
              </w:rPr>
              <w:t>生产废水</w:t>
            </w:r>
            <w:r>
              <w:rPr>
                <w:bCs/>
                <w:kern w:val="0"/>
                <w:sz w:val="24"/>
              </w:rPr>
              <w:t>的跑、冒、滴、漏，将</w:t>
            </w:r>
            <w:r>
              <w:rPr>
                <w:rFonts w:hint="eastAsia"/>
                <w:bCs/>
                <w:kern w:val="0"/>
                <w:sz w:val="24"/>
              </w:rPr>
              <w:t>生产废水泄漏</w:t>
            </w:r>
            <w:r>
              <w:rPr>
                <w:bCs/>
                <w:kern w:val="0"/>
                <w:sz w:val="24"/>
              </w:rPr>
              <w:t>的环境风险降至最低。</w:t>
            </w:r>
          </w:p>
          <w:p w14:paraId="10DB2193">
            <w:pPr>
              <w:adjustRightInd w:val="0"/>
              <w:snapToGrid w:val="0"/>
              <w:spacing w:line="360" w:lineRule="auto"/>
              <w:ind w:firstLine="480" w:firstLineChars="200"/>
              <w:rPr>
                <w:bCs/>
                <w:kern w:val="0"/>
                <w:sz w:val="24"/>
              </w:rPr>
            </w:pPr>
            <w:r>
              <w:rPr>
                <w:rFonts w:hint="eastAsia" w:ascii="宋体" w:hAnsi="宋体" w:cs="宋体"/>
                <w:bCs/>
                <w:kern w:val="0"/>
                <w:sz w:val="24"/>
              </w:rPr>
              <w:t>②</w:t>
            </w:r>
            <w:r>
              <w:rPr>
                <w:bCs/>
                <w:kern w:val="0"/>
                <w:sz w:val="24"/>
              </w:rPr>
              <w:t>建立有关规章制度和岗位责任制度，制定风险预警方案，设立应急设施减轻环境污染影响。</w:t>
            </w:r>
          </w:p>
          <w:p w14:paraId="41A3B7CE">
            <w:pPr>
              <w:adjustRightInd w:val="0"/>
              <w:snapToGrid w:val="0"/>
              <w:spacing w:line="360" w:lineRule="auto"/>
              <w:ind w:firstLine="480" w:firstLineChars="200"/>
              <w:rPr>
                <w:bCs/>
                <w:kern w:val="0"/>
                <w:sz w:val="24"/>
              </w:rPr>
            </w:pPr>
            <w:r>
              <w:rPr>
                <w:rFonts w:hint="eastAsia" w:cs="宋体"/>
                <w:bCs/>
                <w:kern w:val="0"/>
                <w:sz w:val="24"/>
              </w:rPr>
              <w:t>（2）</w:t>
            </w:r>
            <w:r>
              <w:rPr>
                <w:bCs/>
                <w:kern w:val="0"/>
                <w:sz w:val="24"/>
              </w:rPr>
              <w:t>分区防渗措施</w:t>
            </w:r>
          </w:p>
          <w:p w14:paraId="40CF248A">
            <w:pPr>
              <w:adjustRightInd w:val="0"/>
              <w:snapToGrid w:val="0"/>
              <w:spacing w:line="360" w:lineRule="auto"/>
              <w:ind w:firstLine="480" w:firstLineChars="200"/>
              <w:rPr>
                <w:bCs/>
                <w:kern w:val="0"/>
                <w:sz w:val="24"/>
              </w:rPr>
            </w:pPr>
            <w:r>
              <w:rPr>
                <w:bCs/>
                <w:kern w:val="0"/>
                <w:sz w:val="24"/>
              </w:rPr>
              <w:t>根据《环境风险评价技术导则 地下水环境》（HJ610-2016），对本项目各区域进行分区防渗，本项目</w:t>
            </w:r>
            <w:r>
              <w:rPr>
                <w:rFonts w:hint="eastAsia"/>
                <w:bCs/>
                <w:kern w:val="0"/>
                <w:sz w:val="24"/>
              </w:rPr>
              <w:t>脱硫车间进行一般防渗，其防控要求为等效粘土防渗层 Mb≥1.5m，K≤1</w:t>
            </w:r>
            <w:r>
              <w:rPr>
                <w:bCs/>
                <w:kern w:val="0"/>
                <w:sz w:val="24"/>
              </w:rPr>
              <w:t>×</w:t>
            </w:r>
            <w:r>
              <w:rPr>
                <w:rFonts w:hint="eastAsia"/>
                <w:bCs/>
                <w:kern w:val="0"/>
                <w:sz w:val="24"/>
              </w:rPr>
              <w:t>10</w:t>
            </w:r>
            <w:r>
              <w:rPr>
                <w:rFonts w:hint="eastAsia"/>
                <w:bCs/>
                <w:kern w:val="0"/>
                <w:sz w:val="24"/>
                <w:vertAlign w:val="superscript"/>
              </w:rPr>
              <w:t>-7</w:t>
            </w:r>
            <w:r>
              <w:rPr>
                <w:rFonts w:hint="eastAsia"/>
                <w:bCs/>
                <w:kern w:val="0"/>
                <w:sz w:val="24"/>
              </w:rPr>
              <w:t>cm/s（或参照 GB16889 执行），锅炉房</w:t>
            </w:r>
            <w:r>
              <w:rPr>
                <w:bCs/>
                <w:kern w:val="0"/>
                <w:sz w:val="24"/>
              </w:rPr>
              <w:t>地面</w:t>
            </w:r>
            <w:r>
              <w:rPr>
                <w:rFonts w:hint="eastAsia"/>
                <w:bCs/>
                <w:kern w:val="0"/>
                <w:sz w:val="24"/>
              </w:rPr>
              <w:t>、炉前煤仓、室外渣仓等</w:t>
            </w:r>
            <w:r>
              <w:rPr>
                <w:bCs/>
                <w:kern w:val="0"/>
                <w:sz w:val="24"/>
              </w:rPr>
              <w:t>为</w:t>
            </w:r>
            <w:r>
              <w:rPr>
                <w:rFonts w:hint="eastAsia"/>
                <w:bCs/>
                <w:kern w:val="0"/>
                <w:sz w:val="24"/>
              </w:rPr>
              <w:t>简单</w:t>
            </w:r>
            <w:r>
              <w:rPr>
                <w:bCs/>
                <w:kern w:val="0"/>
                <w:sz w:val="24"/>
              </w:rPr>
              <w:t>防渗区，</w:t>
            </w:r>
            <w:r>
              <w:rPr>
                <w:rFonts w:hint="eastAsia"/>
                <w:bCs/>
                <w:kern w:val="0"/>
                <w:sz w:val="24"/>
              </w:rPr>
              <w:t>进行简单地面硬化；危废贮存库采用重点防渗，按照《危险废物贮存污染控制标准》（GB18597-2023）中要求，</w:t>
            </w:r>
            <w:r>
              <w:rPr>
                <w:bCs/>
                <w:kern w:val="0"/>
                <w:sz w:val="24"/>
              </w:rPr>
              <w:t>防渗层为至少1m厚黏土层（渗透系数不大于10</w:t>
            </w:r>
            <w:r>
              <w:rPr>
                <w:bCs/>
                <w:kern w:val="0"/>
                <w:sz w:val="24"/>
                <w:vertAlign w:val="superscript"/>
              </w:rPr>
              <w:t>-7</w:t>
            </w:r>
            <w:r>
              <w:rPr>
                <w:bCs/>
                <w:kern w:val="0"/>
                <w:sz w:val="24"/>
              </w:rPr>
              <w:t>cm/s），或至少2mm厚高密度聚乙烯膜等人工防渗材料（渗透系数不大于10</w:t>
            </w:r>
            <w:r>
              <w:rPr>
                <w:bCs/>
                <w:kern w:val="0"/>
                <w:sz w:val="24"/>
                <w:vertAlign w:val="superscript"/>
              </w:rPr>
              <w:t>-10</w:t>
            </w:r>
            <w:r>
              <w:rPr>
                <w:bCs/>
                <w:kern w:val="0"/>
                <w:sz w:val="24"/>
              </w:rPr>
              <w:t>cm/s），或其他防渗性能等效的材料</w:t>
            </w:r>
            <w:r>
              <w:rPr>
                <w:rFonts w:hint="eastAsia"/>
                <w:bCs/>
                <w:kern w:val="0"/>
                <w:sz w:val="24"/>
              </w:rPr>
              <w:t>。</w:t>
            </w:r>
          </w:p>
          <w:p w14:paraId="708D04F0">
            <w:pPr>
              <w:adjustRightInd w:val="0"/>
              <w:snapToGrid w:val="0"/>
              <w:spacing w:line="360" w:lineRule="auto"/>
              <w:ind w:firstLine="480" w:firstLineChars="200"/>
              <w:rPr>
                <w:kern w:val="0"/>
                <w:sz w:val="24"/>
              </w:rPr>
            </w:pPr>
            <w:r>
              <w:rPr>
                <w:rFonts w:hint="eastAsia"/>
                <w:kern w:val="0"/>
                <w:sz w:val="24"/>
              </w:rPr>
              <w:t>5.2 土壤影响及环境保护措施</w:t>
            </w:r>
          </w:p>
          <w:p w14:paraId="6D035B34">
            <w:pPr>
              <w:adjustRightInd w:val="0"/>
              <w:snapToGrid w:val="0"/>
              <w:spacing w:line="360" w:lineRule="auto"/>
              <w:ind w:firstLine="480" w:firstLineChars="200"/>
              <w:rPr>
                <w:kern w:val="0"/>
                <w:sz w:val="24"/>
              </w:rPr>
            </w:pPr>
            <w:r>
              <w:rPr>
                <w:rFonts w:hint="eastAsia"/>
                <w:kern w:val="0"/>
                <w:sz w:val="24"/>
              </w:rPr>
              <w:t>本项目运营期对土壤环境影响较大的是非正常工况生产废水不当处理造成渗漏对土壤造成的影响。本项目对土壤的保护措施及对策主要为：</w:t>
            </w:r>
          </w:p>
          <w:p w14:paraId="34CEC903">
            <w:pPr>
              <w:adjustRightInd w:val="0"/>
              <w:snapToGrid w:val="0"/>
              <w:spacing w:line="360" w:lineRule="auto"/>
              <w:ind w:firstLine="480" w:firstLineChars="200"/>
              <w:rPr>
                <w:kern w:val="0"/>
                <w:sz w:val="24"/>
              </w:rPr>
            </w:pPr>
            <w:r>
              <w:rPr>
                <w:rFonts w:hint="eastAsia"/>
                <w:kern w:val="0"/>
                <w:sz w:val="24"/>
              </w:rPr>
              <w:t>1)源头控制措施</w:t>
            </w:r>
          </w:p>
          <w:p w14:paraId="7C0239F3">
            <w:pPr>
              <w:adjustRightInd w:val="0"/>
              <w:snapToGrid w:val="0"/>
              <w:spacing w:line="360" w:lineRule="auto"/>
              <w:ind w:firstLine="480" w:firstLineChars="200"/>
              <w:rPr>
                <w:kern w:val="0"/>
                <w:sz w:val="24"/>
              </w:rPr>
            </w:pPr>
            <w:r>
              <w:rPr>
                <w:rFonts w:hint="eastAsia"/>
                <w:kern w:val="0"/>
                <w:sz w:val="24"/>
              </w:rPr>
              <w:t>企业在建设期应对简单防渗区、一般防渗区按照相关要求做好防渗工作，避免垂直入渗等事故发生。</w:t>
            </w:r>
          </w:p>
          <w:p w14:paraId="7C761284">
            <w:pPr>
              <w:adjustRightInd w:val="0"/>
              <w:snapToGrid w:val="0"/>
              <w:spacing w:line="360" w:lineRule="auto"/>
              <w:ind w:firstLine="480" w:firstLineChars="200"/>
              <w:rPr>
                <w:kern w:val="0"/>
                <w:sz w:val="24"/>
              </w:rPr>
            </w:pPr>
            <w:r>
              <w:rPr>
                <w:rFonts w:hint="eastAsia"/>
                <w:kern w:val="0"/>
                <w:sz w:val="24"/>
              </w:rPr>
              <w:t>2)过程防控措施</w:t>
            </w:r>
          </w:p>
          <w:p w14:paraId="58B139E1">
            <w:pPr>
              <w:adjustRightInd w:val="0"/>
              <w:snapToGrid w:val="0"/>
              <w:spacing w:line="360" w:lineRule="auto"/>
              <w:ind w:firstLine="480" w:firstLineChars="200"/>
              <w:rPr>
                <w:kern w:val="0"/>
                <w:sz w:val="24"/>
              </w:rPr>
            </w:pPr>
            <w:r>
              <w:rPr>
                <w:rFonts w:hint="eastAsia"/>
                <w:kern w:val="0"/>
                <w:sz w:val="24"/>
              </w:rPr>
              <w:t>根据行业特点与占地范围内的土壤特性，按照相关技术要求采取过程阻断污染物削减和分区防控措施。</w:t>
            </w:r>
          </w:p>
          <w:p w14:paraId="2206442F">
            <w:pPr>
              <w:adjustRightInd w:val="0"/>
              <w:snapToGrid w:val="0"/>
              <w:spacing w:line="360" w:lineRule="auto"/>
              <w:ind w:firstLine="480" w:firstLineChars="200"/>
              <w:rPr>
                <w:kern w:val="0"/>
                <w:sz w:val="24"/>
              </w:rPr>
            </w:pPr>
            <w:r>
              <w:rPr>
                <w:rFonts w:hint="eastAsia"/>
                <w:kern w:val="0"/>
                <w:sz w:val="24"/>
              </w:rPr>
              <w:t>3)一般防渗区域应做好防渗层的检查维修工作，及时对破损的防渗层进行修补。</w:t>
            </w:r>
          </w:p>
          <w:p w14:paraId="65727193">
            <w:pPr>
              <w:adjustRightInd w:val="0"/>
              <w:snapToGrid w:val="0"/>
              <w:spacing w:line="360" w:lineRule="auto"/>
              <w:ind w:firstLine="480" w:firstLineChars="200"/>
              <w:rPr>
                <w:kern w:val="0"/>
                <w:sz w:val="24"/>
              </w:rPr>
            </w:pPr>
            <w:r>
              <w:rPr>
                <w:rFonts w:hint="eastAsia"/>
                <w:kern w:val="0"/>
                <w:sz w:val="24"/>
              </w:rPr>
              <w:t>综上所述，本项目在采取地面硬化防渗及相应管理措施的情况下，对地下水和土壤的影响在可接受范围内。</w:t>
            </w:r>
          </w:p>
          <w:p w14:paraId="727BFE93">
            <w:pPr>
              <w:adjustRightInd w:val="0"/>
              <w:snapToGrid w:val="0"/>
              <w:spacing w:line="360" w:lineRule="auto"/>
              <w:ind w:firstLine="480" w:firstLineChars="200"/>
              <w:rPr>
                <w:kern w:val="0"/>
                <w:sz w:val="24"/>
              </w:rPr>
            </w:pPr>
            <w:bookmarkStart w:id="35" w:name="_Hlk151460054"/>
            <w:r>
              <w:rPr>
                <w:rFonts w:hint="eastAsia"/>
                <w:kern w:val="0"/>
                <w:sz w:val="24"/>
              </w:rPr>
              <w:t>6、环境风险</w:t>
            </w:r>
          </w:p>
          <w:bookmarkEnd w:id="35"/>
          <w:p w14:paraId="19E23601">
            <w:pPr>
              <w:adjustRightInd w:val="0"/>
              <w:snapToGrid w:val="0"/>
              <w:spacing w:line="360" w:lineRule="auto"/>
              <w:ind w:firstLine="480" w:firstLineChars="200"/>
              <w:rPr>
                <w:kern w:val="0"/>
                <w:sz w:val="24"/>
              </w:rPr>
            </w:pPr>
            <w:r>
              <w:rPr>
                <w:rFonts w:hint="eastAsia"/>
                <w:kern w:val="0"/>
                <w:sz w:val="24"/>
              </w:rPr>
              <w:t>本项目不涉及有毒有害及易燃易爆等危险物质和风险源，项目可能发生的环境风险主要为事故状态下生产废水发生泄漏对土壤及地下水产生一定影响，但在采取地面硬化防渗及相应管理措施的情况下，项目对地下水和土壤的影响在可接受范围内，对环境影响较小。</w:t>
            </w:r>
          </w:p>
          <w:p w14:paraId="68553AF9">
            <w:pPr>
              <w:adjustRightInd w:val="0"/>
              <w:snapToGrid w:val="0"/>
              <w:spacing w:line="360" w:lineRule="auto"/>
              <w:ind w:firstLine="480" w:firstLineChars="200"/>
              <w:rPr>
                <w:kern w:val="0"/>
                <w:sz w:val="24"/>
              </w:rPr>
            </w:pPr>
            <w:r>
              <w:rPr>
                <w:rFonts w:hint="eastAsia"/>
                <w:kern w:val="0"/>
                <w:sz w:val="24"/>
              </w:rPr>
              <w:t>7、环境监测计划</w:t>
            </w:r>
          </w:p>
          <w:p w14:paraId="0BC33A6D">
            <w:pPr>
              <w:adjustRightInd w:val="0"/>
              <w:snapToGrid w:val="0"/>
              <w:spacing w:line="360" w:lineRule="auto"/>
              <w:ind w:firstLine="480" w:firstLineChars="200"/>
              <w:rPr>
                <w:kern w:val="0"/>
                <w:sz w:val="24"/>
              </w:rPr>
            </w:pPr>
            <w:r>
              <w:rPr>
                <w:kern w:val="0"/>
                <w:sz w:val="24"/>
              </w:rPr>
              <w:t>根据</w:t>
            </w:r>
            <w:r>
              <w:rPr>
                <w:rFonts w:hint="eastAsia"/>
                <w:kern w:val="0"/>
                <w:sz w:val="24"/>
              </w:rPr>
              <w:t>《排污单位自行监测技术指南 火力发电及锅炉》，</w:t>
            </w:r>
            <w:r>
              <w:rPr>
                <w:kern w:val="0"/>
                <w:sz w:val="24"/>
              </w:rPr>
              <w:t>本项目在运营期需对生产中产生的废气进行监测，</w:t>
            </w:r>
            <w:r>
              <w:rPr>
                <w:rFonts w:hint="eastAsia"/>
                <w:kern w:val="0"/>
                <w:sz w:val="24"/>
              </w:rPr>
              <w:t>污染源监测计划见表4-11。</w:t>
            </w:r>
          </w:p>
          <w:p w14:paraId="5BA51AFF">
            <w:pPr>
              <w:adjustRightInd w:val="0"/>
              <w:snapToGrid w:val="0"/>
              <w:jc w:val="center"/>
              <w:rPr>
                <w:b/>
                <w:bCs/>
                <w:kern w:val="0"/>
                <w:szCs w:val="21"/>
              </w:rPr>
            </w:pPr>
            <w:r>
              <w:rPr>
                <w:b/>
                <w:bCs/>
                <w:kern w:val="0"/>
                <w:szCs w:val="21"/>
              </w:rPr>
              <w:t>表</w:t>
            </w:r>
            <w:r>
              <w:rPr>
                <w:rFonts w:hint="eastAsia"/>
                <w:b/>
                <w:bCs/>
                <w:kern w:val="0"/>
                <w:szCs w:val="21"/>
              </w:rPr>
              <w:t>4-11 污染源监测</w:t>
            </w:r>
            <w:r>
              <w:rPr>
                <w:b/>
                <w:bCs/>
                <w:kern w:val="0"/>
                <w:szCs w:val="21"/>
              </w:rPr>
              <w:t>计划</w:t>
            </w:r>
          </w:p>
          <w:tbl>
            <w:tblPr>
              <w:tblStyle w:val="31"/>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48"/>
              <w:gridCol w:w="1080"/>
              <w:gridCol w:w="1417"/>
              <w:gridCol w:w="1747"/>
              <w:gridCol w:w="1000"/>
              <w:gridCol w:w="2442"/>
            </w:tblGrid>
            <w:tr w14:paraId="1B4696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680999B4">
                  <w:pPr>
                    <w:adjustRightInd w:val="0"/>
                    <w:snapToGrid w:val="0"/>
                    <w:jc w:val="center"/>
                    <w:rPr>
                      <w:b/>
                      <w:bCs/>
                      <w:kern w:val="0"/>
                      <w:szCs w:val="21"/>
                    </w:rPr>
                  </w:pPr>
                  <w:r>
                    <w:rPr>
                      <w:b/>
                      <w:bCs/>
                      <w:kern w:val="0"/>
                      <w:szCs w:val="21"/>
                    </w:rPr>
                    <w:t>项目</w:t>
                  </w:r>
                </w:p>
              </w:tc>
              <w:tc>
                <w:tcPr>
                  <w:tcW w:w="648" w:type="pct"/>
                  <w:vAlign w:val="center"/>
                </w:tcPr>
                <w:p w14:paraId="535A6BE6">
                  <w:pPr>
                    <w:adjustRightInd w:val="0"/>
                    <w:snapToGrid w:val="0"/>
                    <w:jc w:val="center"/>
                    <w:rPr>
                      <w:b/>
                      <w:bCs/>
                      <w:kern w:val="0"/>
                      <w:szCs w:val="21"/>
                    </w:rPr>
                  </w:pPr>
                  <w:r>
                    <w:rPr>
                      <w:rFonts w:hint="eastAsia"/>
                      <w:b/>
                      <w:bCs/>
                      <w:kern w:val="0"/>
                      <w:szCs w:val="21"/>
                    </w:rPr>
                    <w:t>排放方式</w:t>
                  </w:r>
                </w:p>
              </w:tc>
              <w:tc>
                <w:tcPr>
                  <w:tcW w:w="850" w:type="pct"/>
                  <w:vAlign w:val="center"/>
                </w:tcPr>
                <w:p w14:paraId="4EEA4AC5">
                  <w:pPr>
                    <w:adjustRightInd w:val="0"/>
                    <w:snapToGrid w:val="0"/>
                    <w:jc w:val="center"/>
                    <w:rPr>
                      <w:b/>
                      <w:bCs/>
                      <w:kern w:val="0"/>
                      <w:szCs w:val="21"/>
                    </w:rPr>
                  </w:pPr>
                  <w:r>
                    <w:rPr>
                      <w:b/>
                      <w:bCs/>
                      <w:kern w:val="0"/>
                      <w:szCs w:val="21"/>
                    </w:rPr>
                    <w:t>监测点位</w:t>
                  </w:r>
                </w:p>
              </w:tc>
              <w:tc>
                <w:tcPr>
                  <w:tcW w:w="1048" w:type="pct"/>
                  <w:vAlign w:val="center"/>
                </w:tcPr>
                <w:p w14:paraId="0D4336D8">
                  <w:pPr>
                    <w:adjustRightInd w:val="0"/>
                    <w:snapToGrid w:val="0"/>
                    <w:jc w:val="center"/>
                    <w:rPr>
                      <w:b/>
                      <w:bCs/>
                      <w:kern w:val="0"/>
                      <w:szCs w:val="21"/>
                    </w:rPr>
                  </w:pPr>
                  <w:r>
                    <w:rPr>
                      <w:b/>
                      <w:bCs/>
                      <w:kern w:val="0"/>
                      <w:szCs w:val="21"/>
                    </w:rPr>
                    <w:t>监测项目</w:t>
                  </w:r>
                </w:p>
              </w:tc>
              <w:tc>
                <w:tcPr>
                  <w:tcW w:w="600" w:type="pct"/>
                  <w:vAlign w:val="center"/>
                </w:tcPr>
                <w:p w14:paraId="669BB6B0">
                  <w:pPr>
                    <w:adjustRightInd w:val="0"/>
                    <w:snapToGrid w:val="0"/>
                    <w:jc w:val="center"/>
                    <w:rPr>
                      <w:b/>
                      <w:bCs/>
                      <w:kern w:val="0"/>
                      <w:szCs w:val="21"/>
                    </w:rPr>
                  </w:pPr>
                  <w:r>
                    <w:rPr>
                      <w:b/>
                      <w:bCs/>
                      <w:kern w:val="0"/>
                      <w:szCs w:val="21"/>
                    </w:rPr>
                    <w:t>监测周期</w:t>
                  </w:r>
                </w:p>
              </w:tc>
              <w:tc>
                <w:tcPr>
                  <w:tcW w:w="1462" w:type="pct"/>
                  <w:vAlign w:val="center"/>
                </w:tcPr>
                <w:p w14:paraId="7EBC5CF1">
                  <w:pPr>
                    <w:adjustRightInd w:val="0"/>
                    <w:snapToGrid w:val="0"/>
                    <w:jc w:val="center"/>
                    <w:rPr>
                      <w:b/>
                      <w:bCs/>
                      <w:kern w:val="0"/>
                      <w:szCs w:val="21"/>
                    </w:rPr>
                  </w:pPr>
                  <w:r>
                    <w:rPr>
                      <w:rFonts w:hint="eastAsia"/>
                      <w:b/>
                      <w:bCs/>
                      <w:kern w:val="0"/>
                      <w:szCs w:val="21"/>
                    </w:rPr>
                    <w:t>执行标准</w:t>
                  </w:r>
                </w:p>
              </w:tc>
            </w:tr>
            <w:tr w14:paraId="431D3F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9" w:type="pct"/>
                  <w:vMerge w:val="restart"/>
                  <w:vAlign w:val="center"/>
                </w:tcPr>
                <w:p w14:paraId="7DF6EDA6">
                  <w:pPr>
                    <w:adjustRightInd w:val="0"/>
                    <w:snapToGrid w:val="0"/>
                    <w:jc w:val="center"/>
                    <w:rPr>
                      <w:kern w:val="0"/>
                      <w:szCs w:val="21"/>
                    </w:rPr>
                  </w:pPr>
                  <w:r>
                    <w:rPr>
                      <w:kern w:val="0"/>
                      <w:szCs w:val="21"/>
                    </w:rPr>
                    <w:t>废气</w:t>
                  </w:r>
                </w:p>
              </w:tc>
              <w:tc>
                <w:tcPr>
                  <w:tcW w:w="648" w:type="pct"/>
                  <w:vMerge w:val="restart"/>
                  <w:vAlign w:val="center"/>
                </w:tcPr>
                <w:p w14:paraId="0507E85A">
                  <w:pPr>
                    <w:adjustRightInd w:val="0"/>
                    <w:snapToGrid w:val="0"/>
                    <w:jc w:val="center"/>
                    <w:rPr>
                      <w:kern w:val="0"/>
                      <w:szCs w:val="21"/>
                    </w:rPr>
                  </w:pPr>
                  <w:r>
                    <w:rPr>
                      <w:rFonts w:hint="eastAsia"/>
                      <w:kern w:val="0"/>
                      <w:szCs w:val="21"/>
                    </w:rPr>
                    <w:t>有组织排放</w:t>
                  </w:r>
                </w:p>
              </w:tc>
              <w:tc>
                <w:tcPr>
                  <w:tcW w:w="850" w:type="pct"/>
                  <w:vMerge w:val="restart"/>
                  <w:vAlign w:val="center"/>
                </w:tcPr>
                <w:p w14:paraId="1B697FAB">
                  <w:pPr>
                    <w:adjustRightInd w:val="0"/>
                    <w:snapToGrid w:val="0"/>
                    <w:jc w:val="center"/>
                    <w:rPr>
                      <w:b/>
                      <w:bCs/>
                      <w:kern w:val="0"/>
                      <w:szCs w:val="21"/>
                    </w:rPr>
                  </w:pPr>
                  <w:r>
                    <w:rPr>
                      <w:rFonts w:hint="eastAsia"/>
                      <w:kern w:val="0"/>
                      <w:szCs w:val="21"/>
                    </w:rPr>
                    <w:t>烟气排气筒口</w:t>
                  </w:r>
                </w:p>
              </w:tc>
              <w:tc>
                <w:tcPr>
                  <w:tcW w:w="1048" w:type="pct"/>
                  <w:vAlign w:val="center"/>
                </w:tcPr>
                <w:p w14:paraId="395374B9">
                  <w:pPr>
                    <w:adjustRightInd w:val="0"/>
                    <w:snapToGrid w:val="0"/>
                    <w:jc w:val="center"/>
                    <w:rPr>
                      <w:kern w:val="0"/>
                      <w:szCs w:val="21"/>
                    </w:rPr>
                  </w:pPr>
                  <w:r>
                    <w:rPr>
                      <w:kern w:val="0"/>
                      <w:szCs w:val="21"/>
                    </w:rPr>
                    <w:t>颗粒物</w:t>
                  </w:r>
                  <w:r>
                    <w:rPr>
                      <w:rFonts w:hint="eastAsia"/>
                      <w:kern w:val="0"/>
                      <w:szCs w:val="21"/>
                    </w:rPr>
                    <w:t>、二氧化硫、氮氧化物</w:t>
                  </w:r>
                </w:p>
              </w:tc>
              <w:tc>
                <w:tcPr>
                  <w:tcW w:w="600" w:type="pct"/>
                  <w:vAlign w:val="center"/>
                </w:tcPr>
                <w:p w14:paraId="51B1C07C">
                  <w:pPr>
                    <w:adjustRightInd w:val="0"/>
                    <w:snapToGrid w:val="0"/>
                    <w:jc w:val="center"/>
                    <w:rPr>
                      <w:kern w:val="0"/>
                      <w:szCs w:val="21"/>
                    </w:rPr>
                  </w:pPr>
                  <w:r>
                    <w:rPr>
                      <w:rFonts w:hint="eastAsia"/>
                      <w:kern w:val="0"/>
                      <w:szCs w:val="21"/>
                    </w:rPr>
                    <w:t>在线自动监测</w:t>
                  </w:r>
                </w:p>
              </w:tc>
              <w:tc>
                <w:tcPr>
                  <w:tcW w:w="1462" w:type="pct"/>
                  <w:vMerge w:val="restart"/>
                  <w:vAlign w:val="center"/>
                </w:tcPr>
                <w:p w14:paraId="2B3248BD">
                  <w:pPr>
                    <w:adjustRightInd w:val="0"/>
                    <w:snapToGrid w:val="0"/>
                    <w:jc w:val="center"/>
                    <w:rPr>
                      <w:b/>
                      <w:bCs/>
                      <w:kern w:val="0"/>
                      <w:szCs w:val="21"/>
                    </w:rPr>
                  </w:pPr>
                  <w:r>
                    <w:rPr>
                      <w:kern w:val="0"/>
                      <w:szCs w:val="21"/>
                    </w:rPr>
                    <w:t>《锅炉大气污染物排放标准》中表2标准限值</w:t>
                  </w:r>
                  <w:r>
                    <w:rPr>
                      <w:rFonts w:hint="eastAsia"/>
                      <w:kern w:val="0"/>
                      <w:szCs w:val="21"/>
                    </w:rPr>
                    <w:t>；氨执行《火电厂烟气脱硝工程技术规范 选择性催化还原法》（HJ563-2010）</w:t>
                  </w:r>
                </w:p>
              </w:tc>
            </w:tr>
            <w:tr w14:paraId="0F4679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9" w:type="pct"/>
                  <w:vMerge w:val="continue"/>
                  <w:vAlign w:val="center"/>
                </w:tcPr>
                <w:p w14:paraId="541AA862">
                  <w:pPr>
                    <w:adjustRightInd w:val="0"/>
                    <w:snapToGrid w:val="0"/>
                    <w:jc w:val="center"/>
                    <w:rPr>
                      <w:kern w:val="0"/>
                      <w:szCs w:val="21"/>
                    </w:rPr>
                  </w:pPr>
                </w:p>
              </w:tc>
              <w:tc>
                <w:tcPr>
                  <w:tcW w:w="648" w:type="pct"/>
                  <w:vMerge w:val="continue"/>
                  <w:vAlign w:val="center"/>
                </w:tcPr>
                <w:p w14:paraId="1DBA93FE">
                  <w:pPr>
                    <w:adjustRightInd w:val="0"/>
                    <w:snapToGrid w:val="0"/>
                    <w:jc w:val="center"/>
                    <w:rPr>
                      <w:kern w:val="0"/>
                      <w:szCs w:val="21"/>
                    </w:rPr>
                  </w:pPr>
                </w:p>
              </w:tc>
              <w:tc>
                <w:tcPr>
                  <w:tcW w:w="850" w:type="pct"/>
                  <w:vMerge w:val="continue"/>
                  <w:vAlign w:val="center"/>
                </w:tcPr>
                <w:p w14:paraId="19CC2954">
                  <w:pPr>
                    <w:adjustRightInd w:val="0"/>
                    <w:snapToGrid w:val="0"/>
                    <w:jc w:val="center"/>
                    <w:rPr>
                      <w:kern w:val="0"/>
                      <w:szCs w:val="21"/>
                    </w:rPr>
                  </w:pPr>
                </w:p>
              </w:tc>
              <w:tc>
                <w:tcPr>
                  <w:tcW w:w="1048" w:type="pct"/>
                  <w:vAlign w:val="center"/>
                </w:tcPr>
                <w:p w14:paraId="485A3BE1">
                  <w:pPr>
                    <w:adjustRightInd w:val="0"/>
                    <w:snapToGrid w:val="0"/>
                    <w:jc w:val="center"/>
                    <w:rPr>
                      <w:kern w:val="0"/>
                      <w:szCs w:val="21"/>
                    </w:rPr>
                  </w:pPr>
                  <w:r>
                    <w:rPr>
                      <w:rFonts w:hint="eastAsia"/>
                      <w:kern w:val="0"/>
                      <w:szCs w:val="21"/>
                    </w:rPr>
                    <w:t>汞及其化合物、林格曼黑度、氨</w:t>
                  </w:r>
                </w:p>
              </w:tc>
              <w:tc>
                <w:tcPr>
                  <w:tcW w:w="600" w:type="pct"/>
                  <w:vAlign w:val="center"/>
                </w:tcPr>
                <w:p w14:paraId="48B801B3">
                  <w:pPr>
                    <w:adjustRightInd w:val="0"/>
                    <w:snapToGrid w:val="0"/>
                    <w:jc w:val="center"/>
                    <w:rPr>
                      <w:kern w:val="0"/>
                      <w:szCs w:val="21"/>
                    </w:rPr>
                  </w:pPr>
                  <w:r>
                    <w:rPr>
                      <w:rFonts w:hint="eastAsia"/>
                      <w:kern w:val="0"/>
                      <w:szCs w:val="21"/>
                    </w:rPr>
                    <w:t>1次/季度</w:t>
                  </w:r>
                </w:p>
              </w:tc>
              <w:tc>
                <w:tcPr>
                  <w:tcW w:w="1462" w:type="pct"/>
                  <w:vMerge w:val="continue"/>
                  <w:vAlign w:val="center"/>
                </w:tcPr>
                <w:p w14:paraId="56261D7F">
                  <w:pPr>
                    <w:adjustRightInd w:val="0"/>
                    <w:snapToGrid w:val="0"/>
                    <w:jc w:val="center"/>
                    <w:rPr>
                      <w:kern w:val="0"/>
                      <w:szCs w:val="21"/>
                    </w:rPr>
                  </w:pPr>
                </w:p>
              </w:tc>
            </w:tr>
            <w:tr w14:paraId="738B78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9" w:type="pct"/>
                  <w:vMerge w:val="continue"/>
                  <w:vAlign w:val="center"/>
                </w:tcPr>
                <w:p w14:paraId="1DAD9189">
                  <w:pPr>
                    <w:adjustRightInd w:val="0"/>
                    <w:snapToGrid w:val="0"/>
                    <w:jc w:val="center"/>
                    <w:rPr>
                      <w:kern w:val="0"/>
                      <w:szCs w:val="21"/>
                    </w:rPr>
                  </w:pPr>
                </w:p>
              </w:tc>
              <w:tc>
                <w:tcPr>
                  <w:tcW w:w="648" w:type="pct"/>
                  <w:vAlign w:val="center"/>
                </w:tcPr>
                <w:p w14:paraId="26B4F210">
                  <w:pPr>
                    <w:adjustRightInd w:val="0"/>
                    <w:snapToGrid w:val="0"/>
                    <w:jc w:val="center"/>
                    <w:rPr>
                      <w:kern w:val="0"/>
                      <w:szCs w:val="21"/>
                    </w:rPr>
                  </w:pPr>
                  <w:r>
                    <w:rPr>
                      <w:rFonts w:hint="eastAsia"/>
                      <w:kern w:val="0"/>
                      <w:szCs w:val="21"/>
                    </w:rPr>
                    <w:t>无组织排放</w:t>
                  </w:r>
                </w:p>
              </w:tc>
              <w:tc>
                <w:tcPr>
                  <w:tcW w:w="850" w:type="pct"/>
                  <w:vAlign w:val="center"/>
                </w:tcPr>
                <w:p w14:paraId="06B7199F">
                  <w:pPr>
                    <w:adjustRightInd w:val="0"/>
                    <w:snapToGrid w:val="0"/>
                    <w:jc w:val="center"/>
                    <w:rPr>
                      <w:kern w:val="0"/>
                      <w:szCs w:val="21"/>
                    </w:rPr>
                  </w:pPr>
                  <w:r>
                    <w:rPr>
                      <w:kern w:val="0"/>
                      <w:szCs w:val="21"/>
                    </w:rPr>
                    <w:t>厂界上风向1个点位、下风向3个点位</w:t>
                  </w:r>
                </w:p>
              </w:tc>
              <w:tc>
                <w:tcPr>
                  <w:tcW w:w="1048" w:type="pct"/>
                  <w:vAlign w:val="center"/>
                </w:tcPr>
                <w:p w14:paraId="395E9904">
                  <w:pPr>
                    <w:adjustRightInd w:val="0"/>
                    <w:snapToGrid w:val="0"/>
                    <w:jc w:val="center"/>
                    <w:rPr>
                      <w:kern w:val="0"/>
                      <w:szCs w:val="21"/>
                    </w:rPr>
                  </w:pPr>
                  <w:r>
                    <w:rPr>
                      <w:kern w:val="0"/>
                      <w:szCs w:val="21"/>
                    </w:rPr>
                    <w:t>颗粒物</w:t>
                  </w:r>
                </w:p>
              </w:tc>
              <w:tc>
                <w:tcPr>
                  <w:tcW w:w="600" w:type="pct"/>
                  <w:vAlign w:val="center"/>
                </w:tcPr>
                <w:p w14:paraId="7D210764">
                  <w:pPr>
                    <w:adjustRightInd w:val="0"/>
                    <w:snapToGrid w:val="0"/>
                    <w:jc w:val="center"/>
                    <w:rPr>
                      <w:b/>
                      <w:bCs/>
                      <w:kern w:val="0"/>
                      <w:szCs w:val="21"/>
                    </w:rPr>
                  </w:pPr>
                  <w:r>
                    <w:rPr>
                      <w:rFonts w:hint="eastAsia"/>
                      <w:kern w:val="0"/>
                      <w:szCs w:val="21"/>
                    </w:rPr>
                    <w:t>1</w:t>
                  </w:r>
                  <w:r>
                    <w:rPr>
                      <w:kern w:val="0"/>
                      <w:szCs w:val="21"/>
                    </w:rPr>
                    <w:t>次/</w:t>
                  </w:r>
                  <w:r>
                    <w:rPr>
                      <w:rFonts w:hint="eastAsia"/>
                      <w:kern w:val="0"/>
                      <w:szCs w:val="21"/>
                    </w:rPr>
                    <w:t>季度</w:t>
                  </w:r>
                </w:p>
              </w:tc>
              <w:tc>
                <w:tcPr>
                  <w:tcW w:w="1462" w:type="pct"/>
                  <w:vAlign w:val="center"/>
                </w:tcPr>
                <w:p w14:paraId="77257878">
                  <w:pPr>
                    <w:adjustRightInd w:val="0"/>
                    <w:snapToGrid w:val="0"/>
                    <w:jc w:val="center"/>
                    <w:rPr>
                      <w:b/>
                      <w:bCs/>
                      <w:kern w:val="0"/>
                      <w:szCs w:val="21"/>
                    </w:rPr>
                  </w:pPr>
                  <w:r>
                    <w:rPr>
                      <w:rFonts w:hint="eastAsia"/>
                      <w:kern w:val="0"/>
                      <w:szCs w:val="21"/>
                    </w:rPr>
                    <w:t>《煤炭工业污染物排放标准》（</w:t>
                  </w:r>
                  <w:r>
                    <w:rPr>
                      <w:kern w:val="0"/>
                      <w:szCs w:val="21"/>
                    </w:rPr>
                    <w:t>GB20426-2006</w:t>
                  </w:r>
                  <w:r>
                    <w:rPr>
                      <w:rFonts w:hint="eastAsia"/>
                      <w:kern w:val="0"/>
                      <w:szCs w:val="21"/>
                    </w:rPr>
                    <w:t>）表5煤炭工业无组织排放限值</w:t>
                  </w:r>
                </w:p>
              </w:tc>
            </w:tr>
            <w:tr w14:paraId="412896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9" w:type="pct"/>
                  <w:vAlign w:val="center"/>
                </w:tcPr>
                <w:p w14:paraId="061131ED">
                  <w:pPr>
                    <w:adjustRightInd w:val="0"/>
                    <w:snapToGrid w:val="0"/>
                    <w:jc w:val="center"/>
                    <w:rPr>
                      <w:kern w:val="0"/>
                      <w:szCs w:val="21"/>
                    </w:rPr>
                  </w:pPr>
                  <w:r>
                    <w:rPr>
                      <w:rFonts w:hint="eastAsia"/>
                      <w:kern w:val="0"/>
                      <w:szCs w:val="21"/>
                    </w:rPr>
                    <w:t>噪声</w:t>
                  </w:r>
                </w:p>
              </w:tc>
              <w:tc>
                <w:tcPr>
                  <w:tcW w:w="648" w:type="pct"/>
                  <w:vAlign w:val="center"/>
                </w:tcPr>
                <w:p w14:paraId="5CB50C70">
                  <w:pPr>
                    <w:adjustRightInd w:val="0"/>
                    <w:snapToGrid w:val="0"/>
                    <w:jc w:val="center"/>
                    <w:rPr>
                      <w:kern w:val="0"/>
                      <w:szCs w:val="21"/>
                    </w:rPr>
                  </w:pPr>
                  <w:r>
                    <w:rPr>
                      <w:rFonts w:hint="eastAsia"/>
                      <w:kern w:val="0"/>
                      <w:szCs w:val="21"/>
                    </w:rPr>
                    <w:t>连续</w:t>
                  </w:r>
                </w:p>
              </w:tc>
              <w:tc>
                <w:tcPr>
                  <w:tcW w:w="850" w:type="pct"/>
                  <w:vAlign w:val="center"/>
                </w:tcPr>
                <w:p w14:paraId="28AB1F7F">
                  <w:pPr>
                    <w:adjustRightInd w:val="0"/>
                    <w:snapToGrid w:val="0"/>
                    <w:jc w:val="center"/>
                    <w:rPr>
                      <w:kern w:val="0"/>
                      <w:szCs w:val="21"/>
                    </w:rPr>
                  </w:pPr>
                  <w:r>
                    <w:rPr>
                      <w:rFonts w:hint="eastAsia"/>
                      <w:kern w:val="0"/>
                      <w:szCs w:val="21"/>
                    </w:rPr>
                    <w:t>厂界四周</w:t>
                  </w:r>
                </w:p>
              </w:tc>
              <w:tc>
                <w:tcPr>
                  <w:tcW w:w="1048" w:type="pct"/>
                  <w:vAlign w:val="center"/>
                </w:tcPr>
                <w:p w14:paraId="47E419D0">
                  <w:pPr>
                    <w:adjustRightInd w:val="0"/>
                    <w:snapToGrid w:val="0"/>
                    <w:jc w:val="center"/>
                    <w:rPr>
                      <w:kern w:val="0"/>
                      <w:szCs w:val="21"/>
                    </w:rPr>
                  </w:pPr>
                  <w:r>
                    <w:rPr>
                      <w:rFonts w:hint="eastAsia"/>
                      <w:kern w:val="0"/>
                      <w:szCs w:val="21"/>
                    </w:rPr>
                    <w:t>等效连续A声级Leq（A）</w:t>
                  </w:r>
                </w:p>
              </w:tc>
              <w:tc>
                <w:tcPr>
                  <w:tcW w:w="600" w:type="pct"/>
                  <w:vAlign w:val="center"/>
                </w:tcPr>
                <w:p w14:paraId="14BF0FC4">
                  <w:pPr>
                    <w:adjustRightInd w:val="0"/>
                    <w:snapToGrid w:val="0"/>
                    <w:jc w:val="center"/>
                    <w:rPr>
                      <w:kern w:val="0"/>
                      <w:szCs w:val="21"/>
                    </w:rPr>
                  </w:pPr>
                  <w:r>
                    <w:rPr>
                      <w:rFonts w:hint="eastAsia"/>
                      <w:kern w:val="0"/>
                      <w:szCs w:val="21"/>
                    </w:rPr>
                    <w:t>1次/季度</w:t>
                  </w:r>
                </w:p>
              </w:tc>
              <w:tc>
                <w:tcPr>
                  <w:tcW w:w="1462" w:type="pct"/>
                  <w:vAlign w:val="center"/>
                </w:tcPr>
                <w:p w14:paraId="00CC8575">
                  <w:pPr>
                    <w:adjustRightInd w:val="0"/>
                    <w:snapToGrid w:val="0"/>
                    <w:jc w:val="center"/>
                    <w:rPr>
                      <w:kern w:val="0"/>
                      <w:szCs w:val="21"/>
                    </w:rPr>
                  </w:pPr>
                  <w:r>
                    <w:rPr>
                      <w:rFonts w:hint="eastAsia"/>
                      <w:kern w:val="0"/>
                      <w:szCs w:val="21"/>
                    </w:rPr>
                    <w:t>《工业企业厂界环境噪声排放标准》（GB 12348-2008）中2类标准限值</w:t>
                  </w:r>
                </w:p>
              </w:tc>
            </w:tr>
            <w:tr w14:paraId="5687DC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6"/>
                  <w:vAlign w:val="center"/>
                </w:tcPr>
                <w:p w14:paraId="488FFA73">
                  <w:pPr>
                    <w:adjustRightInd w:val="0"/>
                    <w:snapToGrid w:val="0"/>
                    <w:spacing w:line="360" w:lineRule="auto"/>
                    <w:ind w:firstLine="480" w:firstLineChars="200"/>
                    <w:rPr>
                      <w:kern w:val="0"/>
                      <w:sz w:val="24"/>
                    </w:rPr>
                  </w:pPr>
                  <w:r>
                    <w:rPr>
                      <w:kern w:val="0"/>
                      <w:sz w:val="24"/>
                    </w:rPr>
                    <w:t>注</w:t>
                  </w:r>
                  <w:r>
                    <w:rPr>
                      <w:rFonts w:hint="eastAsia"/>
                      <w:kern w:val="0"/>
                      <w:sz w:val="24"/>
                    </w:rPr>
                    <w:t>：</w:t>
                  </w:r>
                  <w:r>
                    <w:rPr>
                      <w:kern w:val="0"/>
                      <w:sz w:val="24"/>
                    </w:rPr>
                    <w:t>煤种改变时，需对汞及其化合物增加监测频次</w:t>
                  </w:r>
                </w:p>
              </w:tc>
            </w:tr>
          </w:tbl>
          <w:p w14:paraId="181CC042">
            <w:pPr>
              <w:adjustRightInd w:val="0"/>
              <w:snapToGrid w:val="0"/>
              <w:spacing w:line="360" w:lineRule="auto"/>
              <w:ind w:firstLine="480" w:firstLineChars="200"/>
              <w:rPr>
                <w:kern w:val="0"/>
                <w:sz w:val="24"/>
              </w:rPr>
            </w:pPr>
          </w:p>
          <w:p w14:paraId="501427C1">
            <w:pPr>
              <w:adjustRightInd w:val="0"/>
              <w:snapToGrid w:val="0"/>
              <w:spacing w:line="360" w:lineRule="auto"/>
              <w:ind w:firstLine="480" w:firstLineChars="200"/>
              <w:rPr>
                <w:kern w:val="0"/>
                <w:sz w:val="24"/>
              </w:rPr>
            </w:pPr>
            <w:r>
              <w:rPr>
                <w:kern w:val="0"/>
                <w:sz w:val="24"/>
              </w:rPr>
              <w:t>8</w:t>
            </w:r>
            <w:r>
              <w:rPr>
                <w:rFonts w:hint="eastAsia"/>
                <w:kern w:val="0"/>
                <w:sz w:val="24"/>
              </w:rPr>
              <w:t>、环保投资估算</w:t>
            </w:r>
          </w:p>
          <w:p w14:paraId="30460615">
            <w:pPr>
              <w:adjustRightInd w:val="0"/>
              <w:snapToGrid w:val="0"/>
              <w:spacing w:line="360" w:lineRule="auto"/>
              <w:ind w:firstLine="480" w:firstLineChars="200"/>
              <w:rPr>
                <w:kern w:val="0"/>
                <w:sz w:val="24"/>
              </w:rPr>
            </w:pPr>
            <w:r>
              <w:rPr>
                <w:rFonts w:hint="eastAsia"/>
                <w:kern w:val="0"/>
                <w:sz w:val="24"/>
              </w:rPr>
              <w:t>项目总投资4000万元，其中环保投资455万元，占总投资的11.37</w:t>
            </w:r>
            <w:r>
              <w:rPr>
                <w:kern w:val="0"/>
                <w:sz w:val="24"/>
              </w:rPr>
              <w:t>%</w:t>
            </w:r>
            <w:r>
              <w:rPr>
                <w:rFonts w:hint="eastAsia"/>
                <w:kern w:val="0"/>
                <w:sz w:val="24"/>
              </w:rPr>
              <w:t>。环境保护措施及投资一览表见下表。</w:t>
            </w:r>
          </w:p>
          <w:p w14:paraId="09642DD9">
            <w:pPr>
              <w:adjustRightInd w:val="0"/>
              <w:snapToGrid w:val="0"/>
              <w:jc w:val="center"/>
              <w:rPr>
                <w:b/>
                <w:szCs w:val="21"/>
              </w:rPr>
            </w:pPr>
            <w:r>
              <w:rPr>
                <w:rFonts w:hint="eastAsia"/>
                <w:b/>
                <w:szCs w:val="21"/>
              </w:rPr>
              <w:t>表</w:t>
            </w:r>
            <w:r>
              <w:rPr>
                <w:b/>
                <w:szCs w:val="21"/>
              </w:rPr>
              <w:t>4-1</w:t>
            </w:r>
            <w:r>
              <w:rPr>
                <w:rFonts w:hint="eastAsia"/>
                <w:b/>
                <w:szCs w:val="21"/>
              </w:rPr>
              <w:t>2</w:t>
            </w:r>
            <w:r>
              <w:rPr>
                <w:b/>
                <w:szCs w:val="21"/>
              </w:rPr>
              <w:t xml:space="preserve">  </w:t>
            </w:r>
            <w:r>
              <w:rPr>
                <w:rFonts w:hint="eastAsia"/>
                <w:b/>
                <w:szCs w:val="21"/>
              </w:rPr>
              <w:t>环保措施及投资估算一览表</w:t>
            </w:r>
          </w:p>
          <w:tbl>
            <w:tblPr>
              <w:tblStyle w:val="31"/>
              <w:tblW w:w="495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0" w:type="dxa"/>
                <w:bottom w:w="0" w:type="dxa"/>
                <w:right w:w="0" w:type="dxa"/>
              </w:tblCellMar>
            </w:tblPr>
            <w:tblGrid>
              <w:gridCol w:w="416"/>
              <w:gridCol w:w="1215"/>
              <w:gridCol w:w="5207"/>
              <w:gridCol w:w="1416"/>
            </w:tblGrid>
            <w:tr w14:paraId="224CB9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52" w:type="pct"/>
                  <w:vAlign w:val="center"/>
                </w:tcPr>
                <w:p w14:paraId="633F859E">
                  <w:pPr>
                    <w:adjustRightInd w:val="0"/>
                    <w:snapToGrid w:val="0"/>
                    <w:jc w:val="center"/>
                    <w:rPr>
                      <w:bCs/>
                      <w:szCs w:val="21"/>
                    </w:rPr>
                  </w:pPr>
                  <w:r>
                    <w:rPr>
                      <w:rFonts w:hint="eastAsia"/>
                      <w:bCs/>
                      <w:szCs w:val="21"/>
                    </w:rPr>
                    <w:t>序号</w:t>
                  </w:r>
                </w:p>
              </w:tc>
              <w:tc>
                <w:tcPr>
                  <w:tcW w:w="736" w:type="pct"/>
                  <w:vAlign w:val="center"/>
                </w:tcPr>
                <w:p w14:paraId="16F5E98C">
                  <w:pPr>
                    <w:adjustRightInd w:val="0"/>
                    <w:snapToGrid w:val="0"/>
                    <w:jc w:val="center"/>
                    <w:rPr>
                      <w:bCs/>
                      <w:szCs w:val="21"/>
                    </w:rPr>
                  </w:pPr>
                  <w:r>
                    <w:rPr>
                      <w:rFonts w:hint="eastAsia"/>
                      <w:bCs/>
                      <w:szCs w:val="21"/>
                    </w:rPr>
                    <w:t>项目名称</w:t>
                  </w:r>
                </w:p>
              </w:tc>
              <w:tc>
                <w:tcPr>
                  <w:tcW w:w="3154" w:type="pct"/>
                  <w:vAlign w:val="center"/>
                </w:tcPr>
                <w:p w14:paraId="730D6FF4">
                  <w:pPr>
                    <w:adjustRightInd w:val="0"/>
                    <w:snapToGrid w:val="0"/>
                    <w:jc w:val="center"/>
                    <w:rPr>
                      <w:bCs/>
                      <w:szCs w:val="21"/>
                    </w:rPr>
                  </w:pPr>
                  <w:r>
                    <w:rPr>
                      <w:rFonts w:hint="eastAsia"/>
                      <w:bCs/>
                      <w:szCs w:val="21"/>
                    </w:rPr>
                    <w:t>内容</w:t>
                  </w:r>
                </w:p>
              </w:tc>
              <w:tc>
                <w:tcPr>
                  <w:tcW w:w="858" w:type="pct"/>
                  <w:vAlign w:val="center"/>
                </w:tcPr>
                <w:p w14:paraId="658CEA82">
                  <w:pPr>
                    <w:adjustRightInd w:val="0"/>
                    <w:snapToGrid w:val="0"/>
                    <w:jc w:val="center"/>
                    <w:rPr>
                      <w:bCs/>
                      <w:szCs w:val="21"/>
                    </w:rPr>
                  </w:pPr>
                  <w:r>
                    <w:rPr>
                      <w:rFonts w:hint="eastAsia"/>
                      <w:bCs/>
                      <w:szCs w:val="21"/>
                    </w:rPr>
                    <w:t>投资</w:t>
                  </w:r>
                </w:p>
                <w:p w14:paraId="6A0D7BA1">
                  <w:pPr>
                    <w:adjustRightInd w:val="0"/>
                    <w:snapToGrid w:val="0"/>
                    <w:jc w:val="center"/>
                    <w:rPr>
                      <w:bCs/>
                      <w:szCs w:val="21"/>
                    </w:rPr>
                  </w:pPr>
                  <w:r>
                    <w:rPr>
                      <w:rFonts w:hint="eastAsia"/>
                      <w:bCs/>
                      <w:szCs w:val="21"/>
                    </w:rPr>
                    <w:t>（万元）</w:t>
                  </w:r>
                </w:p>
              </w:tc>
            </w:tr>
            <w:tr w14:paraId="4541A4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52" w:type="pct"/>
                  <w:vAlign w:val="center"/>
                </w:tcPr>
                <w:p w14:paraId="747E50DD">
                  <w:pPr>
                    <w:adjustRightInd w:val="0"/>
                    <w:snapToGrid w:val="0"/>
                    <w:jc w:val="center"/>
                    <w:rPr>
                      <w:bCs/>
                      <w:szCs w:val="21"/>
                    </w:rPr>
                  </w:pPr>
                  <w:r>
                    <w:rPr>
                      <w:bCs/>
                      <w:szCs w:val="21"/>
                    </w:rPr>
                    <w:t>1</w:t>
                  </w:r>
                </w:p>
              </w:tc>
              <w:tc>
                <w:tcPr>
                  <w:tcW w:w="736" w:type="pct"/>
                  <w:vMerge w:val="restart"/>
                  <w:vAlign w:val="center"/>
                </w:tcPr>
                <w:p w14:paraId="2CF119E2">
                  <w:pPr>
                    <w:adjustRightInd w:val="0"/>
                    <w:snapToGrid w:val="0"/>
                    <w:jc w:val="center"/>
                    <w:rPr>
                      <w:bCs/>
                      <w:szCs w:val="21"/>
                    </w:rPr>
                  </w:pPr>
                  <w:r>
                    <w:rPr>
                      <w:rFonts w:hint="eastAsia"/>
                      <w:bCs/>
                      <w:szCs w:val="21"/>
                    </w:rPr>
                    <w:t>废气治理</w:t>
                  </w:r>
                </w:p>
              </w:tc>
              <w:tc>
                <w:tcPr>
                  <w:tcW w:w="3154" w:type="pct"/>
                  <w:vAlign w:val="center"/>
                </w:tcPr>
                <w:p w14:paraId="387AC6A6">
                  <w:pPr>
                    <w:adjustRightInd w:val="0"/>
                    <w:snapToGrid w:val="0"/>
                    <w:jc w:val="center"/>
                    <w:rPr>
                      <w:bCs/>
                      <w:szCs w:val="21"/>
                    </w:rPr>
                  </w:pPr>
                  <w:r>
                    <w:rPr>
                      <w:rFonts w:hint="eastAsia"/>
                      <w:bCs/>
                      <w:szCs w:val="21"/>
                    </w:rPr>
                    <w:t>锅炉采用炉内SNCR+3套SCR+</w:t>
                  </w:r>
                  <w:r>
                    <w:rPr>
                      <w:bCs/>
                      <w:szCs w:val="21"/>
                    </w:rPr>
                    <w:t>3</w:t>
                  </w:r>
                  <w:r>
                    <w:rPr>
                      <w:rFonts w:hint="eastAsia"/>
                      <w:bCs/>
                      <w:szCs w:val="21"/>
                    </w:rPr>
                    <w:t>套旋风除尘+袋式除尘+</w:t>
                  </w:r>
                  <w:r>
                    <w:rPr>
                      <w:bCs/>
                      <w:szCs w:val="21"/>
                    </w:rPr>
                    <w:t>1</w:t>
                  </w:r>
                  <w:r>
                    <w:rPr>
                      <w:rFonts w:hint="eastAsia"/>
                      <w:bCs/>
                      <w:szCs w:val="21"/>
                    </w:rPr>
                    <w:t>套氧化镁湿法脱硫处理，烟气由1根45m高排气筒（DA001）排放</w:t>
                  </w:r>
                </w:p>
              </w:tc>
              <w:tc>
                <w:tcPr>
                  <w:tcW w:w="858" w:type="pct"/>
                  <w:vAlign w:val="center"/>
                </w:tcPr>
                <w:p w14:paraId="59239616">
                  <w:pPr>
                    <w:adjustRightInd w:val="0"/>
                    <w:snapToGrid w:val="0"/>
                    <w:jc w:val="center"/>
                    <w:rPr>
                      <w:bCs/>
                      <w:szCs w:val="21"/>
                    </w:rPr>
                  </w:pPr>
                  <w:r>
                    <w:rPr>
                      <w:rFonts w:hint="eastAsia"/>
                      <w:bCs/>
                      <w:szCs w:val="21"/>
                    </w:rPr>
                    <w:t>400</w:t>
                  </w:r>
                </w:p>
              </w:tc>
            </w:tr>
            <w:tr w14:paraId="550F16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52" w:type="pct"/>
                  <w:vAlign w:val="center"/>
                </w:tcPr>
                <w:p w14:paraId="02483347">
                  <w:pPr>
                    <w:adjustRightInd w:val="0"/>
                    <w:snapToGrid w:val="0"/>
                    <w:jc w:val="center"/>
                    <w:rPr>
                      <w:bCs/>
                      <w:szCs w:val="21"/>
                    </w:rPr>
                  </w:pPr>
                  <w:r>
                    <w:rPr>
                      <w:rFonts w:hint="eastAsia"/>
                      <w:bCs/>
                      <w:szCs w:val="21"/>
                    </w:rPr>
                    <w:t>2</w:t>
                  </w:r>
                </w:p>
              </w:tc>
              <w:tc>
                <w:tcPr>
                  <w:tcW w:w="736" w:type="pct"/>
                  <w:vMerge w:val="continue"/>
                  <w:vAlign w:val="center"/>
                </w:tcPr>
                <w:p w14:paraId="26E3EB75">
                  <w:pPr>
                    <w:adjustRightInd w:val="0"/>
                    <w:snapToGrid w:val="0"/>
                    <w:jc w:val="center"/>
                    <w:rPr>
                      <w:bCs/>
                      <w:szCs w:val="21"/>
                    </w:rPr>
                  </w:pPr>
                </w:p>
              </w:tc>
              <w:tc>
                <w:tcPr>
                  <w:tcW w:w="3154" w:type="pct"/>
                  <w:vAlign w:val="center"/>
                </w:tcPr>
                <w:p w14:paraId="10CCB7FC">
                  <w:pPr>
                    <w:adjustRightInd w:val="0"/>
                    <w:snapToGrid w:val="0"/>
                    <w:jc w:val="center"/>
                    <w:rPr>
                      <w:bCs/>
                      <w:szCs w:val="21"/>
                    </w:rPr>
                  </w:pPr>
                  <w:r>
                    <w:rPr>
                      <w:rFonts w:hint="eastAsia"/>
                      <w:bCs/>
                      <w:szCs w:val="21"/>
                    </w:rPr>
                    <w:t>煤仓、渣仓全封闭</w:t>
                  </w:r>
                </w:p>
              </w:tc>
              <w:tc>
                <w:tcPr>
                  <w:tcW w:w="858" w:type="pct"/>
                  <w:vAlign w:val="center"/>
                </w:tcPr>
                <w:p w14:paraId="18BAE5D0">
                  <w:pPr>
                    <w:adjustRightInd w:val="0"/>
                    <w:snapToGrid w:val="0"/>
                    <w:jc w:val="center"/>
                    <w:rPr>
                      <w:bCs/>
                      <w:szCs w:val="21"/>
                    </w:rPr>
                  </w:pPr>
                  <w:r>
                    <w:rPr>
                      <w:rFonts w:hint="eastAsia"/>
                      <w:bCs/>
                      <w:szCs w:val="21"/>
                    </w:rPr>
                    <w:t>20</w:t>
                  </w:r>
                </w:p>
              </w:tc>
            </w:tr>
            <w:tr w14:paraId="21A131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52" w:type="pct"/>
                  <w:vAlign w:val="center"/>
                </w:tcPr>
                <w:p w14:paraId="3EEF9568">
                  <w:pPr>
                    <w:adjustRightInd w:val="0"/>
                    <w:snapToGrid w:val="0"/>
                    <w:jc w:val="center"/>
                    <w:rPr>
                      <w:bCs/>
                      <w:szCs w:val="21"/>
                    </w:rPr>
                  </w:pPr>
                  <w:r>
                    <w:rPr>
                      <w:rFonts w:hint="eastAsia"/>
                      <w:bCs/>
                      <w:szCs w:val="21"/>
                    </w:rPr>
                    <w:t>3</w:t>
                  </w:r>
                </w:p>
              </w:tc>
              <w:tc>
                <w:tcPr>
                  <w:tcW w:w="736" w:type="pct"/>
                  <w:vAlign w:val="center"/>
                </w:tcPr>
                <w:p w14:paraId="084394AC">
                  <w:pPr>
                    <w:adjustRightInd w:val="0"/>
                    <w:snapToGrid w:val="0"/>
                    <w:jc w:val="center"/>
                    <w:rPr>
                      <w:bCs/>
                      <w:szCs w:val="21"/>
                    </w:rPr>
                  </w:pPr>
                  <w:r>
                    <w:rPr>
                      <w:rFonts w:hint="eastAsia"/>
                      <w:bCs/>
                      <w:szCs w:val="21"/>
                    </w:rPr>
                    <w:t>废水治理</w:t>
                  </w:r>
                </w:p>
              </w:tc>
              <w:tc>
                <w:tcPr>
                  <w:tcW w:w="3154" w:type="pct"/>
                  <w:vAlign w:val="center"/>
                </w:tcPr>
                <w:p w14:paraId="23AB2E74">
                  <w:pPr>
                    <w:adjustRightInd w:val="0"/>
                    <w:snapToGrid w:val="0"/>
                    <w:jc w:val="center"/>
                    <w:rPr>
                      <w:bCs/>
                      <w:szCs w:val="21"/>
                    </w:rPr>
                  </w:pPr>
                  <w:r>
                    <w:rPr>
                      <w:rFonts w:hint="eastAsia"/>
                      <w:bCs/>
                      <w:szCs w:val="21"/>
                    </w:rPr>
                    <w:t>软水制备排污水、锅炉排污水排入脱硫系统用做补充水</w:t>
                  </w:r>
                </w:p>
              </w:tc>
              <w:tc>
                <w:tcPr>
                  <w:tcW w:w="858" w:type="pct"/>
                  <w:vAlign w:val="center"/>
                </w:tcPr>
                <w:p w14:paraId="7921D2CE">
                  <w:pPr>
                    <w:adjustRightInd w:val="0"/>
                    <w:snapToGrid w:val="0"/>
                    <w:jc w:val="center"/>
                    <w:rPr>
                      <w:bCs/>
                      <w:szCs w:val="21"/>
                    </w:rPr>
                  </w:pPr>
                  <w:r>
                    <w:rPr>
                      <w:rFonts w:hint="eastAsia"/>
                      <w:bCs/>
                      <w:szCs w:val="21"/>
                    </w:rPr>
                    <w:t>/</w:t>
                  </w:r>
                </w:p>
              </w:tc>
            </w:tr>
            <w:tr w14:paraId="5BB008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52" w:type="pct"/>
                  <w:vAlign w:val="center"/>
                </w:tcPr>
                <w:p w14:paraId="3FFAC795">
                  <w:pPr>
                    <w:adjustRightInd w:val="0"/>
                    <w:snapToGrid w:val="0"/>
                    <w:jc w:val="center"/>
                    <w:rPr>
                      <w:bCs/>
                      <w:szCs w:val="21"/>
                    </w:rPr>
                  </w:pPr>
                  <w:r>
                    <w:rPr>
                      <w:rFonts w:hint="eastAsia"/>
                      <w:bCs/>
                      <w:szCs w:val="21"/>
                    </w:rPr>
                    <w:t>4</w:t>
                  </w:r>
                </w:p>
              </w:tc>
              <w:tc>
                <w:tcPr>
                  <w:tcW w:w="736" w:type="pct"/>
                  <w:vAlign w:val="center"/>
                </w:tcPr>
                <w:p w14:paraId="12C778E5">
                  <w:pPr>
                    <w:adjustRightInd w:val="0"/>
                    <w:snapToGrid w:val="0"/>
                    <w:jc w:val="center"/>
                    <w:rPr>
                      <w:bCs/>
                      <w:szCs w:val="21"/>
                    </w:rPr>
                  </w:pPr>
                  <w:r>
                    <w:rPr>
                      <w:rFonts w:hint="eastAsia"/>
                      <w:bCs/>
                      <w:szCs w:val="21"/>
                    </w:rPr>
                    <w:t>噪声治理</w:t>
                  </w:r>
                </w:p>
              </w:tc>
              <w:tc>
                <w:tcPr>
                  <w:tcW w:w="3154" w:type="pct"/>
                  <w:vAlign w:val="center"/>
                </w:tcPr>
                <w:p w14:paraId="0975B3E6">
                  <w:pPr>
                    <w:adjustRightInd w:val="0"/>
                    <w:snapToGrid w:val="0"/>
                    <w:jc w:val="center"/>
                    <w:rPr>
                      <w:bCs/>
                      <w:szCs w:val="21"/>
                    </w:rPr>
                  </w:pPr>
                  <w:r>
                    <w:rPr>
                      <w:rFonts w:hint="eastAsia"/>
                      <w:bCs/>
                      <w:szCs w:val="21"/>
                    </w:rPr>
                    <w:t>生产设备设置减振垫、隔声</w:t>
                  </w:r>
                </w:p>
              </w:tc>
              <w:tc>
                <w:tcPr>
                  <w:tcW w:w="858" w:type="pct"/>
                  <w:vAlign w:val="center"/>
                </w:tcPr>
                <w:p w14:paraId="038335B5">
                  <w:pPr>
                    <w:adjustRightInd w:val="0"/>
                    <w:snapToGrid w:val="0"/>
                    <w:jc w:val="center"/>
                    <w:rPr>
                      <w:bCs/>
                      <w:szCs w:val="21"/>
                    </w:rPr>
                  </w:pPr>
                  <w:r>
                    <w:rPr>
                      <w:rFonts w:hint="eastAsia"/>
                      <w:bCs/>
                      <w:szCs w:val="21"/>
                    </w:rPr>
                    <w:t>5</w:t>
                  </w:r>
                </w:p>
              </w:tc>
            </w:tr>
            <w:tr w14:paraId="096A32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77" w:hRule="atLeast"/>
                <w:jc w:val="center"/>
              </w:trPr>
              <w:tc>
                <w:tcPr>
                  <w:tcW w:w="252" w:type="pct"/>
                  <w:vAlign w:val="center"/>
                </w:tcPr>
                <w:p w14:paraId="0B3901CD">
                  <w:pPr>
                    <w:adjustRightInd w:val="0"/>
                    <w:snapToGrid w:val="0"/>
                    <w:jc w:val="center"/>
                    <w:rPr>
                      <w:bCs/>
                      <w:szCs w:val="21"/>
                    </w:rPr>
                  </w:pPr>
                  <w:r>
                    <w:rPr>
                      <w:rFonts w:hint="eastAsia"/>
                      <w:bCs/>
                      <w:szCs w:val="21"/>
                    </w:rPr>
                    <w:t>5</w:t>
                  </w:r>
                </w:p>
              </w:tc>
              <w:tc>
                <w:tcPr>
                  <w:tcW w:w="736" w:type="pct"/>
                  <w:vAlign w:val="center"/>
                </w:tcPr>
                <w:p w14:paraId="2506CFB2">
                  <w:pPr>
                    <w:adjustRightInd w:val="0"/>
                    <w:snapToGrid w:val="0"/>
                    <w:jc w:val="center"/>
                    <w:rPr>
                      <w:bCs/>
                      <w:szCs w:val="21"/>
                    </w:rPr>
                  </w:pPr>
                  <w:r>
                    <w:rPr>
                      <w:rFonts w:hint="eastAsia"/>
                      <w:bCs/>
                      <w:szCs w:val="21"/>
                    </w:rPr>
                    <w:t>地下水、土壤污染防治</w:t>
                  </w:r>
                </w:p>
              </w:tc>
              <w:tc>
                <w:tcPr>
                  <w:tcW w:w="3154" w:type="pct"/>
                  <w:vAlign w:val="center"/>
                </w:tcPr>
                <w:p w14:paraId="115A9850">
                  <w:pPr>
                    <w:adjustRightInd w:val="0"/>
                    <w:snapToGrid w:val="0"/>
                    <w:jc w:val="center"/>
                    <w:rPr>
                      <w:bCs/>
                      <w:szCs w:val="21"/>
                    </w:rPr>
                  </w:pPr>
                  <w:r>
                    <w:rPr>
                      <w:rFonts w:hint="eastAsia"/>
                      <w:bCs/>
                      <w:szCs w:val="21"/>
                    </w:rPr>
                    <w:t>脱硫车间进行一般防渗，其防控要求为等效粘土防渗层 Mb≥1.5m，K≤1</w:t>
                  </w:r>
                  <w:r>
                    <w:rPr>
                      <w:bCs/>
                      <w:szCs w:val="21"/>
                    </w:rPr>
                    <w:t>×</w:t>
                  </w:r>
                  <w:r>
                    <w:rPr>
                      <w:rFonts w:hint="eastAsia"/>
                      <w:bCs/>
                      <w:szCs w:val="21"/>
                    </w:rPr>
                    <w:t>10</w:t>
                  </w:r>
                  <w:r>
                    <w:rPr>
                      <w:rFonts w:hint="eastAsia"/>
                      <w:bCs/>
                      <w:szCs w:val="21"/>
                      <w:vertAlign w:val="superscript"/>
                    </w:rPr>
                    <w:t>-7</w:t>
                  </w:r>
                  <w:r>
                    <w:rPr>
                      <w:rFonts w:hint="eastAsia"/>
                      <w:bCs/>
                      <w:szCs w:val="21"/>
                    </w:rPr>
                    <w:t>cm/s（或参照 GB16889 执行），锅炉房</w:t>
                  </w:r>
                  <w:r>
                    <w:rPr>
                      <w:bCs/>
                      <w:szCs w:val="21"/>
                    </w:rPr>
                    <w:t>地面</w:t>
                  </w:r>
                  <w:r>
                    <w:rPr>
                      <w:rFonts w:hint="eastAsia"/>
                      <w:bCs/>
                      <w:szCs w:val="21"/>
                    </w:rPr>
                    <w:t>、炉前煤仓、室外渣仓等</w:t>
                  </w:r>
                  <w:r>
                    <w:rPr>
                      <w:bCs/>
                      <w:szCs w:val="21"/>
                    </w:rPr>
                    <w:t>为</w:t>
                  </w:r>
                  <w:r>
                    <w:rPr>
                      <w:rFonts w:hint="eastAsia"/>
                      <w:bCs/>
                      <w:szCs w:val="21"/>
                    </w:rPr>
                    <w:t>简单</w:t>
                  </w:r>
                  <w:r>
                    <w:rPr>
                      <w:bCs/>
                      <w:szCs w:val="21"/>
                    </w:rPr>
                    <w:t>防渗区，</w:t>
                  </w:r>
                  <w:r>
                    <w:rPr>
                      <w:rFonts w:hint="eastAsia"/>
                      <w:bCs/>
                      <w:szCs w:val="21"/>
                    </w:rPr>
                    <w:t>进行简单地面硬化；</w:t>
                  </w:r>
                  <w:r>
                    <w:rPr>
                      <w:bCs/>
                      <w:szCs w:val="21"/>
                    </w:rPr>
                    <w:t>危废贮存库</w:t>
                  </w:r>
                  <w:r>
                    <w:rPr>
                      <w:rFonts w:hint="eastAsia"/>
                      <w:bCs/>
                      <w:szCs w:val="21"/>
                    </w:rPr>
                    <w:t>采用重点防渗，按照《危险废物贮存污染控制标准》（GB18597-2023）中要求，</w:t>
                  </w:r>
                  <w:r>
                    <w:rPr>
                      <w:bCs/>
                      <w:szCs w:val="21"/>
                    </w:rPr>
                    <w:t>防渗层为至少1m厚黏土层（渗透系数不大于10</w:t>
                  </w:r>
                  <w:r>
                    <w:rPr>
                      <w:bCs/>
                      <w:szCs w:val="21"/>
                      <w:vertAlign w:val="superscript"/>
                    </w:rPr>
                    <w:t>-7</w:t>
                  </w:r>
                  <w:r>
                    <w:rPr>
                      <w:bCs/>
                      <w:szCs w:val="21"/>
                    </w:rPr>
                    <w:t>cm/s），或至少2mm厚高密度聚乙烯膜等人工防渗材料（渗透系数不大于10</w:t>
                  </w:r>
                  <w:r>
                    <w:rPr>
                      <w:bCs/>
                      <w:szCs w:val="21"/>
                      <w:vertAlign w:val="superscript"/>
                    </w:rPr>
                    <w:t>-10</w:t>
                  </w:r>
                  <w:r>
                    <w:rPr>
                      <w:bCs/>
                      <w:szCs w:val="21"/>
                    </w:rPr>
                    <w:t>cm/s），或其他防渗性能等效的材料</w:t>
                  </w:r>
                </w:p>
              </w:tc>
              <w:tc>
                <w:tcPr>
                  <w:tcW w:w="858" w:type="pct"/>
                  <w:vAlign w:val="center"/>
                </w:tcPr>
                <w:p w14:paraId="5B91F4D3">
                  <w:pPr>
                    <w:adjustRightInd w:val="0"/>
                    <w:snapToGrid w:val="0"/>
                    <w:jc w:val="center"/>
                    <w:rPr>
                      <w:bCs/>
                      <w:szCs w:val="21"/>
                    </w:rPr>
                  </w:pPr>
                  <w:r>
                    <w:rPr>
                      <w:rFonts w:hint="eastAsia"/>
                      <w:bCs/>
                      <w:szCs w:val="21"/>
                    </w:rPr>
                    <w:t>30</w:t>
                  </w:r>
                </w:p>
              </w:tc>
            </w:tr>
            <w:tr w14:paraId="438471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988" w:type="pct"/>
                  <w:gridSpan w:val="2"/>
                  <w:vAlign w:val="center"/>
                </w:tcPr>
                <w:p w14:paraId="4A23D94B">
                  <w:pPr>
                    <w:adjustRightInd w:val="0"/>
                    <w:snapToGrid w:val="0"/>
                    <w:jc w:val="center"/>
                    <w:rPr>
                      <w:bCs/>
                      <w:szCs w:val="21"/>
                    </w:rPr>
                  </w:pPr>
                  <w:r>
                    <w:rPr>
                      <w:rFonts w:hint="eastAsia"/>
                      <w:bCs/>
                      <w:szCs w:val="21"/>
                    </w:rPr>
                    <w:t>合计</w:t>
                  </w:r>
                </w:p>
              </w:tc>
              <w:tc>
                <w:tcPr>
                  <w:tcW w:w="3154" w:type="pct"/>
                  <w:vAlign w:val="center"/>
                </w:tcPr>
                <w:p w14:paraId="5C53F78C">
                  <w:pPr>
                    <w:adjustRightInd w:val="0"/>
                    <w:snapToGrid w:val="0"/>
                    <w:jc w:val="center"/>
                    <w:rPr>
                      <w:bCs/>
                      <w:szCs w:val="21"/>
                    </w:rPr>
                  </w:pPr>
                  <w:r>
                    <w:rPr>
                      <w:bCs/>
                      <w:szCs w:val="21"/>
                    </w:rPr>
                    <w:t>/</w:t>
                  </w:r>
                </w:p>
              </w:tc>
              <w:tc>
                <w:tcPr>
                  <w:tcW w:w="858" w:type="pct"/>
                  <w:vAlign w:val="center"/>
                </w:tcPr>
                <w:p w14:paraId="1C4CA5E1">
                  <w:pPr>
                    <w:adjustRightInd w:val="0"/>
                    <w:snapToGrid w:val="0"/>
                    <w:jc w:val="center"/>
                    <w:rPr>
                      <w:bCs/>
                      <w:szCs w:val="21"/>
                    </w:rPr>
                  </w:pPr>
                  <w:r>
                    <w:rPr>
                      <w:rFonts w:hint="eastAsia"/>
                      <w:bCs/>
                      <w:szCs w:val="21"/>
                    </w:rPr>
                    <w:t>455</w:t>
                  </w:r>
                </w:p>
              </w:tc>
            </w:tr>
          </w:tbl>
          <w:p w14:paraId="4AFFF70E">
            <w:pPr>
              <w:adjustRightInd w:val="0"/>
              <w:snapToGrid w:val="0"/>
              <w:spacing w:line="360" w:lineRule="auto"/>
              <w:ind w:firstLine="482" w:firstLineChars="200"/>
              <w:rPr>
                <w:b/>
                <w:sz w:val="24"/>
              </w:rPr>
            </w:pPr>
          </w:p>
        </w:tc>
      </w:tr>
    </w:tbl>
    <w:p w14:paraId="4A7FAA0F">
      <w:pPr>
        <w:adjustRightInd w:val="0"/>
        <w:snapToGrid w:val="0"/>
        <w:spacing w:line="360" w:lineRule="auto"/>
        <w:rPr>
          <w:rFonts w:ascii="宋体" w:cs="宋体"/>
          <w:b/>
          <w:kern w:val="0"/>
          <w:sz w:val="28"/>
          <w:szCs w:val="28"/>
        </w:rPr>
        <w:sectPr>
          <w:pgSz w:w="11907" w:h="16840"/>
          <w:pgMar w:top="1701" w:right="1531" w:bottom="2127" w:left="1531" w:header="851" w:footer="851" w:gutter="0"/>
          <w:cols w:space="720" w:num="1"/>
          <w:docGrid w:linePitch="312" w:charSpace="0"/>
        </w:sectPr>
      </w:pPr>
    </w:p>
    <w:p w14:paraId="1EABCE07">
      <w:pPr>
        <w:pStyle w:val="27"/>
        <w:jc w:val="center"/>
        <w:outlineLvl w:val="0"/>
        <w:rPr>
          <w:rFonts w:hint="eastAsia" w:ascii="黑体" w:hAnsi="黑体" w:eastAsia="黑体"/>
          <w:snapToGrid w:val="0"/>
          <w:sz w:val="30"/>
          <w:szCs w:val="30"/>
        </w:rPr>
      </w:pPr>
      <w:bookmarkStart w:id="36" w:name="_Toc173761974"/>
      <w:bookmarkStart w:id="37" w:name="_Toc172642153"/>
      <w:r>
        <w:rPr>
          <w:rFonts w:hint="eastAsia" w:ascii="黑体" w:hAnsi="黑体" w:eastAsia="黑体"/>
          <w:snapToGrid w:val="0"/>
          <w:sz w:val="30"/>
          <w:szCs w:val="30"/>
        </w:rPr>
        <w:t>五、</w:t>
      </w:r>
      <w:bookmarkStart w:id="38" w:name="_Hlk54167917"/>
      <w:r>
        <w:rPr>
          <w:rFonts w:hint="eastAsia" w:ascii="黑体" w:hAnsi="黑体" w:eastAsia="黑体"/>
          <w:snapToGrid w:val="0"/>
          <w:sz w:val="30"/>
          <w:szCs w:val="30"/>
        </w:rPr>
        <w:t>环境保护措施监督检查清单</w:t>
      </w:r>
      <w:bookmarkEnd w:id="36"/>
      <w:bookmarkEnd w:id="37"/>
      <w:bookmarkEnd w:id="38"/>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45"/>
        <w:gridCol w:w="1417"/>
        <w:gridCol w:w="1701"/>
        <w:gridCol w:w="2126"/>
        <w:gridCol w:w="2011"/>
      </w:tblGrid>
      <w:tr w14:paraId="13A53B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tcBorders>
              <w:top w:val="single" w:color="auto" w:sz="12" w:space="0"/>
              <w:left w:val="single" w:color="auto" w:sz="12" w:space="0"/>
              <w:bottom w:val="single" w:color="auto" w:sz="4" w:space="0"/>
              <w:tl2br w:val="single" w:color="auto" w:sz="4" w:space="0"/>
            </w:tcBorders>
          </w:tcPr>
          <w:p w14:paraId="400BAE72">
            <w:pPr>
              <w:adjustRightInd w:val="0"/>
              <w:snapToGrid w:val="0"/>
              <w:ind w:left="-105" w:leftChars="-50" w:right="-105" w:rightChars="-50"/>
              <w:jc w:val="right"/>
              <w:rPr>
                <w:rFonts w:hint="eastAsia" w:ascii="宋体" w:hAnsi="宋体" w:cs="宋体"/>
                <w:sz w:val="24"/>
              </w:rPr>
            </w:pPr>
            <w:r>
              <w:rPr>
                <w:rFonts w:hint="eastAsia" w:ascii="宋体" w:hAnsi="宋体" w:cs="宋体"/>
                <w:sz w:val="24"/>
              </w:rPr>
              <w:t>内容</w:t>
            </w:r>
          </w:p>
          <w:p w14:paraId="1B302555">
            <w:pPr>
              <w:adjustRightInd w:val="0"/>
              <w:snapToGrid w:val="0"/>
              <w:ind w:left="-105" w:leftChars="-50" w:right="-105" w:rightChars="-50"/>
              <w:rPr>
                <w:rFonts w:hint="eastAsia" w:ascii="宋体" w:hAnsi="宋体" w:cs="宋体"/>
                <w:sz w:val="24"/>
              </w:rPr>
            </w:pPr>
          </w:p>
          <w:p w14:paraId="2114E028">
            <w:pPr>
              <w:adjustRightInd w:val="0"/>
              <w:snapToGrid w:val="0"/>
              <w:ind w:left="-105" w:leftChars="-50" w:right="-105" w:rightChars="-50"/>
              <w:rPr>
                <w:rFonts w:hint="eastAsia" w:ascii="宋体" w:hAnsi="宋体" w:cs="宋体"/>
                <w:sz w:val="24"/>
              </w:rPr>
            </w:pPr>
            <w:r>
              <w:rPr>
                <w:rFonts w:hint="eastAsia" w:ascii="宋体" w:hAnsi="宋体" w:cs="宋体"/>
                <w:sz w:val="24"/>
              </w:rPr>
              <w:t>要素</w:t>
            </w:r>
          </w:p>
        </w:tc>
        <w:tc>
          <w:tcPr>
            <w:tcW w:w="1417" w:type="dxa"/>
            <w:tcBorders>
              <w:top w:val="single" w:color="auto" w:sz="12" w:space="0"/>
              <w:bottom w:val="single" w:color="auto" w:sz="4" w:space="0"/>
            </w:tcBorders>
            <w:vAlign w:val="center"/>
          </w:tcPr>
          <w:p w14:paraId="38E833CD">
            <w:pPr>
              <w:adjustRightInd w:val="0"/>
              <w:snapToGrid w:val="0"/>
              <w:ind w:left="-105" w:leftChars="-50" w:right="-105" w:rightChars="-50"/>
              <w:jc w:val="center"/>
              <w:rPr>
                <w:rFonts w:hint="eastAsia" w:ascii="宋体" w:hAnsi="宋体" w:cs="宋体"/>
                <w:sz w:val="24"/>
              </w:rPr>
            </w:pPr>
            <w:r>
              <w:rPr>
                <w:rFonts w:hint="eastAsia" w:ascii="宋体" w:hAnsi="宋体" w:cs="宋体"/>
                <w:sz w:val="24"/>
              </w:rPr>
              <w:t>排放口(编号、名称)/污染源</w:t>
            </w:r>
          </w:p>
        </w:tc>
        <w:tc>
          <w:tcPr>
            <w:tcW w:w="1701" w:type="dxa"/>
            <w:tcBorders>
              <w:top w:val="single" w:color="auto" w:sz="12" w:space="0"/>
              <w:bottom w:val="single" w:color="auto" w:sz="4" w:space="0"/>
            </w:tcBorders>
            <w:vAlign w:val="center"/>
          </w:tcPr>
          <w:p w14:paraId="3F180E13">
            <w:pPr>
              <w:adjustRightInd w:val="0"/>
              <w:snapToGrid w:val="0"/>
              <w:ind w:left="-105" w:leftChars="-50" w:right="-105" w:rightChars="-50"/>
              <w:jc w:val="center"/>
              <w:rPr>
                <w:rFonts w:hint="eastAsia" w:ascii="宋体" w:hAnsi="宋体" w:cs="宋体"/>
                <w:sz w:val="24"/>
              </w:rPr>
            </w:pPr>
            <w:r>
              <w:rPr>
                <w:rFonts w:hint="eastAsia" w:ascii="宋体" w:hAnsi="宋体" w:cs="宋体"/>
                <w:sz w:val="24"/>
              </w:rPr>
              <w:t>污染物项目</w:t>
            </w:r>
          </w:p>
        </w:tc>
        <w:tc>
          <w:tcPr>
            <w:tcW w:w="2126" w:type="dxa"/>
            <w:tcBorders>
              <w:top w:val="single" w:color="auto" w:sz="12" w:space="0"/>
              <w:bottom w:val="single" w:color="auto" w:sz="4" w:space="0"/>
            </w:tcBorders>
            <w:vAlign w:val="center"/>
          </w:tcPr>
          <w:p w14:paraId="18E0B723">
            <w:pPr>
              <w:adjustRightInd w:val="0"/>
              <w:snapToGrid w:val="0"/>
              <w:ind w:left="-105" w:leftChars="-50" w:right="-105" w:rightChars="-50"/>
              <w:jc w:val="center"/>
              <w:rPr>
                <w:rFonts w:hint="eastAsia" w:ascii="宋体" w:hAnsi="宋体" w:cs="宋体"/>
                <w:sz w:val="24"/>
              </w:rPr>
            </w:pPr>
            <w:r>
              <w:rPr>
                <w:rFonts w:hint="eastAsia" w:ascii="宋体" w:hAnsi="宋体" w:cs="宋体"/>
                <w:sz w:val="24"/>
              </w:rPr>
              <w:t>环境保护措施</w:t>
            </w:r>
          </w:p>
        </w:tc>
        <w:tc>
          <w:tcPr>
            <w:tcW w:w="2011" w:type="dxa"/>
            <w:tcBorders>
              <w:top w:val="single" w:color="auto" w:sz="12" w:space="0"/>
              <w:bottom w:val="single" w:color="auto" w:sz="4" w:space="0"/>
              <w:right w:val="single" w:color="auto" w:sz="12" w:space="0"/>
            </w:tcBorders>
            <w:vAlign w:val="center"/>
          </w:tcPr>
          <w:p w14:paraId="7FDE7115">
            <w:pPr>
              <w:adjustRightInd w:val="0"/>
              <w:snapToGrid w:val="0"/>
              <w:ind w:left="-105" w:leftChars="-50" w:right="-105" w:rightChars="-50"/>
              <w:jc w:val="center"/>
              <w:rPr>
                <w:rFonts w:hint="eastAsia" w:ascii="宋体" w:hAnsi="宋体" w:cs="宋体"/>
                <w:sz w:val="24"/>
              </w:rPr>
            </w:pPr>
            <w:r>
              <w:rPr>
                <w:rFonts w:hint="eastAsia" w:ascii="宋体" w:hAnsi="宋体" w:cs="宋体"/>
                <w:sz w:val="24"/>
              </w:rPr>
              <w:t>执行标准</w:t>
            </w:r>
          </w:p>
        </w:tc>
      </w:tr>
      <w:tr w14:paraId="3C5CE7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15" w:hRule="atLeast"/>
          <w:jc w:val="center"/>
        </w:trPr>
        <w:tc>
          <w:tcPr>
            <w:tcW w:w="1545" w:type="dxa"/>
            <w:vMerge w:val="restart"/>
            <w:tcBorders>
              <w:top w:val="single" w:color="auto" w:sz="4" w:space="0"/>
              <w:left w:val="single" w:color="auto" w:sz="12" w:space="0"/>
              <w:tl2br w:val="nil"/>
            </w:tcBorders>
            <w:vAlign w:val="center"/>
          </w:tcPr>
          <w:p w14:paraId="44F1F7D0">
            <w:pPr>
              <w:adjustRightInd w:val="0"/>
              <w:snapToGrid w:val="0"/>
              <w:ind w:left="-105" w:leftChars="-50" w:right="-105" w:rightChars="-50"/>
              <w:jc w:val="center"/>
              <w:rPr>
                <w:rFonts w:hint="eastAsia" w:ascii="宋体" w:hAnsi="宋体" w:cs="宋体"/>
                <w:sz w:val="24"/>
              </w:rPr>
            </w:pPr>
            <w:r>
              <w:rPr>
                <w:rFonts w:hint="eastAsia" w:ascii="宋体" w:hAnsi="宋体" w:cs="宋体"/>
                <w:sz w:val="24"/>
              </w:rPr>
              <w:t>大气环境</w:t>
            </w:r>
          </w:p>
        </w:tc>
        <w:tc>
          <w:tcPr>
            <w:tcW w:w="1417" w:type="dxa"/>
            <w:tcBorders>
              <w:top w:val="single" w:color="auto" w:sz="4" w:space="0"/>
              <w:bottom w:val="single" w:color="auto" w:sz="4" w:space="0"/>
            </w:tcBorders>
            <w:vAlign w:val="center"/>
          </w:tcPr>
          <w:p w14:paraId="11BCAFD8">
            <w:pPr>
              <w:adjustRightInd w:val="0"/>
              <w:snapToGrid w:val="0"/>
              <w:ind w:left="-105" w:leftChars="-50" w:right="-105" w:rightChars="-50"/>
              <w:jc w:val="center"/>
              <w:rPr>
                <w:rFonts w:hint="eastAsia" w:ascii="宋体" w:hAnsi="宋体" w:cs="宋体"/>
                <w:sz w:val="24"/>
              </w:rPr>
            </w:pPr>
            <w:r>
              <w:rPr>
                <w:rFonts w:hint="eastAsia"/>
                <w:sz w:val="24"/>
              </w:rPr>
              <w:t>锅炉烟气</w:t>
            </w:r>
          </w:p>
        </w:tc>
        <w:tc>
          <w:tcPr>
            <w:tcW w:w="1701" w:type="dxa"/>
            <w:tcBorders>
              <w:top w:val="single" w:color="auto" w:sz="4" w:space="0"/>
            </w:tcBorders>
            <w:vAlign w:val="center"/>
          </w:tcPr>
          <w:p w14:paraId="0EB2BDAD">
            <w:pPr>
              <w:adjustRightInd w:val="0"/>
              <w:snapToGrid w:val="0"/>
              <w:ind w:left="-105" w:leftChars="-50" w:right="-105" w:rightChars="-50"/>
              <w:jc w:val="center"/>
              <w:rPr>
                <w:rFonts w:hint="eastAsia" w:ascii="宋体" w:hAnsi="宋体" w:cs="宋体"/>
                <w:sz w:val="24"/>
              </w:rPr>
            </w:pPr>
            <w:r>
              <w:rPr>
                <w:rFonts w:hint="eastAsia"/>
                <w:sz w:val="24"/>
              </w:rPr>
              <w:t>二氧化硫、氮氧化物、颗粒物、汞及其化合物、烟气黑度、氨逃逸</w:t>
            </w:r>
          </w:p>
        </w:tc>
        <w:tc>
          <w:tcPr>
            <w:tcW w:w="2126" w:type="dxa"/>
            <w:tcBorders>
              <w:top w:val="single" w:color="auto" w:sz="4" w:space="0"/>
            </w:tcBorders>
            <w:vAlign w:val="center"/>
          </w:tcPr>
          <w:p w14:paraId="7A233EE8">
            <w:pPr>
              <w:adjustRightInd w:val="0"/>
              <w:snapToGrid w:val="0"/>
              <w:ind w:left="-105" w:leftChars="-50" w:right="-105" w:rightChars="-50"/>
              <w:jc w:val="center"/>
              <w:rPr>
                <w:rFonts w:cs="宋体"/>
                <w:sz w:val="24"/>
              </w:rPr>
            </w:pPr>
            <w:r>
              <w:rPr>
                <w:rFonts w:hint="eastAsia"/>
                <w:bCs/>
                <w:sz w:val="24"/>
              </w:rPr>
              <w:t>采用炉内SNCR+3套SCR+3套旋风除尘+袋式除尘+</w:t>
            </w:r>
            <w:r>
              <w:rPr>
                <w:bCs/>
                <w:sz w:val="24"/>
              </w:rPr>
              <w:t>1</w:t>
            </w:r>
            <w:r>
              <w:rPr>
                <w:rFonts w:hint="eastAsia"/>
                <w:bCs/>
                <w:sz w:val="24"/>
              </w:rPr>
              <w:t>套氧化镁湿法脱硫处理，烟气由1根45m高排气筒（DA001）排放</w:t>
            </w:r>
          </w:p>
        </w:tc>
        <w:tc>
          <w:tcPr>
            <w:tcW w:w="2011" w:type="dxa"/>
            <w:tcBorders>
              <w:top w:val="single" w:color="auto" w:sz="4" w:space="0"/>
              <w:right w:val="single" w:color="auto" w:sz="12" w:space="0"/>
            </w:tcBorders>
            <w:vAlign w:val="center"/>
          </w:tcPr>
          <w:p w14:paraId="353138CD">
            <w:pPr>
              <w:adjustRightInd w:val="0"/>
              <w:snapToGrid w:val="0"/>
              <w:ind w:left="-105" w:leftChars="-50" w:right="-105" w:rightChars="-50"/>
              <w:jc w:val="center"/>
              <w:rPr>
                <w:rFonts w:cs="宋体"/>
                <w:sz w:val="24"/>
              </w:rPr>
            </w:pPr>
            <w:r>
              <w:rPr>
                <w:rFonts w:hint="eastAsia" w:cs="宋体"/>
                <w:sz w:val="24"/>
              </w:rPr>
              <w:t>《锅炉大气污染物排放标准》（GB13271-2014）表2中燃煤锅炉标准、氨逃逸执行《火电厂烟气脱硝工程技术规范 选择性催化还原法》（HJ563-2010）</w:t>
            </w:r>
          </w:p>
        </w:tc>
      </w:tr>
      <w:tr w14:paraId="4F9BC3C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1" w:hRule="atLeast"/>
          <w:jc w:val="center"/>
        </w:trPr>
        <w:tc>
          <w:tcPr>
            <w:tcW w:w="1545" w:type="dxa"/>
            <w:vMerge w:val="continue"/>
            <w:tcBorders>
              <w:left w:val="single" w:color="auto" w:sz="12" w:space="0"/>
              <w:tl2br w:val="nil"/>
            </w:tcBorders>
            <w:vAlign w:val="center"/>
          </w:tcPr>
          <w:p w14:paraId="5322D5E8">
            <w:pPr>
              <w:adjustRightInd w:val="0"/>
              <w:snapToGrid w:val="0"/>
              <w:ind w:left="-105" w:leftChars="-50" w:right="-105" w:rightChars="-50"/>
              <w:jc w:val="center"/>
              <w:rPr>
                <w:rFonts w:hint="eastAsia" w:ascii="宋体" w:hAnsi="宋体" w:cs="宋体"/>
                <w:sz w:val="24"/>
              </w:rPr>
            </w:pPr>
          </w:p>
        </w:tc>
        <w:tc>
          <w:tcPr>
            <w:tcW w:w="1417" w:type="dxa"/>
            <w:tcBorders>
              <w:top w:val="single" w:color="auto" w:sz="4" w:space="0"/>
              <w:bottom w:val="single" w:color="auto" w:sz="4" w:space="0"/>
            </w:tcBorders>
            <w:vAlign w:val="center"/>
          </w:tcPr>
          <w:p w14:paraId="7A750A0E">
            <w:pPr>
              <w:adjustRightInd w:val="0"/>
              <w:snapToGrid w:val="0"/>
              <w:ind w:left="-105" w:leftChars="-50" w:right="-105" w:rightChars="-50"/>
              <w:jc w:val="center"/>
              <w:rPr>
                <w:sz w:val="24"/>
              </w:rPr>
            </w:pPr>
            <w:r>
              <w:rPr>
                <w:rFonts w:hint="eastAsia"/>
                <w:sz w:val="24"/>
              </w:rPr>
              <w:t>煤仓、渣仓无组织废气</w:t>
            </w:r>
          </w:p>
        </w:tc>
        <w:tc>
          <w:tcPr>
            <w:tcW w:w="1701" w:type="dxa"/>
            <w:vAlign w:val="center"/>
          </w:tcPr>
          <w:p w14:paraId="770FC70D">
            <w:pPr>
              <w:adjustRightInd w:val="0"/>
              <w:snapToGrid w:val="0"/>
              <w:ind w:left="-105" w:leftChars="-50" w:right="-105" w:rightChars="-50"/>
              <w:jc w:val="center"/>
              <w:rPr>
                <w:sz w:val="24"/>
              </w:rPr>
            </w:pPr>
            <w:r>
              <w:rPr>
                <w:rFonts w:hint="eastAsia"/>
                <w:sz w:val="24"/>
              </w:rPr>
              <w:t>颗粒物</w:t>
            </w:r>
          </w:p>
        </w:tc>
        <w:tc>
          <w:tcPr>
            <w:tcW w:w="2126" w:type="dxa"/>
            <w:vAlign w:val="center"/>
          </w:tcPr>
          <w:p w14:paraId="33542340">
            <w:pPr>
              <w:adjustRightInd w:val="0"/>
              <w:snapToGrid w:val="0"/>
              <w:ind w:left="-105" w:leftChars="-50" w:right="-105" w:rightChars="-50"/>
              <w:jc w:val="center"/>
              <w:rPr>
                <w:sz w:val="24"/>
              </w:rPr>
            </w:pPr>
            <w:r>
              <w:rPr>
                <w:rFonts w:hint="eastAsia"/>
                <w:sz w:val="24"/>
              </w:rPr>
              <w:t>煤仓、渣仓全封闭</w:t>
            </w:r>
          </w:p>
        </w:tc>
        <w:tc>
          <w:tcPr>
            <w:tcW w:w="2011" w:type="dxa"/>
            <w:tcBorders>
              <w:right w:val="single" w:color="auto" w:sz="12" w:space="0"/>
            </w:tcBorders>
            <w:vAlign w:val="center"/>
          </w:tcPr>
          <w:p w14:paraId="3DD92CE3">
            <w:pPr>
              <w:adjustRightInd w:val="0"/>
              <w:snapToGrid w:val="0"/>
              <w:ind w:left="-105" w:leftChars="-50" w:right="-105" w:rightChars="-50"/>
              <w:jc w:val="center"/>
              <w:rPr>
                <w:bCs/>
                <w:sz w:val="24"/>
              </w:rPr>
            </w:pPr>
            <w:r>
              <w:rPr>
                <w:rFonts w:hint="eastAsia"/>
                <w:bCs/>
                <w:sz w:val="24"/>
              </w:rPr>
              <w:t>《煤炭工业污染物排放标准》（GB20426-2006）表5煤炭工业无组织排放限值</w:t>
            </w:r>
          </w:p>
        </w:tc>
      </w:tr>
      <w:tr w14:paraId="6E8ACB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1545" w:type="dxa"/>
            <w:vMerge w:val="restart"/>
            <w:tcBorders>
              <w:top w:val="single" w:color="auto" w:sz="4" w:space="0"/>
              <w:left w:val="single" w:color="auto" w:sz="12" w:space="0"/>
            </w:tcBorders>
            <w:vAlign w:val="center"/>
          </w:tcPr>
          <w:p w14:paraId="25B17AF0">
            <w:pPr>
              <w:adjustRightInd w:val="0"/>
              <w:snapToGrid w:val="0"/>
              <w:ind w:left="-105" w:leftChars="-50" w:right="-105" w:rightChars="-50"/>
              <w:jc w:val="center"/>
              <w:rPr>
                <w:rFonts w:hint="eastAsia" w:ascii="宋体" w:hAnsi="宋体" w:cs="宋体"/>
                <w:sz w:val="24"/>
              </w:rPr>
            </w:pPr>
            <w:r>
              <w:rPr>
                <w:rFonts w:hint="eastAsia" w:ascii="宋体" w:hAnsi="宋体" w:cs="宋体"/>
                <w:sz w:val="24"/>
              </w:rPr>
              <w:t>地表水环境</w:t>
            </w:r>
          </w:p>
        </w:tc>
        <w:tc>
          <w:tcPr>
            <w:tcW w:w="1417" w:type="dxa"/>
            <w:tcBorders>
              <w:top w:val="single" w:color="auto" w:sz="4" w:space="0"/>
            </w:tcBorders>
            <w:vAlign w:val="center"/>
          </w:tcPr>
          <w:p w14:paraId="24C60907">
            <w:pPr>
              <w:adjustRightInd w:val="0"/>
              <w:snapToGrid w:val="0"/>
              <w:ind w:left="-105" w:leftChars="-50" w:right="-105" w:rightChars="-50"/>
              <w:jc w:val="center"/>
              <w:rPr>
                <w:rFonts w:hint="eastAsia" w:ascii="宋体" w:hAnsi="宋体" w:cs="宋体"/>
                <w:sz w:val="24"/>
              </w:rPr>
            </w:pPr>
            <w:r>
              <w:rPr>
                <w:rFonts w:hint="eastAsia"/>
                <w:sz w:val="24"/>
              </w:rPr>
              <w:t>软水制备排污水</w:t>
            </w:r>
          </w:p>
        </w:tc>
        <w:tc>
          <w:tcPr>
            <w:tcW w:w="1701" w:type="dxa"/>
            <w:tcBorders>
              <w:top w:val="single" w:color="auto" w:sz="4" w:space="0"/>
            </w:tcBorders>
            <w:vAlign w:val="center"/>
          </w:tcPr>
          <w:p w14:paraId="5C552217">
            <w:pPr>
              <w:adjustRightInd w:val="0"/>
              <w:snapToGrid w:val="0"/>
              <w:ind w:left="-105" w:leftChars="-50" w:right="-105" w:rightChars="-50"/>
              <w:jc w:val="center"/>
              <w:rPr>
                <w:rFonts w:hint="eastAsia" w:ascii="宋体" w:hAnsi="宋体" w:cs="宋体"/>
                <w:sz w:val="24"/>
              </w:rPr>
            </w:pPr>
            <w:r>
              <w:rPr>
                <w:bCs/>
                <w:sz w:val="24"/>
              </w:rPr>
              <w:t>TDS</w:t>
            </w:r>
          </w:p>
        </w:tc>
        <w:tc>
          <w:tcPr>
            <w:tcW w:w="2126" w:type="dxa"/>
            <w:vMerge w:val="restart"/>
            <w:tcBorders>
              <w:top w:val="single" w:color="auto" w:sz="4" w:space="0"/>
            </w:tcBorders>
            <w:vAlign w:val="center"/>
          </w:tcPr>
          <w:p w14:paraId="4909B04F">
            <w:pPr>
              <w:adjustRightInd w:val="0"/>
              <w:snapToGrid w:val="0"/>
              <w:ind w:left="-105" w:leftChars="-50" w:right="-105" w:rightChars="-50"/>
              <w:jc w:val="center"/>
              <w:rPr>
                <w:rFonts w:hint="eastAsia" w:ascii="宋体" w:hAnsi="宋体" w:cs="宋体"/>
                <w:sz w:val="24"/>
              </w:rPr>
            </w:pPr>
            <w:r>
              <w:rPr>
                <w:rFonts w:hint="eastAsia"/>
                <w:bCs/>
                <w:sz w:val="24"/>
              </w:rPr>
              <w:t>用于脱硫系统补充水，不外排</w:t>
            </w:r>
          </w:p>
        </w:tc>
        <w:tc>
          <w:tcPr>
            <w:tcW w:w="2011" w:type="dxa"/>
            <w:tcBorders>
              <w:top w:val="single" w:color="auto" w:sz="4" w:space="0"/>
              <w:right w:val="single" w:color="auto" w:sz="12" w:space="0"/>
            </w:tcBorders>
            <w:vAlign w:val="center"/>
          </w:tcPr>
          <w:p w14:paraId="13BDAC61">
            <w:pPr>
              <w:adjustRightInd w:val="0"/>
              <w:snapToGrid w:val="0"/>
              <w:ind w:left="-105" w:leftChars="-50" w:right="-105" w:rightChars="-50"/>
              <w:jc w:val="center"/>
              <w:rPr>
                <w:rFonts w:hint="eastAsia" w:ascii="宋体" w:hAnsi="宋体" w:cs="宋体"/>
                <w:sz w:val="24"/>
              </w:rPr>
            </w:pPr>
            <w:r>
              <w:rPr>
                <w:rFonts w:hint="eastAsia"/>
                <w:bCs/>
                <w:sz w:val="24"/>
              </w:rPr>
              <w:t>不外排</w:t>
            </w:r>
          </w:p>
        </w:tc>
      </w:tr>
      <w:tr w14:paraId="36567F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1545" w:type="dxa"/>
            <w:vMerge w:val="continue"/>
            <w:tcBorders>
              <w:left w:val="single" w:color="auto" w:sz="12" w:space="0"/>
            </w:tcBorders>
            <w:vAlign w:val="center"/>
          </w:tcPr>
          <w:p w14:paraId="5DA8D5F3">
            <w:pPr>
              <w:adjustRightInd w:val="0"/>
              <w:snapToGrid w:val="0"/>
              <w:ind w:left="-105" w:leftChars="-50" w:right="-105" w:rightChars="-50"/>
              <w:jc w:val="center"/>
              <w:rPr>
                <w:rFonts w:hint="eastAsia" w:ascii="宋体" w:hAnsi="宋体" w:cs="宋体"/>
                <w:sz w:val="24"/>
              </w:rPr>
            </w:pPr>
          </w:p>
        </w:tc>
        <w:tc>
          <w:tcPr>
            <w:tcW w:w="1417" w:type="dxa"/>
            <w:tcBorders>
              <w:top w:val="single" w:color="auto" w:sz="4" w:space="0"/>
            </w:tcBorders>
            <w:vAlign w:val="center"/>
          </w:tcPr>
          <w:p w14:paraId="3124AE69">
            <w:pPr>
              <w:adjustRightInd w:val="0"/>
              <w:snapToGrid w:val="0"/>
              <w:ind w:left="-105" w:leftChars="-50" w:right="-105" w:rightChars="-50"/>
              <w:jc w:val="center"/>
              <w:rPr>
                <w:sz w:val="24"/>
              </w:rPr>
            </w:pPr>
            <w:r>
              <w:rPr>
                <w:rFonts w:hint="eastAsia"/>
                <w:sz w:val="24"/>
              </w:rPr>
              <w:t>锅炉排污水</w:t>
            </w:r>
          </w:p>
        </w:tc>
        <w:tc>
          <w:tcPr>
            <w:tcW w:w="1701" w:type="dxa"/>
            <w:tcBorders>
              <w:top w:val="single" w:color="auto" w:sz="4" w:space="0"/>
            </w:tcBorders>
            <w:vAlign w:val="center"/>
          </w:tcPr>
          <w:p w14:paraId="6743B188">
            <w:pPr>
              <w:adjustRightInd w:val="0"/>
              <w:snapToGrid w:val="0"/>
              <w:ind w:left="-105" w:leftChars="-50" w:right="-105" w:rightChars="-50"/>
              <w:jc w:val="center"/>
              <w:rPr>
                <w:bCs/>
                <w:sz w:val="24"/>
              </w:rPr>
            </w:pPr>
            <w:r>
              <w:rPr>
                <w:bCs/>
                <w:sz w:val="24"/>
              </w:rPr>
              <w:t>TDS</w:t>
            </w:r>
          </w:p>
        </w:tc>
        <w:tc>
          <w:tcPr>
            <w:tcW w:w="2126" w:type="dxa"/>
            <w:vMerge w:val="continue"/>
            <w:vAlign w:val="center"/>
          </w:tcPr>
          <w:p w14:paraId="2AFEA1DF">
            <w:pPr>
              <w:adjustRightInd w:val="0"/>
              <w:snapToGrid w:val="0"/>
              <w:ind w:left="-105" w:leftChars="-50" w:right="-105" w:rightChars="-50"/>
              <w:jc w:val="center"/>
              <w:rPr>
                <w:bCs/>
                <w:sz w:val="24"/>
              </w:rPr>
            </w:pPr>
          </w:p>
        </w:tc>
        <w:tc>
          <w:tcPr>
            <w:tcW w:w="2011" w:type="dxa"/>
            <w:tcBorders>
              <w:top w:val="single" w:color="auto" w:sz="4" w:space="0"/>
              <w:right w:val="single" w:color="auto" w:sz="12" w:space="0"/>
            </w:tcBorders>
            <w:vAlign w:val="center"/>
          </w:tcPr>
          <w:p w14:paraId="0594BE55">
            <w:pPr>
              <w:adjustRightInd w:val="0"/>
              <w:snapToGrid w:val="0"/>
              <w:ind w:left="-105" w:leftChars="-50" w:right="-105" w:rightChars="-50"/>
              <w:jc w:val="center"/>
              <w:rPr>
                <w:bCs/>
                <w:sz w:val="24"/>
              </w:rPr>
            </w:pPr>
            <w:r>
              <w:rPr>
                <w:rFonts w:hint="eastAsia"/>
                <w:bCs/>
                <w:sz w:val="24"/>
              </w:rPr>
              <w:t>不外排</w:t>
            </w:r>
          </w:p>
        </w:tc>
      </w:tr>
      <w:tr w14:paraId="121D3B4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tcBorders>
              <w:top w:val="single" w:color="auto" w:sz="4" w:space="0"/>
              <w:left w:val="single" w:color="auto" w:sz="12" w:space="0"/>
              <w:bottom w:val="single" w:color="auto" w:sz="4" w:space="0"/>
            </w:tcBorders>
            <w:vAlign w:val="center"/>
          </w:tcPr>
          <w:p w14:paraId="45E46E07">
            <w:pPr>
              <w:adjustRightInd w:val="0"/>
              <w:snapToGrid w:val="0"/>
              <w:ind w:left="-105" w:leftChars="-50" w:right="-105" w:rightChars="-50"/>
              <w:jc w:val="center"/>
              <w:rPr>
                <w:rFonts w:hint="eastAsia" w:ascii="宋体" w:hAnsi="宋体" w:cs="宋体"/>
                <w:sz w:val="24"/>
              </w:rPr>
            </w:pPr>
            <w:r>
              <w:rPr>
                <w:rFonts w:hint="eastAsia" w:ascii="宋体" w:hAnsi="宋体" w:cs="宋体"/>
                <w:sz w:val="24"/>
              </w:rPr>
              <w:t>声环境</w:t>
            </w:r>
          </w:p>
        </w:tc>
        <w:tc>
          <w:tcPr>
            <w:tcW w:w="1417" w:type="dxa"/>
            <w:tcBorders>
              <w:top w:val="single" w:color="auto" w:sz="4" w:space="0"/>
              <w:bottom w:val="single" w:color="auto" w:sz="4" w:space="0"/>
            </w:tcBorders>
            <w:vAlign w:val="center"/>
          </w:tcPr>
          <w:p w14:paraId="675DE1C6">
            <w:pPr>
              <w:adjustRightInd w:val="0"/>
              <w:snapToGrid w:val="0"/>
              <w:ind w:left="-105" w:leftChars="-50" w:right="-105" w:rightChars="-50"/>
              <w:jc w:val="center"/>
              <w:rPr>
                <w:rFonts w:hint="eastAsia" w:ascii="宋体" w:hAnsi="宋体" w:cs="宋体"/>
                <w:sz w:val="24"/>
              </w:rPr>
            </w:pPr>
            <w:r>
              <w:rPr>
                <w:rFonts w:hint="eastAsia" w:ascii="宋体" w:hAnsi="宋体" w:cs="宋体"/>
                <w:sz w:val="24"/>
              </w:rPr>
              <w:t>设备噪声</w:t>
            </w:r>
          </w:p>
        </w:tc>
        <w:tc>
          <w:tcPr>
            <w:tcW w:w="1701" w:type="dxa"/>
            <w:tcBorders>
              <w:top w:val="single" w:color="auto" w:sz="4" w:space="0"/>
              <w:bottom w:val="single" w:color="auto" w:sz="4" w:space="0"/>
            </w:tcBorders>
            <w:vAlign w:val="center"/>
          </w:tcPr>
          <w:p w14:paraId="17AB63F7">
            <w:pPr>
              <w:adjustRightInd w:val="0"/>
              <w:snapToGrid w:val="0"/>
              <w:ind w:left="-105" w:leftChars="-50" w:right="-105" w:rightChars="-50"/>
              <w:jc w:val="center"/>
              <w:rPr>
                <w:rFonts w:hint="eastAsia" w:ascii="宋体" w:hAnsi="宋体" w:cs="宋体"/>
                <w:sz w:val="24"/>
              </w:rPr>
            </w:pPr>
            <w:r>
              <w:rPr>
                <w:rFonts w:hint="eastAsia" w:ascii="宋体" w:hAnsi="宋体" w:cs="宋体"/>
                <w:sz w:val="24"/>
              </w:rPr>
              <w:t>噪声</w:t>
            </w:r>
          </w:p>
        </w:tc>
        <w:tc>
          <w:tcPr>
            <w:tcW w:w="2126" w:type="dxa"/>
            <w:tcBorders>
              <w:top w:val="single" w:color="auto" w:sz="4" w:space="0"/>
              <w:bottom w:val="single" w:color="auto" w:sz="4" w:space="0"/>
            </w:tcBorders>
            <w:vAlign w:val="center"/>
          </w:tcPr>
          <w:p w14:paraId="2526B7F3">
            <w:pPr>
              <w:adjustRightInd w:val="0"/>
              <w:snapToGrid w:val="0"/>
              <w:ind w:left="-105" w:leftChars="-50" w:right="-105" w:rightChars="-50"/>
              <w:jc w:val="center"/>
              <w:rPr>
                <w:rFonts w:hint="eastAsia" w:ascii="宋体" w:hAnsi="宋体" w:cs="宋体"/>
                <w:sz w:val="24"/>
              </w:rPr>
            </w:pPr>
            <w:r>
              <w:rPr>
                <w:bCs/>
                <w:sz w:val="24"/>
              </w:rPr>
              <w:t>高噪声设备采取厂房隔声、</w:t>
            </w:r>
            <w:r>
              <w:rPr>
                <w:rFonts w:hint="eastAsia"/>
                <w:bCs/>
                <w:sz w:val="24"/>
              </w:rPr>
              <w:t>减振</w:t>
            </w:r>
            <w:r>
              <w:rPr>
                <w:bCs/>
                <w:sz w:val="24"/>
              </w:rPr>
              <w:t>等措施</w:t>
            </w:r>
          </w:p>
        </w:tc>
        <w:tc>
          <w:tcPr>
            <w:tcW w:w="2011" w:type="dxa"/>
            <w:tcBorders>
              <w:top w:val="single" w:color="auto" w:sz="4" w:space="0"/>
              <w:bottom w:val="single" w:color="auto" w:sz="4" w:space="0"/>
              <w:right w:val="single" w:color="auto" w:sz="12" w:space="0"/>
            </w:tcBorders>
            <w:vAlign w:val="center"/>
          </w:tcPr>
          <w:p w14:paraId="596BA81D">
            <w:pPr>
              <w:adjustRightInd w:val="0"/>
              <w:snapToGrid w:val="0"/>
              <w:ind w:left="-105" w:leftChars="-50" w:right="-105" w:rightChars="-50"/>
              <w:jc w:val="center"/>
              <w:rPr>
                <w:rFonts w:hint="eastAsia" w:ascii="宋体" w:hAnsi="宋体" w:cs="宋体"/>
                <w:sz w:val="24"/>
              </w:rPr>
            </w:pPr>
            <w:r>
              <w:rPr>
                <w:rFonts w:hint="eastAsia"/>
                <w:bCs/>
                <w:sz w:val="24"/>
              </w:rPr>
              <w:t>《工业企业厂界环境噪声排放标准》（G</w:t>
            </w:r>
            <w:r>
              <w:rPr>
                <w:bCs/>
                <w:sz w:val="24"/>
              </w:rPr>
              <w:t xml:space="preserve">B </w:t>
            </w:r>
            <w:r>
              <w:rPr>
                <w:rFonts w:hint="eastAsia"/>
                <w:bCs/>
                <w:sz w:val="24"/>
              </w:rPr>
              <w:t>12348-2008）2类标准</w:t>
            </w:r>
          </w:p>
        </w:tc>
      </w:tr>
      <w:tr w14:paraId="4B0E21E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tcBorders>
              <w:top w:val="single" w:color="auto" w:sz="4" w:space="0"/>
              <w:left w:val="single" w:color="auto" w:sz="12" w:space="0"/>
              <w:bottom w:val="single" w:color="auto" w:sz="4" w:space="0"/>
            </w:tcBorders>
            <w:vAlign w:val="center"/>
          </w:tcPr>
          <w:p w14:paraId="0677C500">
            <w:pPr>
              <w:adjustRightInd w:val="0"/>
              <w:snapToGrid w:val="0"/>
              <w:ind w:left="-105" w:leftChars="-50" w:right="-105" w:rightChars="-50"/>
              <w:jc w:val="center"/>
              <w:rPr>
                <w:rFonts w:hint="eastAsia" w:ascii="宋体" w:hAnsi="宋体" w:cs="宋体"/>
                <w:sz w:val="24"/>
              </w:rPr>
            </w:pPr>
            <w:r>
              <w:rPr>
                <w:rFonts w:hint="eastAsia" w:ascii="宋体" w:hAnsi="宋体" w:cs="宋体"/>
                <w:sz w:val="24"/>
              </w:rPr>
              <w:t>电磁辐射</w:t>
            </w:r>
          </w:p>
        </w:tc>
        <w:tc>
          <w:tcPr>
            <w:tcW w:w="7255" w:type="dxa"/>
            <w:gridSpan w:val="4"/>
            <w:tcBorders>
              <w:top w:val="single" w:color="auto" w:sz="4" w:space="0"/>
              <w:bottom w:val="single" w:color="auto" w:sz="4" w:space="0"/>
              <w:right w:val="single" w:color="auto" w:sz="12" w:space="0"/>
            </w:tcBorders>
            <w:vAlign w:val="center"/>
          </w:tcPr>
          <w:p w14:paraId="3BCD38F0">
            <w:pPr>
              <w:adjustRightInd w:val="0"/>
              <w:snapToGrid w:val="0"/>
              <w:ind w:left="-105" w:leftChars="-50" w:right="-105" w:rightChars="-50"/>
              <w:jc w:val="center"/>
              <w:rPr>
                <w:rFonts w:hint="eastAsia" w:ascii="宋体" w:hAnsi="宋体" w:cs="宋体"/>
                <w:sz w:val="24"/>
              </w:rPr>
            </w:pPr>
            <w:r>
              <w:rPr>
                <w:rFonts w:hint="eastAsia" w:ascii="宋体" w:hAnsi="宋体" w:cs="宋体"/>
                <w:sz w:val="24"/>
              </w:rPr>
              <w:t>/</w:t>
            </w:r>
          </w:p>
        </w:tc>
      </w:tr>
      <w:tr w14:paraId="48F4BDA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tcBorders>
              <w:top w:val="single" w:color="auto" w:sz="4" w:space="0"/>
              <w:left w:val="single" w:color="auto" w:sz="12" w:space="0"/>
              <w:bottom w:val="single" w:color="auto" w:sz="4" w:space="0"/>
            </w:tcBorders>
            <w:vAlign w:val="center"/>
          </w:tcPr>
          <w:p w14:paraId="7837AF7F">
            <w:pPr>
              <w:adjustRightInd w:val="0"/>
              <w:snapToGrid w:val="0"/>
              <w:ind w:left="-105" w:leftChars="-50" w:right="-105" w:rightChars="-50"/>
              <w:jc w:val="center"/>
              <w:rPr>
                <w:rFonts w:hint="eastAsia" w:ascii="宋体" w:hAnsi="宋体" w:cs="宋体"/>
                <w:sz w:val="24"/>
              </w:rPr>
            </w:pPr>
            <w:r>
              <w:rPr>
                <w:rFonts w:hint="eastAsia" w:ascii="宋体" w:hAnsi="宋体" w:cs="宋体"/>
                <w:sz w:val="24"/>
              </w:rPr>
              <w:t>固体废物</w:t>
            </w:r>
          </w:p>
        </w:tc>
        <w:tc>
          <w:tcPr>
            <w:tcW w:w="7255" w:type="dxa"/>
            <w:gridSpan w:val="4"/>
            <w:tcBorders>
              <w:top w:val="single" w:color="auto" w:sz="4" w:space="0"/>
              <w:bottom w:val="single" w:color="auto" w:sz="4" w:space="0"/>
              <w:right w:val="single" w:color="auto" w:sz="12" w:space="0"/>
            </w:tcBorders>
            <w:vAlign w:val="center"/>
          </w:tcPr>
          <w:p w14:paraId="0B54A2C3">
            <w:pPr>
              <w:adjustRightInd w:val="0"/>
              <w:snapToGrid w:val="0"/>
              <w:ind w:left="-105" w:leftChars="-50" w:right="-105" w:rightChars="-50"/>
              <w:rPr>
                <w:rFonts w:hint="eastAsia" w:ascii="宋体" w:hAnsi="宋体" w:cs="宋体"/>
                <w:sz w:val="24"/>
              </w:rPr>
            </w:pPr>
            <w:r>
              <w:rPr>
                <w:rFonts w:hint="eastAsia"/>
                <w:bCs/>
                <w:sz w:val="24"/>
              </w:rPr>
              <w:t>本项目无新增劳动定员，因此无生活垃圾产生。废离子交换树脂定期更换时由厂家回收处理，锅炉灰渣立足于当地铺路或建材厂综合利用，脱硫副产物外售建材厂综合利用，废催化剂暂存于危废贮存库后委托有资质单位处理。</w:t>
            </w:r>
            <w:r>
              <w:rPr>
                <w:bCs/>
                <w:sz w:val="24"/>
              </w:rPr>
              <w:t>一般固体废物执行《一般工业固体废物贮存和填埋污染控制标准》（GB 18599-2020），</w:t>
            </w:r>
            <w:r>
              <w:rPr>
                <w:rFonts w:hint="eastAsia"/>
                <w:bCs/>
                <w:sz w:val="24"/>
              </w:rPr>
              <w:t>危险废物贮存执行</w:t>
            </w:r>
            <w:r>
              <w:rPr>
                <w:bCs/>
                <w:sz w:val="24"/>
              </w:rPr>
              <w:t>《危险废物贮存污染控制标准》（GB18597-20</w:t>
            </w:r>
            <w:r>
              <w:rPr>
                <w:rFonts w:hint="eastAsia"/>
                <w:bCs/>
                <w:sz w:val="24"/>
              </w:rPr>
              <w:t>23</w:t>
            </w:r>
            <w:r>
              <w:rPr>
                <w:bCs/>
                <w:sz w:val="24"/>
              </w:rPr>
              <w:t>）。</w:t>
            </w:r>
          </w:p>
        </w:tc>
      </w:tr>
      <w:tr w14:paraId="40130B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tcBorders>
              <w:top w:val="single" w:color="auto" w:sz="4" w:space="0"/>
              <w:left w:val="single" w:color="auto" w:sz="12" w:space="0"/>
              <w:bottom w:val="single" w:color="auto" w:sz="4" w:space="0"/>
            </w:tcBorders>
            <w:vAlign w:val="center"/>
          </w:tcPr>
          <w:p w14:paraId="701B7219">
            <w:pPr>
              <w:adjustRightInd w:val="0"/>
              <w:snapToGrid w:val="0"/>
              <w:ind w:left="-105" w:leftChars="-50" w:right="-105" w:rightChars="-50"/>
              <w:jc w:val="center"/>
              <w:rPr>
                <w:rFonts w:hint="eastAsia" w:ascii="宋体" w:hAnsi="宋体" w:cs="宋体"/>
                <w:sz w:val="24"/>
              </w:rPr>
            </w:pPr>
            <w:r>
              <w:rPr>
                <w:rFonts w:hint="eastAsia" w:ascii="宋体" w:hAnsi="宋体" w:cs="宋体"/>
                <w:sz w:val="24"/>
              </w:rPr>
              <w:t>土壤及地下水污染防治措施</w:t>
            </w:r>
          </w:p>
        </w:tc>
        <w:tc>
          <w:tcPr>
            <w:tcW w:w="7255" w:type="dxa"/>
            <w:gridSpan w:val="4"/>
            <w:tcBorders>
              <w:top w:val="single" w:color="auto" w:sz="4" w:space="0"/>
              <w:bottom w:val="single" w:color="auto" w:sz="4" w:space="0"/>
              <w:right w:val="single" w:color="auto" w:sz="12" w:space="0"/>
            </w:tcBorders>
            <w:vAlign w:val="center"/>
          </w:tcPr>
          <w:p w14:paraId="67F51427">
            <w:pPr>
              <w:adjustRightInd w:val="0"/>
              <w:snapToGrid w:val="0"/>
              <w:ind w:left="-105" w:leftChars="-50" w:right="-105" w:rightChars="-50"/>
              <w:rPr>
                <w:bCs/>
                <w:sz w:val="24"/>
              </w:rPr>
            </w:pPr>
            <w:r>
              <w:rPr>
                <w:rFonts w:hint="eastAsia"/>
                <w:bCs/>
                <w:sz w:val="24"/>
              </w:rPr>
              <w:t>脱硫车间进行一般防渗，其防控要求为等效粘土防渗层 Mb≥1.5m，K≤1</w:t>
            </w:r>
            <w:r>
              <w:rPr>
                <w:bCs/>
                <w:sz w:val="24"/>
              </w:rPr>
              <w:t>×</w:t>
            </w:r>
            <w:r>
              <w:rPr>
                <w:rFonts w:hint="eastAsia"/>
                <w:bCs/>
                <w:sz w:val="24"/>
              </w:rPr>
              <w:t>10</w:t>
            </w:r>
            <w:r>
              <w:rPr>
                <w:rFonts w:hint="eastAsia"/>
                <w:bCs/>
                <w:sz w:val="24"/>
                <w:vertAlign w:val="superscript"/>
              </w:rPr>
              <w:t>-7</w:t>
            </w:r>
            <w:r>
              <w:rPr>
                <w:rFonts w:hint="eastAsia"/>
                <w:bCs/>
                <w:sz w:val="24"/>
              </w:rPr>
              <w:t>cm/s（或参照 GB16889 执行），锅炉房</w:t>
            </w:r>
            <w:r>
              <w:rPr>
                <w:bCs/>
                <w:sz w:val="24"/>
              </w:rPr>
              <w:t>地面</w:t>
            </w:r>
            <w:r>
              <w:rPr>
                <w:rFonts w:hint="eastAsia"/>
                <w:bCs/>
                <w:sz w:val="24"/>
              </w:rPr>
              <w:t>、炉前煤仓、室外渣仓等</w:t>
            </w:r>
            <w:r>
              <w:rPr>
                <w:bCs/>
                <w:sz w:val="24"/>
              </w:rPr>
              <w:t>为</w:t>
            </w:r>
            <w:r>
              <w:rPr>
                <w:rFonts w:hint="eastAsia"/>
                <w:bCs/>
                <w:sz w:val="24"/>
              </w:rPr>
              <w:t>简单</w:t>
            </w:r>
            <w:r>
              <w:rPr>
                <w:bCs/>
                <w:sz w:val="24"/>
              </w:rPr>
              <w:t>防渗区，</w:t>
            </w:r>
            <w:r>
              <w:rPr>
                <w:rFonts w:hint="eastAsia"/>
                <w:bCs/>
                <w:sz w:val="24"/>
              </w:rPr>
              <w:t>进行简单地面硬化；</w:t>
            </w:r>
            <w:r>
              <w:rPr>
                <w:bCs/>
                <w:sz w:val="24"/>
              </w:rPr>
              <w:t>危废贮存库</w:t>
            </w:r>
            <w:r>
              <w:rPr>
                <w:rFonts w:hint="eastAsia"/>
                <w:bCs/>
                <w:sz w:val="24"/>
              </w:rPr>
              <w:t>采用重点防渗，按照《危险废物贮存污染控制标准》（GB18597-2023）中要求，</w:t>
            </w:r>
            <w:r>
              <w:rPr>
                <w:bCs/>
                <w:sz w:val="24"/>
              </w:rPr>
              <w:t>防渗层为至少1m厚黏土层（渗透系数不大于10</w:t>
            </w:r>
            <w:r>
              <w:rPr>
                <w:bCs/>
                <w:sz w:val="24"/>
                <w:vertAlign w:val="superscript"/>
              </w:rPr>
              <w:t>-7</w:t>
            </w:r>
            <w:r>
              <w:rPr>
                <w:bCs/>
                <w:sz w:val="24"/>
              </w:rPr>
              <w:t>cm/s），或至少2mm厚高密度聚乙烯膜等人工防渗材料（渗透系数不大于10</w:t>
            </w:r>
            <w:r>
              <w:rPr>
                <w:bCs/>
                <w:sz w:val="24"/>
                <w:vertAlign w:val="superscript"/>
              </w:rPr>
              <w:t>-10</w:t>
            </w:r>
            <w:r>
              <w:rPr>
                <w:bCs/>
                <w:sz w:val="24"/>
              </w:rPr>
              <w:t>cm/s），或其他防渗性能等效的材料</w:t>
            </w:r>
          </w:p>
        </w:tc>
      </w:tr>
      <w:tr w14:paraId="7ED674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tcBorders>
              <w:top w:val="single" w:color="auto" w:sz="4" w:space="0"/>
              <w:left w:val="single" w:color="auto" w:sz="12" w:space="0"/>
              <w:bottom w:val="single" w:color="auto" w:sz="4" w:space="0"/>
            </w:tcBorders>
            <w:vAlign w:val="center"/>
          </w:tcPr>
          <w:p w14:paraId="35B616E5">
            <w:pPr>
              <w:adjustRightInd w:val="0"/>
              <w:snapToGrid w:val="0"/>
              <w:ind w:left="-105" w:leftChars="-50" w:right="-105" w:rightChars="-50"/>
              <w:jc w:val="center"/>
              <w:rPr>
                <w:rFonts w:hint="eastAsia" w:ascii="宋体" w:hAnsi="宋体" w:cs="宋体"/>
                <w:sz w:val="24"/>
              </w:rPr>
            </w:pPr>
            <w:r>
              <w:rPr>
                <w:rFonts w:hint="eastAsia" w:ascii="宋体" w:hAnsi="宋体" w:cs="宋体"/>
                <w:sz w:val="24"/>
              </w:rPr>
              <w:t>生态保护措施</w:t>
            </w:r>
          </w:p>
        </w:tc>
        <w:tc>
          <w:tcPr>
            <w:tcW w:w="7255" w:type="dxa"/>
            <w:gridSpan w:val="4"/>
            <w:tcBorders>
              <w:top w:val="single" w:color="auto" w:sz="4" w:space="0"/>
              <w:bottom w:val="single" w:color="auto" w:sz="4" w:space="0"/>
              <w:right w:val="single" w:color="auto" w:sz="12" w:space="0"/>
            </w:tcBorders>
            <w:vAlign w:val="center"/>
          </w:tcPr>
          <w:p w14:paraId="259922BD">
            <w:pPr>
              <w:adjustRightInd w:val="0"/>
              <w:snapToGrid w:val="0"/>
              <w:ind w:left="-105" w:leftChars="-50" w:right="-105" w:rightChars="-50"/>
              <w:jc w:val="center"/>
              <w:rPr>
                <w:rFonts w:hint="eastAsia" w:ascii="宋体" w:hAnsi="宋体" w:cs="宋体"/>
                <w:sz w:val="24"/>
              </w:rPr>
            </w:pPr>
            <w:r>
              <w:rPr>
                <w:rFonts w:hint="eastAsia"/>
                <w:bCs/>
                <w:sz w:val="24"/>
              </w:rPr>
              <w:t>/</w:t>
            </w:r>
          </w:p>
        </w:tc>
      </w:tr>
      <w:tr w14:paraId="3E71472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tcBorders>
              <w:top w:val="single" w:color="auto" w:sz="4" w:space="0"/>
              <w:left w:val="single" w:color="auto" w:sz="12" w:space="0"/>
              <w:bottom w:val="single" w:color="auto" w:sz="4" w:space="0"/>
            </w:tcBorders>
            <w:vAlign w:val="center"/>
          </w:tcPr>
          <w:p w14:paraId="043DED58">
            <w:pPr>
              <w:adjustRightInd w:val="0"/>
              <w:snapToGrid w:val="0"/>
              <w:ind w:left="-105" w:leftChars="-50" w:right="-105" w:rightChars="-50"/>
              <w:jc w:val="center"/>
              <w:rPr>
                <w:rFonts w:hint="eastAsia" w:ascii="宋体" w:hAnsi="宋体" w:cs="宋体"/>
                <w:spacing w:val="-8"/>
                <w:sz w:val="24"/>
              </w:rPr>
            </w:pPr>
            <w:r>
              <w:rPr>
                <w:rFonts w:hint="eastAsia" w:ascii="宋体" w:hAnsi="宋体" w:cs="宋体"/>
                <w:spacing w:val="-8"/>
                <w:sz w:val="24"/>
              </w:rPr>
              <w:t>环境风险</w:t>
            </w:r>
          </w:p>
          <w:p w14:paraId="56C6F7CC">
            <w:pPr>
              <w:adjustRightInd w:val="0"/>
              <w:snapToGrid w:val="0"/>
              <w:ind w:left="-105" w:leftChars="-50" w:right="-105" w:rightChars="-50"/>
              <w:jc w:val="center"/>
              <w:rPr>
                <w:rFonts w:hint="eastAsia" w:ascii="宋体" w:hAnsi="宋体" w:cs="宋体"/>
                <w:spacing w:val="-8"/>
                <w:sz w:val="24"/>
              </w:rPr>
            </w:pPr>
            <w:r>
              <w:rPr>
                <w:rFonts w:hint="eastAsia" w:ascii="宋体" w:hAnsi="宋体" w:cs="宋体"/>
                <w:spacing w:val="-8"/>
                <w:sz w:val="24"/>
              </w:rPr>
              <w:t>防范措施</w:t>
            </w:r>
          </w:p>
        </w:tc>
        <w:tc>
          <w:tcPr>
            <w:tcW w:w="7255" w:type="dxa"/>
            <w:gridSpan w:val="4"/>
            <w:tcBorders>
              <w:top w:val="single" w:color="auto" w:sz="4" w:space="0"/>
              <w:bottom w:val="single" w:color="auto" w:sz="4" w:space="0"/>
              <w:right w:val="single" w:color="auto" w:sz="12" w:space="0"/>
            </w:tcBorders>
            <w:vAlign w:val="center"/>
          </w:tcPr>
          <w:p w14:paraId="2A1D3B1B">
            <w:pPr>
              <w:adjustRightInd w:val="0"/>
              <w:snapToGrid w:val="0"/>
              <w:ind w:left="-105" w:leftChars="-50" w:right="-105" w:rightChars="-50"/>
              <w:rPr>
                <w:rFonts w:hint="eastAsia" w:ascii="宋体" w:hAnsi="宋体" w:cs="宋体"/>
                <w:sz w:val="24"/>
              </w:rPr>
            </w:pPr>
            <w:r>
              <w:rPr>
                <w:rFonts w:hint="eastAsia" w:ascii="宋体" w:hAnsi="宋体" w:cs="宋体"/>
                <w:sz w:val="24"/>
              </w:rPr>
              <w:t>本项目不涉及有毒有害及易燃易爆等危险物质和风险源，项目可能发生的环境风险主要为事故状态下生产废水发生泄漏对土壤及地下水产生一定影响，但在采取地面硬化防渗及相应管理措施的情况下，项目对地下水和土壤的影响在可接受范围内，对环境影响较小。</w:t>
            </w:r>
          </w:p>
        </w:tc>
      </w:tr>
      <w:tr w14:paraId="133E70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1545" w:type="dxa"/>
            <w:tcBorders>
              <w:top w:val="single" w:color="auto" w:sz="4" w:space="0"/>
              <w:left w:val="single" w:color="auto" w:sz="12" w:space="0"/>
              <w:bottom w:val="single" w:color="auto" w:sz="12" w:space="0"/>
              <w:right w:val="single" w:color="auto" w:sz="4" w:space="0"/>
            </w:tcBorders>
            <w:vAlign w:val="center"/>
          </w:tcPr>
          <w:p w14:paraId="1AC3CD42">
            <w:pPr>
              <w:adjustRightInd w:val="0"/>
              <w:snapToGrid w:val="0"/>
              <w:ind w:left="-105" w:leftChars="-50" w:right="-105" w:rightChars="-50"/>
              <w:jc w:val="center"/>
              <w:rPr>
                <w:rFonts w:hint="eastAsia" w:ascii="宋体" w:hAnsi="宋体" w:cs="宋体"/>
                <w:spacing w:val="-8"/>
                <w:sz w:val="24"/>
              </w:rPr>
            </w:pPr>
            <w:r>
              <w:rPr>
                <w:rFonts w:hint="eastAsia" w:ascii="宋体" w:hAnsi="宋体" w:cs="宋体"/>
                <w:spacing w:val="-8"/>
                <w:sz w:val="24"/>
              </w:rPr>
              <w:t>其他环境</w:t>
            </w:r>
          </w:p>
          <w:p w14:paraId="64A61CE3">
            <w:pPr>
              <w:adjustRightInd w:val="0"/>
              <w:snapToGrid w:val="0"/>
              <w:ind w:left="-105" w:leftChars="-50" w:right="-105" w:rightChars="-50"/>
              <w:jc w:val="center"/>
              <w:rPr>
                <w:rFonts w:hint="eastAsia" w:ascii="宋体" w:hAnsi="宋体" w:cs="宋体"/>
                <w:spacing w:val="-8"/>
                <w:sz w:val="24"/>
              </w:rPr>
            </w:pPr>
            <w:r>
              <w:rPr>
                <w:rFonts w:hint="eastAsia" w:ascii="宋体" w:hAnsi="宋体" w:cs="宋体"/>
                <w:spacing w:val="-8"/>
                <w:sz w:val="24"/>
              </w:rPr>
              <w:t>管理要求</w:t>
            </w:r>
          </w:p>
        </w:tc>
        <w:tc>
          <w:tcPr>
            <w:tcW w:w="7255" w:type="dxa"/>
            <w:gridSpan w:val="4"/>
            <w:tcBorders>
              <w:top w:val="single" w:color="auto" w:sz="4" w:space="0"/>
              <w:left w:val="single" w:color="auto" w:sz="4" w:space="0"/>
              <w:bottom w:val="single" w:color="auto" w:sz="12" w:space="0"/>
              <w:right w:val="single" w:color="auto" w:sz="12" w:space="0"/>
            </w:tcBorders>
            <w:vAlign w:val="center"/>
          </w:tcPr>
          <w:p w14:paraId="53AF2E58">
            <w:pPr>
              <w:adjustRightInd w:val="0"/>
              <w:snapToGrid w:val="0"/>
              <w:ind w:left="-105" w:leftChars="-50" w:right="-105" w:rightChars="-50"/>
              <w:rPr>
                <w:sz w:val="24"/>
              </w:rPr>
            </w:pPr>
            <w:r>
              <w:rPr>
                <w:sz w:val="24"/>
              </w:rPr>
              <w:t>1、竣工环境保护验收</w:t>
            </w:r>
          </w:p>
          <w:p w14:paraId="0291C5CE">
            <w:pPr>
              <w:adjustRightInd w:val="0"/>
              <w:snapToGrid w:val="0"/>
              <w:ind w:left="-105" w:leftChars="-50" w:right="-105" w:rightChars="-50"/>
              <w:rPr>
                <w:sz w:val="24"/>
              </w:rPr>
            </w:pPr>
            <w:r>
              <w:rPr>
                <w:sz w:val="24"/>
              </w:rPr>
              <w:t>根据《建设项目竣工环境保护验收暂行办法》的规定，建设项目竣工后，建设单位应当如实查验、监测、记载建设项目环境保护设施的建设和调试情况，编制验收监测报</w:t>
            </w:r>
            <w:bookmarkStart w:id="49" w:name="_GoBack"/>
            <w:bookmarkEnd w:id="49"/>
            <w:r>
              <w:rPr>
                <w:sz w:val="24"/>
              </w:rPr>
              <w:t>告表。</w:t>
            </w:r>
          </w:p>
          <w:p w14:paraId="2D5E2F87">
            <w:pPr>
              <w:adjustRightInd w:val="0"/>
              <w:snapToGrid w:val="0"/>
              <w:ind w:left="-105" w:leftChars="-50" w:right="-105" w:rightChars="-50"/>
              <w:rPr>
                <w:sz w:val="24"/>
              </w:rPr>
            </w:pPr>
            <w:r>
              <w:rPr>
                <w:sz w:val="24"/>
              </w:rPr>
              <w:t>2、</w:t>
            </w:r>
            <w:r>
              <w:rPr>
                <w:rFonts w:hint="eastAsia"/>
                <w:sz w:val="24"/>
              </w:rPr>
              <w:t>自行监测</w:t>
            </w:r>
            <w:r>
              <w:rPr>
                <w:sz w:val="24"/>
              </w:rPr>
              <w:t>管理要求</w:t>
            </w:r>
          </w:p>
          <w:p w14:paraId="115210A9">
            <w:pPr>
              <w:adjustRightInd w:val="0"/>
              <w:snapToGrid w:val="0"/>
              <w:ind w:left="-105" w:leftChars="-50" w:right="-105" w:rightChars="-50"/>
              <w:rPr>
                <w:sz w:val="24"/>
              </w:rPr>
            </w:pPr>
            <w:r>
              <w:rPr>
                <w:rFonts w:hint="eastAsia"/>
                <w:sz w:val="24"/>
              </w:rPr>
              <w:t>按照《排污单位自行监测技术指南 总则》（HJ819-2017）、</w:t>
            </w:r>
            <w:r>
              <w:rPr>
                <w:rFonts w:hint="eastAsia"/>
                <w:bCs/>
                <w:sz w:val="24"/>
              </w:rPr>
              <w:t>《排污许可证申请与核发技术规范 锅炉》(HJ953-2018)</w:t>
            </w:r>
            <w:r>
              <w:rPr>
                <w:rFonts w:hint="eastAsia"/>
                <w:sz w:val="24"/>
              </w:rPr>
              <w:t>相关要求定期进行自行监测</w:t>
            </w:r>
            <w:r>
              <w:rPr>
                <w:sz w:val="24"/>
              </w:rPr>
              <w:t>。</w:t>
            </w:r>
          </w:p>
          <w:p w14:paraId="1455D9DF">
            <w:pPr>
              <w:adjustRightInd w:val="0"/>
              <w:snapToGrid w:val="0"/>
              <w:ind w:left="-105" w:leftChars="-50" w:right="-105" w:rightChars="-50"/>
              <w:rPr>
                <w:sz w:val="24"/>
              </w:rPr>
            </w:pPr>
            <w:r>
              <w:rPr>
                <w:rFonts w:hint="eastAsia"/>
                <w:sz w:val="24"/>
              </w:rPr>
              <w:t>3、排污口规范化管理</w:t>
            </w:r>
          </w:p>
          <w:p w14:paraId="3C93F583">
            <w:pPr>
              <w:adjustRightInd w:val="0"/>
              <w:snapToGrid w:val="0"/>
              <w:ind w:left="-105" w:leftChars="-50" w:right="-105" w:rightChars="-50"/>
              <w:rPr>
                <w:rFonts w:hint="eastAsia" w:ascii="宋体" w:hAnsi="宋体" w:cs="宋体"/>
                <w:sz w:val="24"/>
              </w:rPr>
            </w:pPr>
            <w:r>
              <w:rPr>
                <w:sz w:val="24"/>
              </w:rPr>
              <w:t>排污口的位置必须合理确定，按环监</w:t>
            </w:r>
            <w:r>
              <w:rPr>
                <w:rFonts w:hint="eastAsia"/>
                <w:sz w:val="24"/>
              </w:rPr>
              <w:t>〔</w:t>
            </w:r>
            <w:r>
              <w:rPr>
                <w:sz w:val="24"/>
              </w:rPr>
              <w:t>1996</w:t>
            </w:r>
            <w:r>
              <w:rPr>
                <w:rFonts w:hint="eastAsia"/>
                <w:sz w:val="24"/>
              </w:rPr>
              <w:t>〕</w:t>
            </w:r>
            <w:r>
              <w:rPr>
                <w:sz w:val="24"/>
              </w:rPr>
              <w:t>470号文件要求进行规范化管理</w:t>
            </w:r>
            <w:r>
              <w:rPr>
                <w:rFonts w:hint="eastAsia"/>
                <w:sz w:val="24"/>
              </w:rPr>
              <w:t>；</w:t>
            </w:r>
            <w:r>
              <w:rPr>
                <w:sz w:val="24"/>
              </w:rPr>
              <w:t>项目应按《环境保护图形标志—排放口（源）》（GB15562.1-1995）规定的图形，在各气、水、声排污口（源）挂牌标识，标志牌应设置在靠近采样点的醒目处，设置高度为其上缘距地面2m。做到各排污口（源）的环保标志明显，便于企业管理。</w:t>
            </w:r>
          </w:p>
        </w:tc>
      </w:tr>
    </w:tbl>
    <w:p w14:paraId="5D722E11">
      <w:pPr>
        <w:pStyle w:val="27"/>
        <w:jc w:val="center"/>
        <w:outlineLvl w:val="0"/>
        <w:rPr>
          <w:rFonts w:hint="eastAsia" w:ascii="黑体" w:hAnsi="黑体" w:eastAsia="黑体"/>
          <w:snapToGrid w:val="0"/>
          <w:sz w:val="30"/>
          <w:szCs w:val="30"/>
        </w:rPr>
      </w:pPr>
      <w:r>
        <w:rPr>
          <w:snapToGrid w:val="0"/>
        </w:rPr>
        <w:br w:type="page"/>
      </w:r>
      <w:bookmarkStart w:id="39" w:name="_Toc172642154"/>
      <w:bookmarkStart w:id="40" w:name="_Toc173761975"/>
      <w:r>
        <w:rPr>
          <w:rFonts w:hint="eastAsia" w:ascii="黑体" w:hAnsi="黑体" w:eastAsia="黑体"/>
          <w:snapToGrid w:val="0"/>
          <w:sz w:val="30"/>
          <w:szCs w:val="30"/>
        </w:rPr>
        <w:t>六、结论</w:t>
      </w:r>
      <w:bookmarkEnd w:id="39"/>
      <w:bookmarkEnd w:id="40"/>
    </w:p>
    <w:tbl>
      <w:tblPr>
        <w:tblStyle w:val="31"/>
        <w:tblW w:w="0" w:type="auto"/>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8865"/>
      </w:tblGrid>
      <w:tr w14:paraId="352C19B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11991" w:hRule="atLeast"/>
          <w:jc w:val="center"/>
        </w:trPr>
        <w:tc>
          <w:tcPr>
            <w:tcW w:w="8865" w:type="dxa"/>
          </w:tcPr>
          <w:p w14:paraId="005E1A85">
            <w:pPr>
              <w:spacing w:before="240" w:beforeLines="100" w:line="360" w:lineRule="auto"/>
              <w:ind w:firstLine="480" w:firstLineChars="200"/>
              <w:rPr>
                <w:sz w:val="24"/>
              </w:rPr>
            </w:pPr>
            <w:r>
              <w:rPr>
                <w:rFonts w:hint="eastAsia"/>
                <w:sz w:val="24"/>
              </w:rPr>
              <w:t>通过本项目所在地环境现状调查、污染源分析、环境影响分析可知，本项目选址合理，项目符合国家产业政策及相关规划要求，符合国家环境保护相关政策法规要求，项目运行期产生的废水、废气、噪声、固废等采取有效措施后，均能满足国家相关排放标准的要求，企业在生产过程中在充分落实本环评提出的各项污染防治对策前提下，认真做好“三同时”及日常环保管理工作，从环保角度出发，本项目建设可行。</w:t>
            </w:r>
          </w:p>
        </w:tc>
      </w:tr>
    </w:tbl>
    <w:p w14:paraId="77E33A33">
      <w:pPr>
        <w:rPr>
          <w:rFonts w:ascii="宋体"/>
        </w:rPr>
        <w:sectPr>
          <w:pgSz w:w="11906" w:h="16838"/>
          <w:pgMar w:top="1701" w:right="1531" w:bottom="1560" w:left="1531" w:header="851" w:footer="851" w:gutter="0"/>
          <w:cols w:space="720" w:num="1"/>
          <w:docGrid w:linePitch="312" w:charSpace="0"/>
        </w:sectPr>
      </w:pPr>
    </w:p>
    <w:p w14:paraId="633CB202">
      <w:pPr>
        <w:pStyle w:val="27"/>
        <w:adjustRightInd w:val="0"/>
        <w:snapToGrid w:val="0"/>
        <w:spacing w:before="0" w:beforeAutospacing="0" w:after="0" w:afterAutospacing="0" w:line="360" w:lineRule="auto"/>
        <w:outlineLvl w:val="0"/>
        <w:rPr>
          <w:rFonts w:hint="eastAsia" w:ascii="黑体" w:hAnsi="黑体" w:eastAsia="黑体"/>
          <w:snapToGrid w:val="0"/>
          <w:sz w:val="32"/>
          <w:szCs w:val="32"/>
        </w:rPr>
      </w:pPr>
      <w:bookmarkStart w:id="41" w:name="_Toc173761976"/>
      <w:bookmarkStart w:id="42" w:name="_Toc172642155"/>
      <w:r>
        <w:rPr>
          <w:rFonts w:hint="eastAsia" w:ascii="黑体" w:hAnsi="黑体" w:eastAsia="黑体"/>
          <w:snapToGrid w:val="0"/>
          <w:sz w:val="32"/>
          <w:szCs w:val="32"/>
        </w:rPr>
        <w:t>附表</w:t>
      </w:r>
      <w:bookmarkEnd w:id="41"/>
      <w:bookmarkEnd w:id="42"/>
    </w:p>
    <w:p w14:paraId="2A85DDC1">
      <w:pPr>
        <w:pStyle w:val="27"/>
        <w:adjustRightInd w:val="0"/>
        <w:snapToGrid w:val="0"/>
        <w:spacing w:before="0" w:beforeAutospacing="0" w:after="0" w:afterAutospacing="0"/>
        <w:jc w:val="center"/>
        <w:rPr>
          <w:rFonts w:ascii="Times New Roman" w:hAnsi="Times New Roman" w:cs="Times New Roman"/>
          <w:b/>
          <w:bCs/>
          <w:snapToGrid w:val="0"/>
          <w:sz w:val="38"/>
          <w:szCs w:val="38"/>
        </w:rPr>
      </w:pPr>
      <w:r>
        <w:rPr>
          <w:rFonts w:ascii="Times New Roman" w:hAnsi="Times New Roman" w:cs="Times New Roman"/>
          <w:b/>
          <w:bCs/>
          <w:snapToGrid w:val="0"/>
          <w:sz w:val="38"/>
          <w:szCs w:val="38"/>
        </w:rPr>
        <w:t>建设项目污染物排放量汇总表</w:t>
      </w:r>
    </w:p>
    <w:tbl>
      <w:tblPr>
        <w:tblStyle w:val="31"/>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73"/>
        <w:gridCol w:w="2089"/>
        <w:gridCol w:w="1701"/>
        <w:gridCol w:w="992"/>
        <w:gridCol w:w="1560"/>
        <w:gridCol w:w="1771"/>
        <w:gridCol w:w="1322"/>
        <w:gridCol w:w="2010"/>
        <w:gridCol w:w="1088"/>
      </w:tblGrid>
      <w:tr w14:paraId="6E9F4D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tcBorders>
              <w:top w:val="single" w:color="auto" w:sz="12" w:space="0"/>
              <w:left w:val="single" w:color="auto" w:sz="12" w:space="0"/>
              <w:bottom w:val="single" w:color="auto" w:sz="4" w:space="0"/>
              <w:tl2br w:val="single" w:color="auto" w:sz="4" w:space="0"/>
            </w:tcBorders>
            <w:tcMar>
              <w:left w:w="28" w:type="dxa"/>
              <w:right w:w="28" w:type="dxa"/>
            </w:tcMar>
            <w:vAlign w:val="center"/>
          </w:tcPr>
          <w:p w14:paraId="6C990595">
            <w:pPr>
              <w:pStyle w:val="44"/>
              <w:spacing w:beforeLines="0" w:afterLines="0" w:line="240" w:lineRule="auto"/>
              <w:rPr>
                <w:rFonts w:ascii="Times New Roman" w:hAnsi="Times New Roman" w:eastAsia="宋体" w:cs="Times New Roman"/>
                <w:snapToGrid w:val="0"/>
                <w:spacing w:val="-6"/>
                <w:kern w:val="21"/>
                <w:szCs w:val="21"/>
              </w:rPr>
            </w:pPr>
            <w:r>
              <w:rPr>
                <w:rFonts w:ascii="Times New Roman" w:hAnsi="Times New Roman" w:eastAsia="宋体" w:cs="Times New Roman"/>
                <w:snapToGrid w:val="0"/>
                <w:spacing w:val="-6"/>
                <w:kern w:val="21"/>
                <w:szCs w:val="21"/>
              </w:rPr>
              <w:t>项目</w:t>
            </w:r>
          </w:p>
          <w:p w14:paraId="4578287A">
            <w:pPr>
              <w:pStyle w:val="44"/>
              <w:spacing w:beforeLines="0" w:afterLines="0" w:line="240" w:lineRule="auto"/>
              <w:rPr>
                <w:rFonts w:ascii="Times New Roman" w:hAnsi="Times New Roman" w:eastAsia="宋体" w:cs="Times New Roman"/>
                <w:snapToGrid w:val="0"/>
                <w:spacing w:val="-6"/>
                <w:kern w:val="21"/>
                <w:szCs w:val="21"/>
              </w:rPr>
            </w:pPr>
            <w:r>
              <w:rPr>
                <w:rFonts w:ascii="Times New Roman" w:hAnsi="Times New Roman" w:eastAsia="宋体" w:cs="Times New Roman"/>
                <w:snapToGrid w:val="0"/>
                <w:spacing w:val="-6"/>
                <w:kern w:val="21"/>
                <w:szCs w:val="21"/>
              </w:rPr>
              <w:t>分类</w:t>
            </w:r>
          </w:p>
        </w:tc>
        <w:tc>
          <w:tcPr>
            <w:tcW w:w="2089" w:type="dxa"/>
            <w:tcBorders>
              <w:top w:val="single" w:color="auto" w:sz="12" w:space="0"/>
              <w:bottom w:val="single" w:color="auto" w:sz="4" w:space="0"/>
            </w:tcBorders>
            <w:tcMar>
              <w:left w:w="28" w:type="dxa"/>
              <w:right w:w="28" w:type="dxa"/>
            </w:tcMar>
            <w:vAlign w:val="center"/>
          </w:tcPr>
          <w:p w14:paraId="2DB5BA32">
            <w:pPr>
              <w:pStyle w:val="44"/>
              <w:spacing w:beforeLines="0" w:afterLines="0" w:line="240" w:lineRule="auto"/>
              <w:rPr>
                <w:rFonts w:ascii="Times New Roman" w:hAnsi="Times New Roman" w:eastAsia="宋体" w:cs="Times New Roman"/>
                <w:snapToGrid w:val="0"/>
                <w:spacing w:val="-6"/>
                <w:kern w:val="21"/>
                <w:szCs w:val="21"/>
              </w:rPr>
            </w:pPr>
            <w:r>
              <w:rPr>
                <w:rFonts w:ascii="Times New Roman" w:hAnsi="Times New Roman" w:eastAsia="宋体" w:cs="Times New Roman"/>
                <w:snapToGrid w:val="0"/>
                <w:spacing w:val="-6"/>
                <w:kern w:val="21"/>
                <w:szCs w:val="21"/>
              </w:rPr>
              <w:t>污染物名称</w:t>
            </w:r>
          </w:p>
        </w:tc>
        <w:tc>
          <w:tcPr>
            <w:tcW w:w="1701" w:type="dxa"/>
            <w:tcBorders>
              <w:top w:val="single" w:color="auto" w:sz="12" w:space="0"/>
              <w:bottom w:val="single" w:color="auto" w:sz="4" w:space="0"/>
            </w:tcBorders>
            <w:tcMar>
              <w:left w:w="28" w:type="dxa"/>
              <w:right w:w="28" w:type="dxa"/>
            </w:tcMar>
            <w:vAlign w:val="center"/>
          </w:tcPr>
          <w:p w14:paraId="2FB4DCE4">
            <w:pPr>
              <w:pStyle w:val="44"/>
              <w:spacing w:beforeLines="0" w:afterLines="0" w:line="240" w:lineRule="auto"/>
              <w:rPr>
                <w:rFonts w:ascii="Times New Roman" w:hAnsi="Times New Roman" w:eastAsia="宋体" w:cs="Times New Roman"/>
                <w:snapToGrid w:val="0"/>
                <w:spacing w:val="-6"/>
                <w:kern w:val="21"/>
                <w:szCs w:val="21"/>
              </w:rPr>
            </w:pPr>
            <w:r>
              <w:rPr>
                <w:rFonts w:ascii="Times New Roman" w:hAnsi="Times New Roman" w:eastAsia="宋体" w:cs="Times New Roman"/>
                <w:snapToGrid w:val="0"/>
                <w:spacing w:val="-6"/>
                <w:kern w:val="21"/>
                <w:szCs w:val="21"/>
              </w:rPr>
              <w:t>现有工程</w:t>
            </w:r>
          </w:p>
          <w:p w14:paraId="488AF0AB">
            <w:pPr>
              <w:pStyle w:val="44"/>
              <w:spacing w:beforeLines="0" w:afterLines="0" w:line="240" w:lineRule="auto"/>
              <w:rPr>
                <w:rFonts w:ascii="Times New Roman" w:hAnsi="Times New Roman" w:eastAsia="宋体" w:cs="Times New Roman"/>
                <w:snapToGrid w:val="0"/>
                <w:spacing w:val="-6"/>
                <w:kern w:val="21"/>
                <w:szCs w:val="21"/>
              </w:rPr>
            </w:pPr>
            <w:r>
              <w:rPr>
                <w:rFonts w:ascii="Times New Roman" w:hAnsi="Times New Roman" w:eastAsia="宋体" w:cs="Times New Roman"/>
                <w:snapToGrid w:val="0"/>
                <w:spacing w:val="-6"/>
                <w:kern w:val="21"/>
                <w:szCs w:val="21"/>
              </w:rPr>
              <w:t>排放量t/a（固体废物产生量）</w:t>
            </w:r>
            <w:r>
              <w:rPr>
                <w:rFonts w:ascii="Times New Roman" w:hAnsi="Times New Roman" w:eastAsia="宋体" w:cs="Times New Roman"/>
                <w:snapToGrid w:val="0"/>
                <w:spacing w:val="-6"/>
                <w:kern w:val="21"/>
                <w:szCs w:val="21"/>
              </w:rPr>
              <w:fldChar w:fldCharType="begin"/>
            </w:r>
            <w:r>
              <w:rPr>
                <w:rFonts w:ascii="Times New Roman" w:hAnsi="Times New Roman" w:eastAsia="宋体" w:cs="Times New Roman"/>
                <w:snapToGrid w:val="0"/>
                <w:spacing w:val="-6"/>
                <w:kern w:val="21"/>
                <w:szCs w:val="21"/>
              </w:rPr>
              <w:instrText xml:space="preserve"> = 1 \* GB3 \* MERGEFORMAT </w:instrText>
            </w:r>
            <w:r>
              <w:rPr>
                <w:rFonts w:ascii="Times New Roman" w:hAnsi="Times New Roman" w:eastAsia="宋体" w:cs="Times New Roman"/>
                <w:snapToGrid w:val="0"/>
                <w:spacing w:val="-6"/>
                <w:kern w:val="21"/>
                <w:szCs w:val="21"/>
              </w:rPr>
              <w:fldChar w:fldCharType="separate"/>
            </w:r>
            <w:r>
              <w:rPr>
                <w:rFonts w:hint="eastAsia" w:ascii="Times New Roman" w:hAnsi="Times New Roman" w:eastAsia="宋体" w:cs="宋体"/>
                <w:szCs w:val="21"/>
              </w:rPr>
              <w:t>①</w:t>
            </w:r>
            <w:r>
              <w:rPr>
                <w:rFonts w:ascii="Times New Roman" w:hAnsi="Times New Roman" w:eastAsia="宋体" w:cs="Times New Roman"/>
                <w:snapToGrid w:val="0"/>
                <w:spacing w:val="-6"/>
                <w:kern w:val="21"/>
                <w:szCs w:val="21"/>
              </w:rPr>
              <w:fldChar w:fldCharType="end"/>
            </w:r>
          </w:p>
        </w:tc>
        <w:tc>
          <w:tcPr>
            <w:tcW w:w="992" w:type="dxa"/>
            <w:tcBorders>
              <w:top w:val="single" w:color="auto" w:sz="12" w:space="0"/>
              <w:bottom w:val="single" w:color="auto" w:sz="4" w:space="0"/>
            </w:tcBorders>
            <w:tcMar>
              <w:left w:w="28" w:type="dxa"/>
              <w:right w:w="28" w:type="dxa"/>
            </w:tcMar>
            <w:vAlign w:val="center"/>
          </w:tcPr>
          <w:p w14:paraId="153FA1CC">
            <w:pPr>
              <w:pStyle w:val="44"/>
              <w:spacing w:beforeLines="0" w:afterLines="0" w:line="240" w:lineRule="auto"/>
              <w:rPr>
                <w:rFonts w:ascii="Times New Roman" w:hAnsi="Times New Roman" w:eastAsia="宋体" w:cs="Times New Roman"/>
                <w:snapToGrid w:val="0"/>
                <w:spacing w:val="-6"/>
                <w:kern w:val="21"/>
                <w:szCs w:val="21"/>
              </w:rPr>
            </w:pPr>
            <w:r>
              <w:rPr>
                <w:rFonts w:ascii="Times New Roman" w:hAnsi="Times New Roman" w:eastAsia="宋体" w:cs="Times New Roman"/>
                <w:snapToGrid w:val="0"/>
                <w:spacing w:val="-6"/>
                <w:kern w:val="21"/>
                <w:szCs w:val="21"/>
              </w:rPr>
              <w:t>现有工程</w:t>
            </w:r>
          </w:p>
          <w:p w14:paraId="452EC223">
            <w:pPr>
              <w:pStyle w:val="44"/>
              <w:spacing w:beforeLines="0" w:afterLines="0" w:line="240" w:lineRule="auto"/>
              <w:rPr>
                <w:rFonts w:ascii="Times New Roman" w:hAnsi="Times New Roman" w:eastAsia="宋体" w:cs="Times New Roman"/>
                <w:snapToGrid w:val="0"/>
                <w:spacing w:val="-6"/>
                <w:kern w:val="21"/>
                <w:szCs w:val="21"/>
              </w:rPr>
            </w:pPr>
            <w:r>
              <w:rPr>
                <w:rFonts w:ascii="Times New Roman" w:hAnsi="Times New Roman" w:eastAsia="宋体" w:cs="Times New Roman"/>
                <w:snapToGrid w:val="0"/>
                <w:spacing w:val="-6"/>
                <w:kern w:val="21"/>
                <w:szCs w:val="21"/>
              </w:rPr>
              <w:t>许可排放量t/a</w:t>
            </w:r>
            <w:r>
              <w:rPr>
                <w:rFonts w:ascii="Times New Roman" w:hAnsi="Times New Roman" w:eastAsia="宋体" w:cs="Times New Roman"/>
                <w:snapToGrid w:val="0"/>
                <w:spacing w:val="-6"/>
                <w:kern w:val="21"/>
                <w:szCs w:val="21"/>
              </w:rPr>
              <w:fldChar w:fldCharType="begin"/>
            </w:r>
            <w:r>
              <w:rPr>
                <w:rFonts w:ascii="Times New Roman" w:hAnsi="Times New Roman" w:eastAsia="宋体" w:cs="Times New Roman"/>
                <w:snapToGrid w:val="0"/>
                <w:spacing w:val="-6"/>
                <w:kern w:val="21"/>
                <w:szCs w:val="21"/>
              </w:rPr>
              <w:instrText xml:space="preserve"> = 2 \* GB3 \* MERGEFORMAT </w:instrText>
            </w:r>
            <w:r>
              <w:rPr>
                <w:rFonts w:ascii="Times New Roman" w:hAnsi="Times New Roman" w:eastAsia="宋体" w:cs="Times New Roman"/>
                <w:snapToGrid w:val="0"/>
                <w:spacing w:val="-6"/>
                <w:kern w:val="21"/>
                <w:szCs w:val="21"/>
              </w:rPr>
              <w:fldChar w:fldCharType="separate"/>
            </w:r>
            <w:r>
              <w:rPr>
                <w:rFonts w:hint="eastAsia" w:ascii="Times New Roman" w:hAnsi="Times New Roman" w:eastAsia="宋体" w:cs="宋体"/>
                <w:snapToGrid w:val="0"/>
                <w:spacing w:val="-6"/>
                <w:kern w:val="21"/>
                <w:szCs w:val="21"/>
              </w:rPr>
              <w:t>②</w:t>
            </w:r>
            <w:r>
              <w:rPr>
                <w:rFonts w:ascii="Times New Roman" w:hAnsi="Times New Roman" w:eastAsia="宋体" w:cs="Times New Roman"/>
                <w:snapToGrid w:val="0"/>
                <w:spacing w:val="-6"/>
                <w:kern w:val="21"/>
                <w:szCs w:val="21"/>
              </w:rPr>
              <w:fldChar w:fldCharType="end"/>
            </w:r>
          </w:p>
        </w:tc>
        <w:tc>
          <w:tcPr>
            <w:tcW w:w="1560" w:type="dxa"/>
            <w:tcBorders>
              <w:top w:val="single" w:color="auto" w:sz="12" w:space="0"/>
              <w:bottom w:val="single" w:color="auto" w:sz="4" w:space="0"/>
            </w:tcBorders>
            <w:tcMar>
              <w:left w:w="28" w:type="dxa"/>
              <w:right w:w="28" w:type="dxa"/>
            </w:tcMar>
            <w:vAlign w:val="center"/>
          </w:tcPr>
          <w:p w14:paraId="2DDA86F1">
            <w:pPr>
              <w:pStyle w:val="44"/>
              <w:spacing w:beforeLines="0" w:afterLines="0" w:line="240" w:lineRule="auto"/>
              <w:rPr>
                <w:rFonts w:ascii="Times New Roman" w:hAnsi="Times New Roman" w:eastAsia="宋体" w:cs="Times New Roman"/>
                <w:snapToGrid w:val="0"/>
                <w:spacing w:val="-6"/>
                <w:kern w:val="21"/>
                <w:szCs w:val="21"/>
              </w:rPr>
            </w:pPr>
            <w:r>
              <w:rPr>
                <w:rFonts w:ascii="Times New Roman" w:hAnsi="Times New Roman" w:eastAsia="宋体" w:cs="Times New Roman"/>
                <w:snapToGrid w:val="0"/>
                <w:spacing w:val="-6"/>
                <w:kern w:val="21"/>
                <w:szCs w:val="21"/>
              </w:rPr>
              <w:t>在建工程</w:t>
            </w:r>
          </w:p>
          <w:p w14:paraId="3377974E">
            <w:pPr>
              <w:pStyle w:val="44"/>
              <w:spacing w:beforeLines="0" w:afterLines="0" w:line="240" w:lineRule="auto"/>
              <w:rPr>
                <w:rFonts w:ascii="Times New Roman" w:hAnsi="Times New Roman" w:eastAsia="宋体" w:cs="Times New Roman"/>
                <w:snapToGrid w:val="0"/>
                <w:spacing w:val="-6"/>
                <w:kern w:val="21"/>
                <w:szCs w:val="21"/>
              </w:rPr>
            </w:pPr>
            <w:r>
              <w:rPr>
                <w:rFonts w:ascii="Times New Roman" w:hAnsi="Times New Roman" w:eastAsia="宋体" w:cs="Times New Roman"/>
                <w:snapToGrid w:val="0"/>
                <w:spacing w:val="-6"/>
                <w:kern w:val="21"/>
                <w:szCs w:val="21"/>
              </w:rPr>
              <w:t>排放量t/a（固体废物产生量）</w:t>
            </w:r>
            <w:r>
              <w:rPr>
                <w:rFonts w:ascii="Times New Roman" w:hAnsi="Times New Roman" w:eastAsia="宋体" w:cs="Times New Roman"/>
                <w:snapToGrid w:val="0"/>
                <w:spacing w:val="-6"/>
                <w:kern w:val="21"/>
                <w:szCs w:val="21"/>
              </w:rPr>
              <w:fldChar w:fldCharType="begin"/>
            </w:r>
            <w:r>
              <w:rPr>
                <w:rFonts w:ascii="Times New Roman" w:hAnsi="Times New Roman" w:eastAsia="宋体" w:cs="Times New Roman"/>
                <w:snapToGrid w:val="0"/>
                <w:spacing w:val="-6"/>
                <w:kern w:val="21"/>
                <w:szCs w:val="21"/>
              </w:rPr>
              <w:instrText xml:space="preserve"> = 3 \* GB3 \* MERGEFORMAT </w:instrText>
            </w:r>
            <w:r>
              <w:rPr>
                <w:rFonts w:ascii="Times New Roman" w:hAnsi="Times New Roman" w:eastAsia="宋体" w:cs="Times New Roman"/>
                <w:snapToGrid w:val="0"/>
                <w:spacing w:val="-6"/>
                <w:kern w:val="21"/>
                <w:szCs w:val="21"/>
              </w:rPr>
              <w:fldChar w:fldCharType="separate"/>
            </w:r>
            <w:r>
              <w:rPr>
                <w:rFonts w:hint="eastAsia" w:ascii="Times New Roman" w:hAnsi="Times New Roman" w:eastAsia="宋体" w:cs="宋体"/>
                <w:szCs w:val="21"/>
              </w:rPr>
              <w:t>③</w:t>
            </w:r>
            <w:r>
              <w:rPr>
                <w:rFonts w:ascii="Times New Roman" w:hAnsi="Times New Roman" w:eastAsia="宋体" w:cs="Times New Roman"/>
                <w:snapToGrid w:val="0"/>
                <w:spacing w:val="-6"/>
                <w:kern w:val="21"/>
                <w:szCs w:val="21"/>
              </w:rPr>
              <w:fldChar w:fldCharType="end"/>
            </w:r>
          </w:p>
        </w:tc>
        <w:tc>
          <w:tcPr>
            <w:tcW w:w="1771" w:type="dxa"/>
            <w:tcBorders>
              <w:top w:val="single" w:color="auto" w:sz="12" w:space="0"/>
              <w:bottom w:val="single" w:color="auto" w:sz="4" w:space="0"/>
            </w:tcBorders>
            <w:tcMar>
              <w:left w:w="28" w:type="dxa"/>
              <w:right w:w="28" w:type="dxa"/>
            </w:tcMar>
            <w:vAlign w:val="center"/>
          </w:tcPr>
          <w:p w14:paraId="0DF45751">
            <w:pPr>
              <w:pStyle w:val="44"/>
              <w:spacing w:beforeLines="0" w:afterLines="0" w:line="240" w:lineRule="auto"/>
              <w:rPr>
                <w:rFonts w:ascii="Times New Roman" w:hAnsi="Times New Roman" w:eastAsia="宋体" w:cs="Times New Roman"/>
                <w:snapToGrid w:val="0"/>
                <w:spacing w:val="-6"/>
                <w:kern w:val="21"/>
                <w:szCs w:val="21"/>
              </w:rPr>
            </w:pPr>
            <w:r>
              <w:rPr>
                <w:rFonts w:ascii="Times New Roman" w:hAnsi="Times New Roman" w:eastAsia="宋体" w:cs="Times New Roman"/>
                <w:snapToGrid w:val="0"/>
                <w:spacing w:val="-6"/>
                <w:kern w:val="21"/>
                <w:szCs w:val="21"/>
              </w:rPr>
              <w:t>本项目</w:t>
            </w:r>
          </w:p>
          <w:p w14:paraId="71C678F1">
            <w:pPr>
              <w:pStyle w:val="44"/>
              <w:spacing w:beforeLines="0" w:afterLines="0" w:line="240" w:lineRule="auto"/>
              <w:rPr>
                <w:rFonts w:ascii="Times New Roman" w:hAnsi="Times New Roman" w:eastAsia="宋体" w:cs="Times New Roman"/>
                <w:snapToGrid w:val="0"/>
                <w:spacing w:val="-6"/>
                <w:kern w:val="21"/>
                <w:szCs w:val="21"/>
              </w:rPr>
            </w:pPr>
            <w:r>
              <w:rPr>
                <w:rFonts w:ascii="Times New Roman" w:hAnsi="Times New Roman" w:eastAsia="宋体" w:cs="Times New Roman"/>
                <w:snapToGrid w:val="0"/>
                <w:spacing w:val="-6"/>
                <w:kern w:val="21"/>
                <w:szCs w:val="21"/>
              </w:rPr>
              <w:t>排放量t/a（固体废物产生量）</w:t>
            </w:r>
            <w:r>
              <w:rPr>
                <w:rFonts w:ascii="Times New Roman" w:hAnsi="Times New Roman" w:eastAsia="宋体" w:cs="Times New Roman"/>
                <w:snapToGrid w:val="0"/>
                <w:spacing w:val="-6"/>
                <w:kern w:val="21"/>
                <w:szCs w:val="21"/>
              </w:rPr>
              <w:fldChar w:fldCharType="begin"/>
            </w:r>
            <w:r>
              <w:rPr>
                <w:rFonts w:ascii="Times New Roman" w:hAnsi="Times New Roman" w:eastAsia="宋体" w:cs="Times New Roman"/>
                <w:snapToGrid w:val="0"/>
                <w:spacing w:val="-6"/>
                <w:kern w:val="21"/>
                <w:szCs w:val="21"/>
              </w:rPr>
              <w:instrText xml:space="preserve"> = 4 \* GB3 \* MERGEFORMAT </w:instrText>
            </w:r>
            <w:r>
              <w:rPr>
                <w:rFonts w:ascii="Times New Roman" w:hAnsi="Times New Roman" w:eastAsia="宋体" w:cs="Times New Roman"/>
                <w:snapToGrid w:val="0"/>
                <w:spacing w:val="-6"/>
                <w:kern w:val="21"/>
                <w:szCs w:val="21"/>
              </w:rPr>
              <w:fldChar w:fldCharType="separate"/>
            </w:r>
            <w:r>
              <w:rPr>
                <w:rFonts w:hint="eastAsia" w:ascii="Times New Roman" w:hAnsi="Times New Roman" w:eastAsia="宋体" w:cs="宋体"/>
                <w:szCs w:val="21"/>
              </w:rPr>
              <w:t>④</w:t>
            </w:r>
            <w:r>
              <w:rPr>
                <w:rFonts w:ascii="Times New Roman" w:hAnsi="Times New Roman" w:eastAsia="宋体" w:cs="Times New Roman"/>
                <w:snapToGrid w:val="0"/>
                <w:spacing w:val="-6"/>
                <w:kern w:val="21"/>
                <w:szCs w:val="21"/>
              </w:rPr>
              <w:fldChar w:fldCharType="end"/>
            </w:r>
          </w:p>
        </w:tc>
        <w:tc>
          <w:tcPr>
            <w:tcW w:w="1322" w:type="dxa"/>
            <w:tcBorders>
              <w:top w:val="single" w:color="auto" w:sz="12" w:space="0"/>
              <w:bottom w:val="single" w:color="auto" w:sz="4" w:space="0"/>
            </w:tcBorders>
            <w:tcMar>
              <w:left w:w="28" w:type="dxa"/>
              <w:right w:w="28" w:type="dxa"/>
            </w:tcMar>
            <w:vAlign w:val="center"/>
          </w:tcPr>
          <w:p w14:paraId="661AB06E">
            <w:pPr>
              <w:pStyle w:val="44"/>
              <w:spacing w:beforeLines="0" w:afterLines="0" w:line="240" w:lineRule="auto"/>
              <w:rPr>
                <w:rFonts w:ascii="Times New Roman" w:hAnsi="Times New Roman" w:eastAsia="宋体" w:cs="Times New Roman"/>
                <w:snapToGrid w:val="0"/>
                <w:spacing w:val="-16"/>
                <w:kern w:val="21"/>
                <w:szCs w:val="21"/>
              </w:rPr>
            </w:pPr>
            <w:r>
              <w:rPr>
                <w:rFonts w:ascii="Times New Roman" w:hAnsi="Times New Roman" w:eastAsia="宋体" w:cs="Times New Roman"/>
                <w:snapToGrid w:val="0"/>
                <w:spacing w:val="-16"/>
                <w:kern w:val="21"/>
                <w:szCs w:val="21"/>
              </w:rPr>
              <w:t>以新带老削减量</w:t>
            </w:r>
          </w:p>
          <w:p w14:paraId="28EF67F8">
            <w:pPr>
              <w:pStyle w:val="44"/>
              <w:spacing w:beforeLines="0" w:afterLines="0" w:line="240" w:lineRule="auto"/>
              <w:rPr>
                <w:rFonts w:ascii="Times New Roman" w:hAnsi="Times New Roman" w:eastAsia="宋体" w:cs="Times New Roman"/>
                <w:snapToGrid w:val="0"/>
                <w:spacing w:val="-16"/>
                <w:kern w:val="21"/>
                <w:szCs w:val="21"/>
              </w:rPr>
            </w:pPr>
            <w:r>
              <w:rPr>
                <w:rFonts w:ascii="Times New Roman" w:hAnsi="Times New Roman" w:eastAsia="宋体" w:cs="Times New Roman"/>
                <w:snapToGrid w:val="0"/>
                <w:spacing w:val="-16"/>
                <w:kern w:val="21"/>
                <w:szCs w:val="21"/>
              </w:rPr>
              <w:t>t/a（新建项目不填）</w:t>
            </w:r>
            <w:r>
              <w:rPr>
                <w:rFonts w:ascii="Times New Roman" w:hAnsi="Times New Roman" w:eastAsia="宋体" w:cs="Times New Roman"/>
                <w:snapToGrid w:val="0"/>
                <w:spacing w:val="-16"/>
                <w:kern w:val="21"/>
                <w:szCs w:val="21"/>
              </w:rPr>
              <w:fldChar w:fldCharType="begin"/>
            </w:r>
            <w:r>
              <w:rPr>
                <w:rFonts w:ascii="Times New Roman" w:hAnsi="Times New Roman" w:eastAsia="宋体" w:cs="Times New Roman"/>
                <w:snapToGrid w:val="0"/>
                <w:spacing w:val="-16"/>
                <w:kern w:val="21"/>
                <w:szCs w:val="21"/>
              </w:rPr>
              <w:instrText xml:space="preserve"> = 5 \* GB3 \* MERGEFORMAT </w:instrText>
            </w:r>
            <w:r>
              <w:rPr>
                <w:rFonts w:ascii="Times New Roman" w:hAnsi="Times New Roman" w:eastAsia="宋体" w:cs="Times New Roman"/>
                <w:snapToGrid w:val="0"/>
                <w:spacing w:val="-16"/>
                <w:kern w:val="21"/>
                <w:szCs w:val="21"/>
              </w:rPr>
              <w:fldChar w:fldCharType="separate"/>
            </w:r>
            <w:r>
              <w:rPr>
                <w:rFonts w:hint="eastAsia" w:ascii="Times New Roman" w:hAnsi="Times New Roman" w:eastAsia="宋体" w:cs="宋体"/>
                <w:szCs w:val="21"/>
              </w:rPr>
              <w:t>⑤</w:t>
            </w:r>
            <w:r>
              <w:rPr>
                <w:rFonts w:ascii="Times New Roman" w:hAnsi="Times New Roman" w:eastAsia="宋体" w:cs="Times New Roman"/>
                <w:snapToGrid w:val="0"/>
                <w:spacing w:val="-16"/>
                <w:kern w:val="21"/>
                <w:szCs w:val="21"/>
              </w:rPr>
              <w:fldChar w:fldCharType="end"/>
            </w:r>
          </w:p>
        </w:tc>
        <w:tc>
          <w:tcPr>
            <w:tcW w:w="2010" w:type="dxa"/>
            <w:tcBorders>
              <w:top w:val="single" w:color="auto" w:sz="12" w:space="0"/>
              <w:bottom w:val="single" w:color="auto" w:sz="4" w:space="0"/>
            </w:tcBorders>
            <w:tcMar>
              <w:left w:w="28" w:type="dxa"/>
              <w:right w:w="28" w:type="dxa"/>
            </w:tcMar>
            <w:vAlign w:val="center"/>
          </w:tcPr>
          <w:p w14:paraId="0374602D">
            <w:pPr>
              <w:pStyle w:val="44"/>
              <w:spacing w:beforeLines="0" w:afterLines="0" w:line="240" w:lineRule="auto"/>
              <w:rPr>
                <w:rFonts w:ascii="Times New Roman" w:hAnsi="Times New Roman" w:eastAsia="宋体" w:cs="Times New Roman"/>
                <w:snapToGrid w:val="0"/>
                <w:spacing w:val="-16"/>
                <w:kern w:val="21"/>
                <w:szCs w:val="21"/>
              </w:rPr>
            </w:pPr>
            <w:r>
              <w:rPr>
                <w:rFonts w:ascii="Times New Roman" w:hAnsi="Times New Roman" w:eastAsia="宋体" w:cs="Times New Roman"/>
                <w:snapToGrid w:val="0"/>
                <w:spacing w:val="-16"/>
                <w:kern w:val="21"/>
                <w:szCs w:val="21"/>
              </w:rPr>
              <w:t>本项目建成后</w:t>
            </w:r>
          </w:p>
          <w:p w14:paraId="229A51FA">
            <w:pPr>
              <w:pStyle w:val="44"/>
              <w:spacing w:beforeLines="0" w:afterLines="0" w:line="240" w:lineRule="auto"/>
              <w:rPr>
                <w:rFonts w:ascii="Times New Roman" w:hAnsi="Times New Roman" w:eastAsia="宋体" w:cs="Times New Roman"/>
                <w:snapToGrid w:val="0"/>
                <w:spacing w:val="-16"/>
                <w:kern w:val="21"/>
                <w:szCs w:val="21"/>
              </w:rPr>
            </w:pPr>
            <w:r>
              <w:rPr>
                <w:rFonts w:ascii="Times New Roman" w:hAnsi="Times New Roman" w:eastAsia="宋体" w:cs="Times New Roman"/>
                <w:snapToGrid w:val="0"/>
                <w:spacing w:val="-16"/>
                <w:kern w:val="21"/>
                <w:szCs w:val="21"/>
              </w:rPr>
              <w:t>全厂排放量t/a（固体废物产生量）</w:t>
            </w:r>
            <w:r>
              <w:rPr>
                <w:rFonts w:ascii="Times New Roman" w:hAnsi="Times New Roman" w:eastAsia="宋体" w:cs="Times New Roman"/>
                <w:snapToGrid w:val="0"/>
                <w:spacing w:val="-16"/>
                <w:kern w:val="21"/>
                <w:szCs w:val="21"/>
              </w:rPr>
              <w:fldChar w:fldCharType="begin"/>
            </w:r>
            <w:r>
              <w:rPr>
                <w:rFonts w:ascii="Times New Roman" w:hAnsi="Times New Roman" w:eastAsia="宋体" w:cs="Times New Roman"/>
                <w:snapToGrid w:val="0"/>
                <w:spacing w:val="-16"/>
                <w:kern w:val="21"/>
                <w:szCs w:val="21"/>
              </w:rPr>
              <w:instrText xml:space="preserve"> = 6 \* GB3 \* MERGEFORMAT </w:instrText>
            </w:r>
            <w:r>
              <w:rPr>
                <w:rFonts w:ascii="Times New Roman" w:hAnsi="Times New Roman" w:eastAsia="宋体" w:cs="Times New Roman"/>
                <w:snapToGrid w:val="0"/>
                <w:spacing w:val="-16"/>
                <w:kern w:val="21"/>
                <w:szCs w:val="21"/>
              </w:rPr>
              <w:fldChar w:fldCharType="separate"/>
            </w:r>
            <w:r>
              <w:rPr>
                <w:rFonts w:hint="eastAsia" w:ascii="Times New Roman" w:hAnsi="Times New Roman" w:eastAsia="宋体" w:cs="宋体"/>
                <w:szCs w:val="21"/>
              </w:rPr>
              <w:t>⑥</w:t>
            </w:r>
            <w:r>
              <w:rPr>
                <w:rFonts w:ascii="Times New Roman" w:hAnsi="Times New Roman" w:eastAsia="宋体" w:cs="Times New Roman"/>
                <w:snapToGrid w:val="0"/>
                <w:spacing w:val="-16"/>
                <w:kern w:val="21"/>
                <w:szCs w:val="21"/>
              </w:rPr>
              <w:fldChar w:fldCharType="end"/>
            </w:r>
          </w:p>
        </w:tc>
        <w:tc>
          <w:tcPr>
            <w:tcW w:w="1088" w:type="dxa"/>
            <w:tcBorders>
              <w:top w:val="single" w:color="auto" w:sz="12" w:space="0"/>
              <w:bottom w:val="single" w:color="auto" w:sz="4" w:space="0"/>
              <w:right w:val="single" w:color="auto" w:sz="12" w:space="0"/>
            </w:tcBorders>
            <w:tcMar>
              <w:left w:w="28" w:type="dxa"/>
              <w:right w:w="28" w:type="dxa"/>
            </w:tcMar>
            <w:vAlign w:val="center"/>
          </w:tcPr>
          <w:p w14:paraId="15479D12">
            <w:pPr>
              <w:pStyle w:val="44"/>
              <w:spacing w:beforeLines="0" w:afterLines="0" w:line="240" w:lineRule="auto"/>
              <w:rPr>
                <w:rFonts w:ascii="Times New Roman" w:hAnsi="Times New Roman" w:eastAsia="宋体" w:cs="Times New Roman"/>
                <w:snapToGrid w:val="0"/>
                <w:spacing w:val="-6"/>
                <w:kern w:val="21"/>
                <w:szCs w:val="21"/>
              </w:rPr>
            </w:pPr>
            <w:r>
              <w:rPr>
                <w:rFonts w:ascii="Times New Roman" w:hAnsi="Times New Roman" w:eastAsia="宋体" w:cs="Times New Roman"/>
                <w:snapToGrid w:val="0"/>
                <w:spacing w:val="-6"/>
                <w:kern w:val="21"/>
                <w:szCs w:val="21"/>
              </w:rPr>
              <w:t>变化量t/a</w:t>
            </w:r>
          </w:p>
          <w:p w14:paraId="77616652">
            <w:pPr>
              <w:pStyle w:val="44"/>
              <w:spacing w:beforeLines="0" w:afterLines="0" w:line="240" w:lineRule="auto"/>
              <w:rPr>
                <w:rFonts w:ascii="Times New Roman" w:hAnsi="Times New Roman" w:eastAsia="宋体" w:cs="Times New Roman"/>
                <w:snapToGrid w:val="0"/>
                <w:spacing w:val="-6"/>
                <w:kern w:val="21"/>
                <w:szCs w:val="21"/>
              </w:rPr>
            </w:pPr>
            <w:r>
              <w:rPr>
                <w:rFonts w:ascii="Times New Roman" w:hAnsi="Times New Roman" w:eastAsia="宋体" w:cs="Times New Roman"/>
                <w:snapToGrid w:val="0"/>
                <w:spacing w:val="-6"/>
                <w:kern w:val="21"/>
                <w:szCs w:val="21"/>
              </w:rPr>
              <w:fldChar w:fldCharType="begin"/>
            </w:r>
            <w:r>
              <w:rPr>
                <w:rFonts w:ascii="Times New Roman" w:hAnsi="Times New Roman" w:eastAsia="宋体" w:cs="Times New Roman"/>
                <w:snapToGrid w:val="0"/>
                <w:spacing w:val="-6"/>
                <w:kern w:val="21"/>
                <w:szCs w:val="21"/>
              </w:rPr>
              <w:instrText xml:space="preserve"> = 7 \* GB3 \* MERGEFORMAT </w:instrText>
            </w:r>
            <w:r>
              <w:rPr>
                <w:rFonts w:ascii="Times New Roman" w:hAnsi="Times New Roman" w:eastAsia="宋体" w:cs="Times New Roman"/>
                <w:snapToGrid w:val="0"/>
                <w:spacing w:val="-6"/>
                <w:kern w:val="21"/>
                <w:szCs w:val="21"/>
              </w:rPr>
              <w:fldChar w:fldCharType="separate"/>
            </w:r>
            <w:r>
              <w:rPr>
                <w:rFonts w:hint="eastAsia" w:ascii="Times New Roman" w:hAnsi="Times New Roman" w:eastAsia="宋体" w:cs="宋体"/>
                <w:szCs w:val="21"/>
              </w:rPr>
              <w:t>⑦</w:t>
            </w:r>
            <w:r>
              <w:rPr>
                <w:rFonts w:ascii="Times New Roman" w:hAnsi="Times New Roman" w:eastAsia="宋体" w:cs="Times New Roman"/>
                <w:snapToGrid w:val="0"/>
                <w:spacing w:val="-6"/>
                <w:kern w:val="21"/>
                <w:szCs w:val="21"/>
              </w:rPr>
              <w:fldChar w:fldCharType="end"/>
            </w:r>
          </w:p>
        </w:tc>
      </w:tr>
      <w:tr w14:paraId="3F77FD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restart"/>
            <w:tcBorders>
              <w:top w:val="single" w:color="auto" w:sz="4" w:space="0"/>
              <w:left w:val="single" w:color="auto" w:sz="12" w:space="0"/>
              <w:tl2br w:val="nil"/>
            </w:tcBorders>
            <w:tcMar>
              <w:left w:w="28" w:type="dxa"/>
              <w:right w:w="28" w:type="dxa"/>
            </w:tcMar>
            <w:vAlign w:val="center"/>
          </w:tcPr>
          <w:p w14:paraId="705EAFD8">
            <w:pPr>
              <w:pStyle w:val="44"/>
              <w:spacing w:beforeLines="0" w:afterLines="0" w:line="240" w:lineRule="auto"/>
              <w:rPr>
                <w:rFonts w:ascii="Times New Roman" w:hAnsi="Times New Roman" w:eastAsia="宋体" w:cs="Times New Roman"/>
                <w:snapToGrid w:val="0"/>
                <w:spacing w:val="-6"/>
                <w:kern w:val="21"/>
                <w:szCs w:val="21"/>
              </w:rPr>
            </w:pPr>
            <w:r>
              <w:rPr>
                <w:rFonts w:ascii="Times New Roman" w:hAnsi="Times New Roman" w:eastAsia="宋体" w:cs="Times New Roman"/>
                <w:snapToGrid w:val="0"/>
                <w:spacing w:val="-6"/>
                <w:kern w:val="21"/>
                <w:szCs w:val="21"/>
              </w:rPr>
              <w:t>废气</w:t>
            </w:r>
          </w:p>
        </w:tc>
        <w:tc>
          <w:tcPr>
            <w:tcW w:w="2089" w:type="dxa"/>
            <w:tcBorders>
              <w:top w:val="single" w:color="auto" w:sz="4" w:space="0"/>
              <w:bottom w:val="single" w:color="auto" w:sz="4" w:space="0"/>
            </w:tcBorders>
            <w:tcMar>
              <w:left w:w="28" w:type="dxa"/>
              <w:right w:w="28" w:type="dxa"/>
            </w:tcMar>
            <w:vAlign w:val="center"/>
          </w:tcPr>
          <w:p w14:paraId="7B8CEEF8">
            <w:pPr>
              <w:pStyle w:val="44"/>
              <w:spacing w:beforeLines="0" w:afterLines="0" w:line="240" w:lineRule="auto"/>
              <w:rPr>
                <w:rFonts w:ascii="Times New Roman" w:hAnsi="Times New Roman" w:eastAsia="宋体" w:cs="Times New Roman"/>
                <w:snapToGrid w:val="0"/>
                <w:spacing w:val="-6"/>
                <w:kern w:val="21"/>
                <w:szCs w:val="21"/>
              </w:rPr>
            </w:pPr>
            <w:r>
              <w:rPr>
                <w:rFonts w:ascii="Times New Roman" w:hAnsi="Times New Roman" w:eastAsia="宋体" w:cs="Times New Roman"/>
                <w:snapToGrid w:val="0"/>
                <w:spacing w:val="-6"/>
                <w:kern w:val="21"/>
                <w:szCs w:val="21"/>
              </w:rPr>
              <w:t>颗粒物</w:t>
            </w:r>
          </w:p>
        </w:tc>
        <w:tc>
          <w:tcPr>
            <w:tcW w:w="1701" w:type="dxa"/>
            <w:tcBorders>
              <w:top w:val="single" w:color="auto" w:sz="4" w:space="0"/>
              <w:bottom w:val="single" w:color="auto" w:sz="4" w:space="0"/>
            </w:tcBorders>
            <w:tcMar>
              <w:left w:w="28" w:type="dxa"/>
              <w:right w:w="28" w:type="dxa"/>
            </w:tcMar>
            <w:vAlign w:val="center"/>
          </w:tcPr>
          <w:p w14:paraId="68B8A9E2">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89.3</w:t>
            </w:r>
          </w:p>
        </w:tc>
        <w:tc>
          <w:tcPr>
            <w:tcW w:w="992" w:type="dxa"/>
            <w:tcBorders>
              <w:top w:val="single" w:color="auto" w:sz="4" w:space="0"/>
              <w:bottom w:val="single" w:color="auto" w:sz="4" w:space="0"/>
            </w:tcBorders>
            <w:tcMar>
              <w:left w:w="28" w:type="dxa"/>
              <w:right w:w="28" w:type="dxa"/>
            </w:tcMar>
            <w:vAlign w:val="center"/>
          </w:tcPr>
          <w:p w14:paraId="0F5A44CE">
            <w:pPr>
              <w:pStyle w:val="44"/>
              <w:spacing w:beforeLines="0" w:afterLines="0" w:line="240" w:lineRule="auto"/>
              <w:rPr>
                <w:rFonts w:ascii="Times New Roman" w:hAnsi="Times New Roman" w:eastAsia="宋体" w:cs="Times New Roman"/>
                <w:snapToGrid w:val="0"/>
                <w:spacing w:val="-6"/>
                <w:kern w:val="21"/>
                <w:szCs w:val="21"/>
              </w:rPr>
            </w:pPr>
          </w:p>
        </w:tc>
        <w:tc>
          <w:tcPr>
            <w:tcW w:w="1560" w:type="dxa"/>
            <w:tcBorders>
              <w:top w:val="single" w:color="auto" w:sz="4" w:space="0"/>
              <w:bottom w:val="single" w:color="auto" w:sz="4" w:space="0"/>
            </w:tcBorders>
            <w:tcMar>
              <w:left w:w="28" w:type="dxa"/>
              <w:right w:w="28" w:type="dxa"/>
            </w:tcMar>
            <w:vAlign w:val="center"/>
          </w:tcPr>
          <w:p w14:paraId="150E566D">
            <w:pPr>
              <w:pStyle w:val="44"/>
              <w:spacing w:beforeLines="0" w:afterLines="0" w:line="240" w:lineRule="auto"/>
              <w:rPr>
                <w:rFonts w:ascii="Times New Roman" w:hAnsi="Times New Roman" w:eastAsia="宋体" w:cs="Times New Roman"/>
                <w:snapToGrid w:val="0"/>
                <w:spacing w:val="-6"/>
                <w:kern w:val="21"/>
                <w:szCs w:val="21"/>
              </w:rPr>
            </w:pPr>
          </w:p>
        </w:tc>
        <w:tc>
          <w:tcPr>
            <w:tcW w:w="1771" w:type="dxa"/>
            <w:tcBorders>
              <w:top w:val="single" w:color="auto" w:sz="4" w:space="0"/>
              <w:bottom w:val="single" w:color="auto" w:sz="4" w:space="0"/>
            </w:tcBorders>
            <w:tcMar>
              <w:left w:w="28" w:type="dxa"/>
              <w:right w:w="28" w:type="dxa"/>
            </w:tcMar>
            <w:vAlign w:val="center"/>
          </w:tcPr>
          <w:p w14:paraId="621640ED">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5.042</w:t>
            </w:r>
          </w:p>
        </w:tc>
        <w:tc>
          <w:tcPr>
            <w:tcW w:w="1322" w:type="dxa"/>
            <w:tcBorders>
              <w:top w:val="single" w:color="auto" w:sz="4" w:space="0"/>
              <w:bottom w:val="single" w:color="auto" w:sz="4" w:space="0"/>
            </w:tcBorders>
            <w:tcMar>
              <w:left w:w="28" w:type="dxa"/>
              <w:right w:w="28" w:type="dxa"/>
            </w:tcMar>
            <w:vAlign w:val="center"/>
          </w:tcPr>
          <w:p w14:paraId="0AC5C02F">
            <w:pPr>
              <w:pStyle w:val="44"/>
              <w:spacing w:beforeLines="0" w:afterLines="0" w:line="240" w:lineRule="auto"/>
              <w:rPr>
                <w:rFonts w:ascii="Times New Roman" w:hAnsi="Times New Roman" w:eastAsia="宋体" w:cs="Times New Roman"/>
                <w:snapToGrid w:val="0"/>
                <w:spacing w:val="-16"/>
                <w:kern w:val="21"/>
                <w:szCs w:val="21"/>
              </w:rPr>
            </w:pPr>
            <w:r>
              <w:rPr>
                <w:rFonts w:hint="eastAsia" w:ascii="Times New Roman" w:hAnsi="Times New Roman" w:eastAsia="宋体" w:cs="Times New Roman"/>
                <w:snapToGrid w:val="0"/>
                <w:spacing w:val="-16"/>
                <w:kern w:val="21"/>
                <w:szCs w:val="21"/>
              </w:rPr>
              <w:t>16.7</w:t>
            </w:r>
          </w:p>
        </w:tc>
        <w:tc>
          <w:tcPr>
            <w:tcW w:w="2010" w:type="dxa"/>
            <w:tcBorders>
              <w:top w:val="single" w:color="auto" w:sz="4" w:space="0"/>
              <w:bottom w:val="single" w:color="auto" w:sz="4" w:space="0"/>
            </w:tcBorders>
            <w:tcMar>
              <w:left w:w="28" w:type="dxa"/>
              <w:right w:w="28" w:type="dxa"/>
            </w:tcMar>
            <w:vAlign w:val="center"/>
          </w:tcPr>
          <w:p w14:paraId="5F6A76C1">
            <w:pPr>
              <w:pStyle w:val="44"/>
              <w:spacing w:beforeLines="0" w:afterLines="0" w:line="240" w:lineRule="auto"/>
              <w:rPr>
                <w:rFonts w:ascii="Times New Roman" w:hAnsi="Times New Roman" w:eastAsia="宋体" w:cs="Times New Roman"/>
                <w:snapToGrid w:val="0"/>
                <w:spacing w:val="-16"/>
                <w:kern w:val="21"/>
                <w:szCs w:val="21"/>
              </w:rPr>
            </w:pPr>
            <w:r>
              <w:rPr>
                <w:rFonts w:hint="eastAsia" w:ascii="Times New Roman" w:hAnsi="Times New Roman" w:eastAsia="宋体" w:cs="Times New Roman"/>
                <w:snapToGrid w:val="0"/>
                <w:spacing w:val="-16"/>
                <w:kern w:val="21"/>
                <w:szCs w:val="21"/>
              </w:rPr>
              <w:t>77.642</w:t>
            </w:r>
          </w:p>
        </w:tc>
        <w:tc>
          <w:tcPr>
            <w:tcW w:w="1088" w:type="dxa"/>
            <w:tcBorders>
              <w:top w:val="single" w:color="auto" w:sz="4" w:space="0"/>
              <w:bottom w:val="single" w:color="auto" w:sz="4" w:space="0"/>
              <w:right w:val="single" w:color="auto" w:sz="12" w:space="0"/>
            </w:tcBorders>
            <w:tcMar>
              <w:left w:w="28" w:type="dxa"/>
              <w:right w:w="28" w:type="dxa"/>
            </w:tcMar>
            <w:vAlign w:val="center"/>
          </w:tcPr>
          <w:p w14:paraId="125AC659">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-11.658</w:t>
            </w:r>
          </w:p>
        </w:tc>
      </w:tr>
      <w:tr w14:paraId="35905B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continue"/>
            <w:tcBorders>
              <w:left w:val="single" w:color="auto" w:sz="12" w:space="0"/>
              <w:tl2br w:val="nil"/>
            </w:tcBorders>
            <w:tcMar>
              <w:left w:w="28" w:type="dxa"/>
              <w:right w:w="28" w:type="dxa"/>
            </w:tcMar>
            <w:vAlign w:val="center"/>
          </w:tcPr>
          <w:p w14:paraId="79564743">
            <w:pPr>
              <w:pStyle w:val="44"/>
              <w:spacing w:beforeLines="0" w:afterLines="0" w:line="240" w:lineRule="auto"/>
              <w:rPr>
                <w:rFonts w:ascii="Times New Roman" w:hAnsi="Times New Roman" w:eastAsia="宋体" w:cs="Times New Roman"/>
                <w:snapToGrid w:val="0"/>
                <w:spacing w:val="-6"/>
                <w:kern w:val="21"/>
                <w:szCs w:val="21"/>
              </w:rPr>
            </w:pPr>
          </w:p>
        </w:tc>
        <w:tc>
          <w:tcPr>
            <w:tcW w:w="2089" w:type="dxa"/>
            <w:tcBorders>
              <w:top w:val="single" w:color="auto" w:sz="4" w:space="0"/>
              <w:bottom w:val="single" w:color="auto" w:sz="4" w:space="0"/>
            </w:tcBorders>
            <w:tcMar>
              <w:left w:w="28" w:type="dxa"/>
              <w:right w:w="28" w:type="dxa"/>
            </w:tcMar>
            <w:vAlign w:val="center"/>
          </w:tcPr>
          <w:p w14:paraId="7DF8DC6F">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SO</w:t>
            </w:r>
            <w:r>
              <w:rPr>
                <w:rFonts w:ascii="Times New Roman" w:hAnsi="Times New Roman" w:eastAsia="宋体" w:cs="Times New Roman"/>
                <w:snapToGrid w:val="0"/>
                <w:spacing w:val="-6"/>
                <w:kern w:val="21"/>
                <w:szCs w:val="21"/>
                <w:vertAlign w:val="subscript"/>
              </w:rPr>
              <w:t>2</w:t>
            </w:r>
          </w:p>
        </w:tc>
        <w:tc>
          <w:tcPr>
            <w:tcW w:w="1701" w:type="dxa"/>
            <w:tcBorders>
              <w:top w:val="single" w:color="auto" w:sz="4" w:space="0"/>
              <w:bottom w:val="single" w:color="auto" w:sz="4" w:space="0"/>
            </w:tcBorders>
            <w:tcMar>
              <w:left w:w="28" w:type="dxa"/>
              <w:right w:w="28" w:type="dxa"/>
            </w:tcMar>
            <w:vAlign w:val="center"/>
          </w:tcPr>
          <w:p w14:paraId="4F2D7B58">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96.9</w:t>
            </w:r>
          </w:p>
        </w:tc>
        <w:tc>
          <w:tcPr>
            <w:tcW w:w="992" w:type="dxa"/>
            <w:tcBorders>
              <w:top w:val="single" w:color="auto" w:sz="4" w:space="0"/>
              <w:bottom w:val="single" w:color="auto" w:sz="4" w:space="0"/>
            </w:tcBorders>
            <w:tcMar>
              <w:left w:w="28" w:type="dxa"/>
              <w:right w:w="28" w:type="dxa"/>
            </w:tcMar>
            <w:vAlign w:val="center"/>
          </w:tcPr>
          <w:p w14:paraId="1EE1C3E6">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145.1</w:t>
            </w:r>
          </w:p>
        </w:tc>
        <w:tc>
          <w:tcPr>
            <w:tcW w:w="1560" w:type="dxa"/>
            <w:tcBorders>
              <w:top w:val="single" w:color="auto" w:sz="4" w:space="0"/>
              <w:bottom w:val="single" w:color="auto" w:sz="4" w:space="0"/>
            </w:tcBorders>
            <w:tcMar>
              <w:left w:w="28" w:type="dxa"/>
              <w:right w:w="28" w:type="dxa"/>
            </w:tcMar>
            <w:vAlign w:val="center"/>
          </w:tcPr>
          <w:p w14:paraId="56251BBB">
            <w:pPr>
              <w:pStyle w:val="44"/>
              <w:spacing w:beforeLines="0" w:afterLines="0" w:line="240" w:lineRule="auto"/>
              <w:rPr>
                <w:rFonts w:ascii="Times New Roman" w:hAnsi="Times New Roman" w:eastAsia="宋体" w:cs="Times New Roman"/>
                <w:snapToGrid w:val="0"/>
                <w:spacing w:val="-6"/>
                <w:kern w:val="21"/>
                <w:szCs w:val="21"/>
              </w:rPr>
            </w:pPr>
          </w:p>
        </w:tc>
        <w:tc>
          <w:tcPr>
            <w:tcW w:w="1771" w:type="dxa"/>
            <w:tcBorders>
              <w:top w:val="single" w:color="auto" w:sz="4" w:space="0"/>
              <w:bottom w:val="single" w:color="auto" w:sz="4" w:space="0"/>
            </w:tcBorders>
            <w:tcMar>
              <w:left w:w="28" w:type="dxa"/>
              <w:right w:w="28" w:type="dxa"/>
            </w:tcMar>
            <w:vAlign w:val="center"/>
          </w:tcPr>
          <w:p w14:paraId="68A5B238">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21.879</w:t>
            </w:r>
          </w:p>
        </w:tc>
        <w:tc>
          <w:tcPr>
            <w:tcW w:w="1322" w:type="dxa"/>
            <w:tcBorders>
              <w:top w:val="single" w:color="auto" w:sz="4" w:space="0"/>
              <w:bottom w:val="single" w:color="auto" w:sz="4" w:space="0"/>
            </w:tcBorders>
            <w:tcMar>
              <w:left w:w="28" w:type="dxa"/>
              <w:right w:w="28" w:type="dxa"/>
            </w:tcMar>
            <w:vAlign w:val="center"/>
          </w:tcPr>
          <w:p w14:paraId="37B2EDA7">
            <w:pPr>
              <w:pStyle w:val="44"/>
              <w:spacing w:beforeLines="0" w:afterLines="0" w:line="240" w:lineRule="auto"/>
              <w:rPr>
                <w:rFonts w:ascii="Times New Roman" w:hAnsi="Times New Roman" w:eastAsia="宋体" w:cs="Times New Roman"/>
                <w:snapToGrid w:val="0"/>
                <w:spacing w:val="-16"/>
                <w:kern w:val="21"/>
                <w:szCs w:val="21"/>
              </w:rPr>
            </w:pPr>
            <w:r>
              <w:rPr>
                <w:rFonts w:hint="eastAsia" w:ascii="Times New Roman" w:hAnsi="Times New Roman" w:eastAsia="宋体" w:cs="Times New Roman"/>
                <w:snapToGrid w:val="0"/>
                <w:spacing w:val="-16"/>
                <w:kern w:val="21"/>
                <w:szCs w:val="21"/>
              </w:rPr>
              <w:t>73.6</w:t>
            </w:r>
          </w:p>
        </w:tc>
        <w:tc>
          <w:tcPr>
            <w:tcW w:w="2010" w:type="dxa"/>
            <w:tcBorders>
              <w:top w:val="single" w:color="auto" w:sz="4" w:space="0"/>
              <w:bottom w:val="single" w:color="auto" w:sz="4" w:space="0"/>
            </w:tcBorders>
            <w:tcMar>
              <w:left w:w="28" w:type="dxa"/>
              <w:right w:w="28" w:type="dxa"/>
            </w:tcMar>
            <w:vAlign w:val="center"/>
          </w:tcPr>
          <w:p w14:paraId="6653FB4E">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45.179</w:t>
            </w:r>
          </w:p>
        </w:tc>
        <w:tc>
          <w:tcPr>
            <w:tcW w:w="1088" w:type="dxa"/>
            <w:tcBorders>
              <w:top w:val="single" w:color="auto" w:sz="4" w:space="0"/>
              <w:bottom w:val="single" w:color="auto" w:sz="4" w:space="0"/>
              <w:right w:val="single" w:color="auto" w:sz="12" w:space="0"/>
            </w:tcBorders>
            <w:tcMar>
              <w:left w:w="28" w:type="dxa"/>
              <w:right w:w="28" w:type="dxa"/>
            </w:tcMar>
            <w:vAlign w:val="center"/>
          </w:tcPr>
          <w:p w14:paraId="3EDCBECC">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-51.721</w:t>
            </w:r>
          </w:p>
        </w:tc>
      </w:tr>
      <w:tr w14:paraId="4916C7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continue"/>
            <w:tcBorders>
              <w:left w:val="single" w:color="auto" w:sz="12" w:space="0"/>
              <w:tl2br w:val="nil"/>
            </w:tcBorders>
            <w:tcMar>
              <w:left w:w="28" w:type="dxa"/>
              <w:right w:w="28" w:type="dxa"/>
            </w:tcMar>
            <w:vAlign w:val="center"/>
          </w:tcPr>
          <w:p w14:paraId="7E0C3001">
            <w:pPr>
              <w:pStyle w:val="44"/>
              <w:spacing w:beforeLines="0" w:afterLines="0" w:line="240" w:lineRule="auto"/>
              <w:rPr>
                <w:rFonts w:ascii="Times New Roman" w:hAnsi="Times New Roman" w:eastAsia="宋体" w:cs="Times New Roman"/>
                <w:snapToGrid w:val="0"/>
                <w:spacing w:val="-6"/>
                <w:kern w:val="21"/>
                <w:szCs w:val="21"/>
              </w:rPr>
            </w:pPr>
          </w:p>
        </w:tc>
        <w:tc>
          <w:tcPr>
            <w:tcW w:w="2089" w:type="dxa"/>
            <w:tcBorders>
              <w:top w:val="single" w:color="auto" w:sz="4" w:space="0"/>
              <w:bottom w:val="single" w:color="auto" w:sz="4" w:space="0"/>
            </w:tcBorders>
            <w:tcMar>
              <w:left w:w="28" w:type="dxa"/>
              <w:right w:w="28" w:type="dxa"/>
            </w:tcMar>
            <w:vAlign w:val="center"/>
          </w:tcPr>
          <w:p w14:paraId="349A80B0">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NOx</w:t>
            </w:r>
          </w:p>
        </w:tc>
        <w:tc>
          <w:tcPr>
            <w:tcW w:w="1701" w:type="dxa"/>
            <w:tcBorders>
              <w:top w:val="single" w:color="auto" w:sz="4" w:space="0"/>
              <w:bottom w:val="single" w:color="auto" w:sz="4" w:space="0"/>
            </w:tcBorders>
            <w:tcMar>
              <w:left w:w="28" w:type="dxa"/>
              <w:right w:w="28" w:type="dxa"/>
            </w:tcMar>
            <w:vAlign w:val="center"/>
          </w:tcPr>
          <w:p w14:paraId="2647B030">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99.0</w:t>
            </w:r>
          </w:p>
        </w:tc>
        <w:tc>
          <w:tcPr>
            <w:tcW w:w="992" w:type="dxa"/>
            <w:tcBorders>
              <w:top w:val="single" w:color="auto" w:sz="4" w:space="0"/>
              <w:bottom w:val="single" w:color="auto" w:sz="4" w:space="0"/>
            </w:tcBorders>
            <w:tcMar>
              <w:left w:w="28" w:type="dxa"/>
              <w:right w:w="28" w:type="dxa"/>
            </w:tcMar>
            <w:vAlign w:val="center"/>
          </w:tcPr>
          <w:p w14:paraId="273EE985">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99.0</w:t>
            </w:r>
          </w:p>
        </w:tc>
        <w:tc>
          <w:tcPr>
            <w:tcW w:w="1560" w:type="dxa"/>
            <w:tcBorders>
              <w:top w:val="single" w:color="auto" w:sz="4" w:space="0"/>
              <w:bottom w:val="single" w:color="auto" w:sz="4" w:space="0"/>
            </w:tcBorders>
            <w:tcMar>
              <w:left w:w="28" w:type="dxa"/>
              <w:right w:w="28" w:type="dxa"/>
            </w:tcMar>
            <w:vAlign w:val="center"/>
          </w:tcPr>
          <w:p w14:paraId="3391631E">
            <w:pPr>
              <w:pStyle w:val="44"/>
              <w:spacing w:beforeLines="0" w:afterLines="0" w:line="240" w:lineRule="auto"/>
              <w:rPr>
                <w:rFonts w:ascii="Times New Roman" w:hAnsi="Times New Roman" w:eastAsia="宋体" w:cs="Times New Roman"/>
                <w:snapToGrid w:val="0"/>
                <w:spacing w:val="-6"/>
                <w:kern w:val="21"/>
                <w:szCs w:val="21"/>
              </w:rPr>
            </w:pPr>
          </w:p>
        </w:tc>
        <w:tc>
          <w:tcPr>
            <w:tcW w:w="1771" w:type="dxa"/>
            <w:tcBorders>
              <w:top w:val="single" w:color="auto" w:sz="4" w:space="0"/>
              <w:bottom w:val="single" w:color="auto" w:sz="4" w:space="0"/>
            </w:tcBorders>
            <w:tcMar>
              <w:left w:w="28" w:type="dxa"/>
              <w:right w:w="28" w:type="dxa"/>
            </w:tcMar>
            <w:vAlign w:val="center"/>
          </w:tcPr>
          <w:p w14:paraId="6B943A88">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60.713</w:t>
            </w:r>
          </w:p>
        </w:tc>
        <w:tc>
          <w:tcPr>
            <w:tcW w:w="1322" w:type="dxa"/>
            <w:tcBorders>
              <w:top w:val="single" w:color="auto" w:sz="4" w:space="0"/>
              <w:bottom w:val="single" w:color="auto" w:sz="4" w:space="0"/>
            </w:tcBorders>
            <w:tcMar>
              <w:left w:w="28" w:type="dxa"/>
              <w:right w:w="28" w:type="dxa"/>
            </w:tcMar>
            <w:vAlign w:val="center"/>
          </w:tcPr>
          <w:p w14:paraId="30965BEF">
            <w:pPr>
              <w:pStyle w:val="44"/>
              <w:spacing w:beforeLines="0" w:afterLines="0" w:line="240" w:lineRule="auto"/>
              <w:rPr>
                <w:rFonts w:ascii="Times New Roman" w:hAnsi="Times New Roman" w:eastAsia="宋体" w:cs="Times New Roman"/>
                <w:snapToGrid w:val="0"/>
                <w:spacing w:val="-16"/>
                <w:kern w:val="21"/>
                <w:szCs w:val="21"/>
              </w:rPr>
            </w:pPr>
            <w:r>
              <w:rPr>
                <w:rFonts w:hint="eastAsia" w:ascii="Times New Roman" w:hAnsi="Times New Roman" w:eastAsia="宋体" w:cs="Times New Roman"/>
                <w:snapToGrid w:val="0"/>
                <w:spacing w:val="-16"/>
                <w:kern w:val="21"/>
                <w:szCs w:val="21"/>
              </w:rPr>
              <w:t>51.957</w:t>
            </w:r>
          </w:p>
        </w:tc>
        <w:tc>
          <w:tcPr>
            <w:tcW w:w="2010" w:type="dxa"/>
            <w:tcBorders>
              <w:top w:val="single" w:color="auto" w:sz="4" w:space="0"/>
              <w:bottom w:val="single" w:color="auto" w:sz="4" w:space="0"/>
            </w:tcBorders>
            <w:tcMar>
              <w:left w:w="28" w:type="dxa"/>
              <w:right w:w="28" w:type="dxa"/>
            </w:tcMar>
            <w:vAlign w:val="center"/>
          </w:tcPr>
          <w:p w14:paraId="1351A24A">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107.756</w:t>
            </w:r>
          </w:p>
        </w:tc>
        <w:tc>
          <w:tcPr>
            <w:tcW w:w="1088" w:type="dxa"/>
            <w:tcBorders>
              <w:top w:val="single" w:color="auto" w:sz="4" w:space="0"/>
              <w:bottom w:val="single" w:color="auto" w:sz="4" w:space="0"/>
              <w:right w:val="single" w:color="auto" w:sz="12" w:space="0"/>
            </w:tcBorders>
            <w:tcMar>
              <w:left w:w="28" w:type="dxa"/>
              <w:right w:w="28" w:type="dxa"/>
            </w:tcMar>
            <w:vAlign w:val="center"/>
          </w:tcPr>
          <w:p w14:paraId="3DCBA8C8">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8.756</w:t>
            </w:r>
          </w:p>
        </w:tc>
      </w:tr>
      <w:tr w14:paraId="7407F3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continue"/>
            <w:tcBorders>
              <w:left w:val="single" w:color="auto" w:sz="12" w:space="0"/>
              <w:tl2br w:val="nil"/>
            </w:tcBorders>
            <w:tcMar>
              <w:left w:w="28" w:type="dxa"/>
              <w:right w:w="28" w:type="dxa"/>
            </w:tcMar>
            <w:vAlign w:val="center"/>
          </w:tcPr>
          <w:p w14:paraId="43594914">
            <w:pPr>
              <w:pStyle w:val="44"/>
              <w:spacing w:beforeLines="0" w:afterLines="0" w:line="240" w:lineRule="auto"/>
              <w:rPr>
                <w:rFonts w:ascii="Times New Roman" w:hAnsi="Times New Roman" w:eastAsia="宋体" w:cs="Times New Roman"/>
                <w:snapToGrid w:val="0"/>
                <w:spacing w:val="-6"/>
                <w:kern w:val="21"/>
                <w:szCs w:val="21"/>
              </w:rPr>
            </w:pPr>
          </w:p>
        </w:tc>
        <w:tc>
          <w:tcPr>
            <w:tcW w:w="2089" w:type="dxa"/>
            <w:tcBorders>
              <w:top w:val="single" w:color="auto" w:sz="4" w:space="0"/>
              <w:bottom w:val="single" w:color="auto" w:sz="4" w:space="0"/>
            </w:tcBorders>
            <w:tcMar>
              <w:left w:w="28" w:type="dxa"/>
              <w:right w:w="28" w:type="dxa"/>
            </w:tcMar>
            <w:vAlign w:val="center"/>
          </w:tcPr>
          <w:p w14:paraId="53555975">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汞及其化合物</w:t>
            </w:r>
          </w:p>
        </w:tc>
        <w:tc>
          <w:tcPr>
            <w:tcW w:w="1701" w:type="dxa"/>
            <w:tcBorders>
              <w:top w:val="single" w:color="auto" w:sz="4" w:space="0"/>
              <w:bottom w:val="single" w:color="auto" w:sz="4" w:space="0"/>
            </w:tcBorders>
            <w:tcMar>
              <w:left w:w="28" w:type="dxa"/>
              <w:right w:w="28" w:type="dxa"/>
            </w:tcMar>
            <w:vAlign w:val="center"/>
          </w:tcPr>
          <w:p w14:paraId="0C55CB81">
            <w:pPr>
              <w:pStyle w:val="44"/>
              <w:spacing w:beforeLines="0" w:afterLines="0" w:line="240" w:lineRule="auto"/>
              <w:rPr>
                <w:rFonts w:ascii="Times New Roman" w:hAnsi="Times New Roman" w:eastAsia="宋体" w:cs="Times New Roman"/>
                <w:snapToGrid w:val="0"/>
                <w:spacing w:val="-6"/>
                <w:kern w:val="21"/>
                <w:szCs w:val="21"/>
              </w:rPr>
            </w:pPr>
          </w:p>
        </w:tc>
        <w:tc>
          <w:tcPr>
            <w:tcW w:w="992" w:type="dxa"/>
            <w:tcBorders>
              <w:top w:val="single" w:color="auto" w:sz="4" w:space="0"/>
              <w:bottom w:val="single" w:color="auto" w:sz="4" w:space="0"/>
            </w:tcBorders>
            <w:tcMar>
              <w:left w:w="28" w:type="dxa"/>
              <w:right w:w="28" w:type="dxa"/>
            </w:tcMar>
            <w:vAlign w:val="center"/>
          </w:tcPr>
          <w:p w14:paraId="526CB9DA">
            <w:pPr>
              <w:pStyle w:val="44"/>
              <w:spacing w:beforeLines="0" w:afterLines="0" w:line="240" w:lineRule="auto"/>
              <w:rPr>
                <w:rFonts w:ascii="Times New Roman" w:hAnsi="Times New Roman" w:eastAsia="宋体" w:cs="Times New Roman"/>
                <w:snapToGrid w:val="0"/>
                <w:spacing w:val="-6"/>
                <w:kern w:val="21"/>
                <w:szCs w:val="21"/>
              </w:rPr>
            </w:pPr>
          </w:p>
        </w:tc>
        <w:tc>
          <w:tcPr>
            <w:tcW w:w="1560" w:type="dxa"/>
            <w:tcBorders>
              <w:top w:val="single" w:color="auto" w:sz="4" w:space="0"/>
              <w:bottom w:val="single" w:color="auto" w:sz="4" w:space="0"/>
            </w:tcBorders>
            <w:tcMar>
              <w:left w:w="28" w:type="dxa"/>
              <w:right w:w="28" w:type="dxa"/>
            </w:tcMar>
            <w:vAlign w:val="center"/>
          </w:tcPr>
          <w:p w14:paraId="3022BD8F">
            <w:pPr>
              <w:pStyle w:val="44"/>
              <w:spacing w:beforeLines="0" w:afterLines="0" w:line="240" w:lineRule="auto"/>
              <w:rPr>
                <w:rFonts w:ascii="Times New Roman" w:hAnsi="Times New Roman" w:eastAsia="宋体" w:cs="Times New Roman"/>
                <w:snapToGrid w:val="0"/>
                <w:spacing w:val="-6"/>
                <w:kern w:val="21"/>
                <w:szCs w:val="21"/>
              </w:rPr>
            </w:pPr>
          </w:p>
        </w:tc>
        <w:tc>
          <w:tcPr>
            <w:tcW w:w="1771" w:type="dxa"/>
            <w:tcBorders>
              <w:top w:val="single" w:color="auto" w:sz="4" w:space="0"/>
              <w:bottom w:val="single" w:color="auto" w:sz="4" w:space="0"/>
            </w:tcBorders>
            <w:tcMar>
              <w:left w:w="28" w:type="dxa"/>
              <w:right w:w="28" w:type="dxa"/>
            </w:tcMar>
            <w:vAlign w:val="center"/>
          </w:tcPr>
          <w:p w14:paraId="3FCED6DD">
            <w:pPr>
              <w:pStyle w:val="44"/>
              <w:spacing w:beforeLines="0" w:afterLines="0" w:line="240" w:lineRule="auto"/>
              <w:rPr>
                <w:rFonts w:ascii="Times New Roman" w:hAnsi="Times New Roman" w:eastAsia="宋体" w:cs="Times New Roman"/>
              </w:rPr>
            </w:pPr>
            <w:r>
              <w:rPr>
                <w:rFonts w:hint="eastAsia" w:ascii="Times New Roman" w:hAnsi="Times New Roman" w:eastAsia="宋体" w:cs="Times New Roman"/>
              </w:rPr>
              <w:t>0.00</w:t>
            </w:r>
            <w:r>
              <w:rPr>
                <w:rFonts w:ascii="Times New Roman" w:hAnsi="Times New Roman" w:eastAsia="宋体" w:cs="Times New Roman"/>
              </w:rPr>
              <w:t>3</w:t>
            </w:r>
          </w:p>
        </w:tc>
        <w:tc>
          <w:tcPr>
            <w:tcW w:w="1322" w:type="dxa"/>
            <w:tcBorders>
              <w:top w:val="single" w:color="auto" w:sz="4" w:space="0"/>
              <w:bottom w:val="single" w:color="auto" w:sz="4" w:space="0"/>
            </w:tcBorders>
            <w:tcMar>
              <w:left w:w="28" w:type="dxa"/>
              <w:right w:w="28" w:type="dxa"/>
            </w:tcMar>
            <w:vAlign w:val="center"/>
          </w:tcPr>
          <w:p w14:paraId="7D15B3CC">
            <w:pPr>
              <w:pStyle w:val="44"/>
              <w:spacing w:beforeLines="0" w:afterLines="0" w:line="240" w:lineRule="auto"/>
              <w:rPr>
                <w:rFonts w:ascii="Times New Roman" w:hAnsi="Times New Roman" w:eastAsia="宋体" w:cs="Times New Roman"/>
                <w:snapToGrid w:val="0"/>
                <w:spacing w:val="-16"/>
                <w:kern w:val="21"/>
                <w:szCs w:val="21"/>
              </w:rPr>
            </w:pPr>
          </w:p>
        </w:tc>
        <w:tc>
          <w:tcPr>
            <w:tcW w:w="2010" w:type="dxa"/>
            <w:tcBorders>
              <w:top w:val="single" w:color="auto" w:sz="4" w:space="0"/>
              <w:bottom w:val="single" w:color="auto" w:sz="4" w:space="0"/>
            </w:tcBorders>
            <w:tcMar>
              <w:left w:w="28" w:type="dxa"/>
              <w:right w:w="28" w:type="dxa"/>
            </w:tcMar>
            <w:vAlign w:val="center"/>
          </w:tcPr>
          <w:p w14:paraId="449F9F4E">
            <w:pPr>
              <w:pStyle w:val="44"/>
              <w:spacing w:beforeLines="0" w:afterLines="0" w:line="240" w:lineRule="auto"/>
              <w:rPr>
                <w:rFonts w:ascii="Times New Roman" w:hAnsi="Times New Roman" w:eastAsia="宋体" w:cs="Times New Roman"/>
              </w:rPr>
            </w:pPr>
            <w:r>
              <w:rPr>
                <w:rFonts w:hint="eastAsia" w:ascii="Times New Roman" w:hAnsi="Times New Roman" w:eastAsia="宋体" w:cs="Times New Roman"/>
              </w:rPr>
              <w:t>0.00</w:t>
            </w:r>
            <w:r>
              <w:rPr>
                <w:rFonts w:ascii="Times New Roman" w:hAnsi="Times New Roman" w:eastAsia="宋体" w:cs="Times New Roman"/>
              </w:rPr>
              <w:t>3</w:t>
            </w:r>
          </w:p>
        </w:tc>
        <w:tc>
          <w:tcPr>
            <w:tcW w:w="1088" w:type="dxa"/>
            <w:tcBorders>
              <w:top w:val="single" w:color="auto" w:sz="4" w:space="0"/>
              <w:bottom w:val="single" w:color="auto" w:sz="4" w:space="0"/>
              <w:right w:val="single" w:color="auto" w:sz="12" w:space="0"/>
            </w:tcBorders>
            <w:tcMar>
              <w:left w:w="28" w:type="dxa"/>
              <w:right w:w="28" w:type="dxa"/>
            </w:tcMar>
            <w:vAlign w:val="center"/>
          </w:tcPr>
          <w:p w14:paraId="3AAF5977">
            <w:pPr>
              <w:pStyle w:val="44"/>
              <w:spacing w:beforeLines="0" w:afterLines="0" w:line="240" w:lineRule="auto"/>
              <w:rPr>
                <w:rFonts w:ascii="Times New Roman" w:hAnsi="Times New Roman" w:eastAsia="宋体" w:cs="Times New Roman"/>
              </w:rPr>
            </w:pPr>
            <w:r>
              <w:rPr>
                <w:rFonts w:hint="eastAsia" w:ascii="Times New Roman" w:hAnsi="Times New Roman" w:eastAsia="宋体" w:cs="Times New Roman"/>
              </w:rPr>
              <w:t>0.00</w:t>
            </w:r>
            <w:r>
              <w:rPr>
                <w:rFonts w:ascii="Times New Roman" w:hAnsi="Times New Roman" w:eastAsia="宋体" w:cs="Times New Roman"/>
              </w:rPr>
              <w:t>3</w:t>
            </w:r>
          </w:p>
        </w:tc>
      </w:tr>
      <w:tr w14:paraId="046C112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continue"/>
            <w:tcBorders>
              <w:left w:val="single" w:color="auto" w:sz="12" w:space="0"/>
              <w:tl2br w:val="nil"/>
            </w:tcBorders>
            <w:tcMar>
              <w:left w:w="28" w:type="dxa"/>
              <w:right w:w="28" w:type="dxa"/>
            </w:tcMar>
            <w:vAlign w:val="center"/>
          </w:tcPr>
          <w:p w14:paraId="09EEECA9">
            <w:pPr>
              <w:pStyle w:val="44"/>
              <w:spacing w:beforeLines="0" w:afterLines="0" w:line="240" w:lineRule="auto"/>
              <w:rPr>
                <w:rFonts w:ascii="Times New Roman" w:hAnsi="Times New Roman" w:eastAsia="宋体" w:cs="Times New Roman"/>
                <w:snapToGrid w:val="0"/>
                <w:spacing w:val="-6"/>
                <w:kern w:val="21"/>
                <w:szCs w:val="21"/>
              </w:rPr>
            </w:pPr>
          </w:p>
        </w:tc>
        <w:tc>
          <w:tcPr>
            <w:tcW w:w="2089" w:type="dxa"/>
            <w:tcBorders>
              <w:top w:val="single" w:color="auto" w:sz="4" w:space="0"/>
              <w:bottom w:val="single" w:color="auto" w:sz="4" w:space="0"/>
            </w:tcBorders>
            <w:tcMar>
              <w:left w:w="28" w:type="dxa"/>
              <w:right w:w="28" w:type="dxa"/>
            </w:tcMar>
            <w:vAlign w:val="center"/>
          </w:tcPr>
          <w:p w14:paraId="2DF9CD5D">
            <w:pPr>
              <w:pStyle w:val="44"/>
              <w:spacing w:beforeLines="0" w:afterLines="0" w:line="240" w:lineRule="auto"/>
              <w:rPr>
                <w:rFonts w:ascii="Times New Roman" w:hAnsi="Times New Roman" w:eastAsia="宋体" w:cs="Times New Roman"/>
                <w:snapToGrid w:val="0"/>
                <w:spacing w:val="-6"/>
                <w:kern w:val="21"/>
                <w:szCs w:val="21"/>
              </w:rPr>
            </w:pPr>
            <w:r>
              <w:rPr>
                <w:rFonts w:hint="eastAsia" w:ascii="Times New Roman" w:hAnsi="Times New Roman" w:eastAsia="宋体" w:cs="Times New Roman"/>
                <w:snapToGrid w:val="0"/>
                <w:spacing w:val="-6"/>
                <w:kern w:val="21"/>
                <w:szCs w:val="21"/>
              </w:rPr>
              <w:t>氨</w:t>
            </w:r>
          </w:p>
        </w:tc>
        <w:tc>
          <w:tcPr>
            <w:tcW w:w="1701" w:type="dxa"/>
            <w:tcBorders>
              <w:top w:val="single" w:color="auto" w:sz="4" w:space="0"/>
              <w:bottom w:val="single" w:color="auto" w:sz="4" w:space="0"/>
            </w:tcBorders>
            <w:tcMar>
              <w:left w:w="28" w:type="dxa"/>
              <w:right w:w="28" w:type="dxa"/>
            </w:tcMar>
            <w:vAlign w:val="center"/>
          </w:tcPr>
          <w:p w14:paraId="63482493">
            <w:pPr>
              <w:pStyle w:val="44"/>
              <w:spacing w:beforeLines="0" w:afterLines="0" w:line="240" w:lineRule="auto"/>
              <w:rPr>
                <w:rFonts w:ascii="Times New Roman" w:hAnsi="Times New Roman" w:eastAsia="宋体" w:cs="Times New Roman"/>
                <w:snapToGrid w:val="0"/>
                <w:spacing w:val="-6"/>
                <w:kern w:val="21"/>
                <w:szCs w:val="21"/>
              </w:rPr>
            </w:pPr>
          </w:p>
        </w:tc>
        <w:tc>
          <w:tcPr>
            <w:tcW w:w="992" w:type="dxa"/>
            <w:tcBorders>
              <w:top w:val="single" w:color="auto" w:sz="4" w:space="0"/>
              <w:bottom w:val="single" w:color="auto" w:sz="4" w:space="0"/>
            </w:tcBorders>
            <w:tcMar>
              <w:left w:w="28" w:type="dxa"/>
              <w:right w:w="28" w:type="dxa"/>
            </w:tcMar>
            <w:vAlign w:val="center"/>
          </w:tcPr>
          <w:p w14:paraId="61B019A8">
            <w:pPr>
              <w:pStyle w:val="44"/>
              <w:spacing w:beforeLines="0" w:afterLines="0" w:line="240" w:lineRule="auto"/>
              <w:rPr>
                <w:rFonts w:ascii="Times New Roman" w:hAnsi="Times New Roman" w:eastAsia="宋体" w:cs="Times New Roman"/>
                <w:snapToGrid w:val="0"/>
                <w:spacing w:val="-6"/>
                <w:kern w:val="21"/>
                <w:szCs w:val="21"/>
              </w:rPr>
            </w:pPr>
          </w:p>
        </w:tc>
        <w:tc>
          <w:tcPr>
            <w:tcW w:w="1560" w:type="dxa"/>
            <w:tcBorders>
              <w:top w:val="single" w:color="auto" w:sz="4" w:space="0"/>
              <w:bottom w:val="single" w:color="auto" w:sz="4" w:space="0"/>
            </w:tcBorders>
            <w:tcMar>
              <w:left w:w="28" w:type="dxa"/>
              <w:right w:w="28" w:type="dxa"/>
            </w:tcMar>
            <w:vAlign w:val="center"/>
          </w:tcPr>
          <w:p w14:paraId="3BD51E58">
            <w:pPr>
              <w:pStyle w:val="44"/>
              <w:spacing w:beforeLines="0" w:afterLines="0" w:line="240" w:lineRule="auto"/>
              <w:rPr>
                <w:rFonts w:ascii="Times New Roman" w:hAnsi="Times New Roman" w:eastAsia="宋体" w:cs="Times New Roman"/>
                <w:snapToGrid w:val="0"/>
                <w:spacing w:val="-6"/>
                <w:kern w:val="21"/>
                <w:szCs w:val="21"/>
              </w:rPr>
            </w:pPr>
          </w:p>
        </w:tc>
        <w:tc>
          <w:tcPr>
            <w:tcW w:w="1771" w:type="dxa"/>
            <w:tcBorders>
              <w:top w:val="single" w:color="auto" w:sz="4" w:space="0"/>
              <w:bottom w:val="single" w:color="auto" w:sz="4" w:space="0"/>
            </w:tcBorders>
            <w:tcMar>
              <w:left w:w="28" w:type="dxa"/>
              <w:right w:w="28" w:type="dxa"/>
            </w:tcMar>
            <w:vAlign w:val="center"/>
          </w:tcPr>
          <w:p w14:paraId="79F9E76A">
            <w:pPr>
              <w:pStyle w:val="44"/>
              <w:spacing w:beforeLines="0" w:afterLines="0" w:line="240" w:lineRule="auto"/>
              <w:rPr>
                <w:rFonts w:ascii="Times New Roman" w:hAnsi="Times New Roman" w:eastAsia="宋体" w:cs="Times New Roman"/>
              </w:rPr>
            </w:pPr>
            <w:r>
              <w:rPr>
                <w:rFonts w:hint="eastAsia" w:ascii="Times New Roman" w:hAnsi="Times New Roman" w:eastAsia="宋体" w:cs="Times New Roman"/>
              </w:rPr>
              <w:t>0.96</w:t>
            </w:r>
            <w:r>
              <w:rPr>
                <w:rFonts w:ascii="Times New Roman" w:hAnsi="Times New Roman" w:eastAsia="宋体" w:cs="Times New Roman"/>
              </w:rPr>
              <w:t>4</w:t>
            </w:r>
          </w:p>
        </w:tc>
        <w:tc>
          <w:tcPr>
            <w:tcW w:w="1322" w:type="dxa"/>
            <w:tcBorders>
              <w:top w:val="single" w:color="auto" w:sz="4" w:space="0"/>
              <w:bottom w:val="single" w:color="auto" w:sz="4" w:space="0"/>
            </w:tcBorders>
            <w:tcMar>
              <w:left w:w="28" w:type="dxa"/>
              <w:right w:w="28" w:type="dxa"/>
            </w:tcMar>
            <w:vAlign w:val="center"/>
          </w:tcPr>
          <w:p w14:paraId="032FB85C">
            <w:pPr>
              <w:pStyle w:val="44"/>
              <w:spacing w:beforeLines="0" w:afterLines="0" w:line="240" w:lineRule="auto"/>
              <w:rPr>
                <w:rFonts w:ascii="Times New Roman" w:hAnsi="Times New Roman" w:eastAsia="宋体" w:cs="Times New Roman"/>
                <w:snapToGrid w:val="0"/>
                <w:spacing w:val="-16"/>
                <w:kern w:val="21"/>
                <w:szCs w:val="21"/>
              </w:rPr>
            </w:pPr>
          </w:p>
        </w:tc>
        <w:tc>
          <w:tcPr>
            <w:tcW w:w="2010" w:type="dxa"/>
            <w:tcBorders>
              <w:top w:val="single" w:color="auto" w:sz="4" w:space="0"/>
              <w:bottom w:val="single" w:color="auto" w:sz="4" w:space="0"/>
            </w:tcBorders>
            <w:tcMar>
              <w:left w:w="28" w:type="dxa"/>
              <w:right w:w="28" w:type="dxa"/>
            </w:tcMar>
            <w:vAlign w:val="center"/>
          </w:tcPr>
          <w:p w14:paraId="58C055CC">
            <w:pPr>
              <w:pStyle w:val="44"/>
              <w:spacing w:beforeLines="0" w:afterLines="0" w:line="240" w:lineRule="auto"/>
              <w:rPr>
                <w:rFonts w:ascii="Times New Roman" w:hAnsi="Times New Roman" w:eastAsia="宋体" w:cs="Times New Roman"/>
              </w:rPr>
            </w:pPr>
            <w:r>
              <w:rPr>
                <w:rFonts w:hint="eastAsia" w:ascii="Times New Roman" w:hAnsi="Times New Roman" w:eastAsia="宋体" w:cs="Times New Roman"/>
              </w:rPr>
              <w:t>0.96</w:t>
            </w:r>
            <w:r>
              <w:rPr>
                <w:rFonts w:ascii="Times New Roman" w:hAnsi="Times New Roman" w:eastAsia="宋体" w:cs="Times New Roman"/>
              </w:rPr>
              <w:t>4</w:t>
            </w:r>
          </w:p>
        </w:tc>
        <w:tc>
          <w:tcPr>
            <w:tcW w:w="1088" w:type="dxa"/>
            <w:tcBorders>
              <w:top w:val="single" w:color="auto" w:sz="4" w:space="0"/>
              <w:bottom w:val="single" w:color="auto" w:sz="4" w:space="0"/>
              <w:right w:val="single" w:color="auto" w:sz="12" w:space="0"/>
            </w:tcBorders>
            <w:tcMar>
              <w:left w:w="28" w:type="dxa"/>
              <w:right w:w="28" w:type="dxa"/>
            </w:tcMar>
            <w:vAlign w:val="center"/>
          </w:tcPr>
          <w:p w14:paraId="65A84BAD">
            <w:pPr>
              <w:pStyle w:val="44"/>
              <w:spacing w:beforeLines="0" w:afterLines="0" w:line="240" w:lineRule="auto"/>
              <w:rPr>
                <w:rFonts w:ascii="Times New Roman" w:hAnsi="Times New Roman" w:eastAsia="宋体" w:cs="Times New Roman"/>
              </w:rPr>
            </w:pPr>
            <w:r>
              <w:rPr>
                <w:rFonts w:hint="eastAsia" w:ascii="Times New Roman" w:hAnsi="Times New Roman" w:eastAsia="宋体" w:cs="Times New Roman"/>
              </w:rPr>
              <w:t>0.96</w:t>
            </w:r>
            <w:r>
              <w:rPr>
                <w:rFonts w:ascii="Times New Roman" w:hAnsi="Times New Roman" w:eastAsia="宋体" w:cs="Times New Roman"/>
              </w:rPr>
              <w:t>4</w:t>
            </w:r>
          </w:p>
        </w:tc>
      </w:tr>
      <w:tr w14:paraId="5487E1F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restart"/>
            <w:tcBorders>
              <w:top w:val="single" w:color="auto" w:sz="4" w:space="0"/>
              <w:left w:val="single" w:color="auto" w:sz="12" w:space="0"/>
            </w:tcBorders>
            <w:vAlign w:val="center"/>
          </w:tcPr>
          <w:p w14:paraId="40DACED3">
            <w:pPr>
              <w:pStyle w:val="44"/>
              <w:spacing w:before="24" w:after="24" w:line="240" w:lineRule="auto"/>
              <w:rPr>
                <w:rFonts w:ascii="Times New Roman" w:hAnsi="Times New Roman" w:eastAsia="宋体" w:cs="Times New Roman"/>
                <w:snapToGrid w:val="0"/>
                <w:kern w:val="21"/>
                <w:szCs w:val="21"/>
              </w:rPr>
            </w:pPr>
            <w:r>
              <w:rPr>
                <w:rFonts w:ascii="Times New Roman" w:hAnsi="Times New Roman" w:eastAsia="宋体" w:cs="Times New Roman"/>
                <w:snapToGrid w:val="0"/>
                <w:kern w:val="21"/>
                <w:szCs w:val="21"/>
              </w:rPr>
              <w:t>废水</w:t>
            </w:r>
          </w:p>
        </w:tc>
        <w:tc>
          <w:tcPr>
            <w:tcW w:w="2089" w:type="dxa"/>
            <w:tcBorders>
              <w:top w:val="single" w:color="auto" w:sz="4" w:space="0"/>
              <w:bottom w:val="single" w:color="auto" w:sz="4" w:space="0"/>
            </w:tcBorders>
            <w:vAlign w:val="center"/>
          </w:tcPr>
          <w:p w14:paraId="253D3D56">
            <w:pPr>
              <w:pStyle w:val="44"/>
              <w:spacing w:beforeLines="0" w:afterLines="0" w:line="240" w:lineRule="auto"/>
              <w:rPr>
                <w:rFonts w:ascii="Times New Roman" w:hAnsi="Times New Roman" w:eastAsia="宋体"/>
                <w:kern w:val="0"/>
                <w:szCs w:val="21"/>
              </w:rPr>
            </w:pPr>
            <w:r>
              <w:rPr>
                <w:rFonts w:hint="eastAsia" w:ascii="Times New Roman" w:hAnsi="Times New Roman" w:eastAsia="宋体"/>
                <w:kern w:val="0"/>
                <w:szCs w:val="21"/>
              </w:rPr>
              <w:t>排放量</w:t>
            </w:r>
          </w:p>
        </w:tc>
        <w:tc>
          <w:tcPr>
            <w:tcW w:w="1701" w:type="dxa"/>
            <w:tcBorders>
              <w:top w:val="single" w:color="auto" w:sz="4" w:space="0"/>
              <w:bottom w:val="single" w:color="auto" w:sz="4" w:space="0"/>
            </w:tcBorders>
            <w:vAlign w:val="center"/>
          </w:tcPr>
          <w:p w14:paraId="3966C710">
            <w:pPr>
              <w:pStyle w:val="44"/>
              <w:spacing w:beforeLines="0" w:afterLines="0" w:line="240" w:lineRule="auto"/>
              <w:rPr>
                <w:rFonts w:ascii="Times New Roman" w:hAnsi="Times New Roman" w:eastAsia="宋体" w:cs="Times New Roman"/>
                <w:snapToGrid w:val="0"/>
                <w:kern w:val="21"/>
                <w:szCs w:val="21"/>
              </w:rPr>
            </w:pPr>
          </w:p>
        </w:tc>
        <w:tc>
          <w:tcPr>
            <w:tcW w:w="992" w:type="dxa"/>
            <w:tcBorders>
              <w:top w:val="single" w:color="auto" w:sz="4" w:space="0"/>
              <w:bottom w:val="single" w:color="auto" w:sz="4" w:space="0"/>
            </w:tcBorders>
            <w:vAlign w:val="center"/>
          </w:tcPr>
          <w:p w14:paraId="36EF7AD8">
            <w:pPr>
              <w:pStyle w:val="44"/>
              <w:spacing w:beforeLines="0" w:afterLines="0" w:line="240" w:lineRule="auto"/>
              <w:rPr>
                <w:rFonts w:ascii="Times New Roman" w:hAnsi="Times New Roman" w:eastAsia="宋体" w:cs="Times New Roman"/>
                <w:snapToGrid w:val="0"/>
                <w:kern w:val="21"/>
                <w:szCs w:val="21"/>
              </w:rPr>
            </w:pPr>
          </w:p>
        </w:tc>
        <w:tc>
          <w:tcPr>
            <w:tcW w:w="1560" w:type="dxa"/>
            <w:tcBorders>
              <w:top w:val="single" w:color="auto" w:sz="4" w:space="0"/>
              <w:bottom w:val="single" w:color="auto" w:sz="4" w:space="0"/>
            </w:tcBorders>
            <w:vAlign w:val="center"/>
          </w:tcPr>
          <w:p w14:paraId="1C4875A1">
            <w:pPr>
              <w:pStyle w:val="44"/>
              <w:spacing w:beforeLines="0" w:afterLines="0" w:line="240" w:lineRule="auto"/>
              <w:rPr>
                <w:rFonts w:ascii="Times New Roman" w:hAnsi="Times New Roman" w:eastAsia="宋体" w:cs="Times New Roman"/>
                <w:snapToGrid w:val="0"/>
                <w:kern w:val="21"/>
                <w:szCs w:val="21"/>
              </w:rPr>
            </w:pPr>
          </w:p>
        </w:tc>
        <w:tc>
          <w:tcPr>
            <w:tcW w:w="1771" w:type="dxa"/>
            <w:tcBorders>
              <w:top w:val="single" w:color="auto" w:sz="4" w:space="0"/>
              <w:bottom w:val="single" w:color="auto" w:sz="4" w:space="0"/>
            </w:tcBorders>
            <w:vAlign w:val="center"/>
          </w:tcPr>
          <w:p w14:paraId="22D56E11">
            <w:pPr>
              <w:pStyle w:val="44"/>
              <w:spacing w:beforeLines="0" w:afterLines="0" w:line="240" w:lineRule="auto"/>
              <w:rPr>
                <w:rFonts w:ascii="Times New Roman" w:hAnsi="Times New Roman" w:eastAsia="宋体" w:cs="Times New Roman"/>
                <w:snapToGrid w:val="0"/>
                <w:kern w:val="21"/>
                <w:szCs w:val="21"/>
              </w:rPr>
            </w:pPr>
          </w:p>
        </w:tc>
        <w:tc>
          <w:tcPr>
            <w:tcW w:w="1322" w:type="dxa"/>
            <w:tcBorders>
              <w:top w:val="single" w:color="auto" w:sz="4" w:space="0"/>
              <w:bottom w:val="single" w:color="auto" w:sz="4" w:space="0"/>
            </w:tcBorders>
            <w:vAlign w:val="center"/>
          </w:tcPr>
          <w:p w14:paraId="70EC4E13">
            <w:pPr>
              <w:pStyle w:val="44"/>
              <w:spacing w:beforeLines="0" w:afterLines="0" w:line="240" w:lineRule="auto"/>
              <w:rPr>
                <w:rFonts w:ascii="Times New Roman" w:hAnsi="Times New Roman" w:eastAsia="宋体" w:cs="Times New Roman"/>
                <w:snapToGrid w:val="0"/>
                <w:kern w:val="21"/>
                <w:szCs w:val="21"/>
              </w:rPr>
            </w:pPr>
          </w:p>
        </w:tc>
        <w:tc>
          <w:tcPr>
            <w:tcW w:w="2010" w:type="dxa"/>
            <w:tcBorders>
              <w:top w:val="single" w:color="auto" w:sz="4" w:space="0"/>
              <w:bottom w:val="single" w:color="auto" w:sz="4" w:space="0"/>
            </w:tcBorders>
            <w:vAlign w:val="center"/>
          </w:tcPr>
          <w:p w14:paraId="347C2F2E">
            <w:pPr>
              <w:pStyle w:val="44"/>
              <w:spacing w:beforeLines="0" w:afterLines="0" w:line="240" w:lineRule="auto"/>
              <w:rPr>
                <w:rFonts w:ascii="Times New Roman" w:hAnsi="Times New Roman" w:eastAsia="宋体" w:cs="Times New Roman"/>
                <w:snapToGrid w:val="0"/>
                <w:kern w:val="21"/>
                <w:szCs w:val="21"/>
              </w:rPr>
            </w:pPr>
          </w:p>
        </w:tc>
        <w:tc>
          <w:tcPr>
            <w:tcW w:w="1088" w:type="dxa"/>
            <w:tcBorders>
              <w:top w:val="single" w:color="auto" w:sz="4" w:space="0"/>
              <w:bottom w:val="single" w:color="auto" w:sz="4" w:space="0"/>
              <w:right w:val="single" w:color="auto" w:sz="12" w:space="0"/>
            </w:tcBorders>
            <w:vAlign w:val="center"/>
          </w:tcPr>
          <w:p w14:paraId="1B2AD05B">
            <w:pPr>
              <w:pStyle w:val="44"/>
              <w:spacing w:beforeLines="0" w:afterLines="0" w:line="240" w:lineRule="auto"/>
              <w:rPr>
                <w:rFonts w:ascii="Times New Roman" w:hAnsi="Times New Roman" w:eastAsia="宋体" w:cs="Times New Roman"/>
                <w:snapToGrid w:val="0"/>
                <w:kern w:val="21"/>
                <w:szCs w:val="21"/>
              </w:rPr>
            </w:pPr>
          </w:p>
        </w:tc>
      </w:tr>
      <w:tr w14:paraId="7C656EC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continue"/>
            <w:tcBorders>
              <w:left w:val="single" w:color="auto" w:sz="12" w:space="0"/>
            </w:tcBorders>
            <w:vAlign w:val="center"/>
          </w:tcPr>
          <w:p w14:paraId="7BF48F54">
            <w:pPr>
              <w:pStyle w:val="44"/>
              <w:spacing w:beforeLines="0" w:afterLines="0" w:line="240" w:lineRule="auto"/>
              <w:rPr>
                <w:rFonts w:ascii="Times New Roman" w:hAnsi="Times New Roman" w:eastAsia="宋体" w:cs="Times New Roman"/>
                <w:snapToGrid w:val="0"/>
                <w:kern w:val="21"/>
                <w:szCs w:val="21"/>
              </w:rPr>
            </w:pPr>
          </w:p>
        </w:tc>
        <w:tc>
          <w:tcPr>
            <w:tcW w:w="2089" w:type="dxa"/>
            <w:tcBorders>
              <w:top w:val="single" w:color="auto" w:sz="4" w:space="0"/>
              <w:bottom w:val="single" w:color="auto" w:sz="4" w:space="0"/>
            </w:tcBorders>
            <w:vAlign w:val="center"/>
          </w:tcPr>
          <w:p w14:paraId="702B781B">
            <w:pPr>
              <w:pStyle w:val="44"/>
              <w:spacing w:beforeLines="0" w:afterLines="0" w:line="240" w:lineRule="auto"/>
              <w:rPr>
                <w:rFonts w:ascii="Times New Roman" w:hAnsi="Times New Roman" w:eastAsia="宋体" w:cs="Times New Roman"/>
                <w:snapToGrid w:val="0"/>
                <w:kern w:val="21"/>
                <w:szCs w:val="21"/>
              </w:rPr>
            </w:pPr>
            <w:r>
              <w:rPr>
                <w:rFonts w:ascii="Times New Roman" w:hAnsi="Times New Roman" w:eastAsia="宋体"/>
                <w:kern w:val="0"/>
                <w:szCs w:val="21"/>
              </w:rPr>
              <w:t>COD</w:t>
            </w:r>
          </w:p>
        </w:tc>
        <w:tc>
          <w:tcPr>
            <w:tcW w:w="1701" w:type="dxa"/>
            <w:tcBorders>
              <w:top w:val="single" w:color="auto" w:sz="4" w:space="0"/>
              <w:bottom w:val="single" w:color="auto" w:sz="4" w:space="0"/>
            </w:tcBorders>
            <w:vAlign w:val="center"/>
          </w:tcPr>
          <w:p w14:paraId="4EABA7E8">
            <w:pPr>
              <w:pStyle w:val="44"/>
              <w:spacing w:beforeLines="0" w:afterLines="0" w:line="240" w:lineRule="auto"/>
              <w:rPr>
                <w:rFonts w:ascii="Times New Roman" w:hAnsi="Times New Roman" w:eastAsia="宋体" w:cs="Times New Roman"/>
                <w:snapToGrid w:val="0"/>
                <w:kern w:val="21"/>
                <w:szCs w:val="21"/>
              </w:rPr>
            </w:pPr>
          </w:p>
        </w:tc>
        <w:tc>
          <w:tcPr>
            <w:tcW w:w="992" w:type="dxa"/>
            <w:tcBorders>
              <w:top w:val="single" w:color="auto" w:sz="4" w:space="0"/>
              <w:bottom w:val="single" w:color="auto" w:sz="4" w:space="0"/>
            </w:tcBorders>
            <w:vAlign w:val="center"/>
          </w:tcPr>
          <w:p w14:paraId="2A55521D">
            <w:pPr>
              <w:pStyle w:val="44"/>
              <w:spacing w:beforeLines="0" w:afterLines="0" w:line="240" w:lineRule="auto"/>
              <w:rPr>
                <w:rFonts w:ascii="Times New Roman" w:hAnsi="Times New Roman" w:eastAsia="宋体" w:cs="Times New Roman"/>
                <w:snapToGrid w:val="0"/>
                <w:kern w:val="21"/>
                <w:szCs w:val="21"/>
              </w:rPr>
            </w:pPr>
          </w:p>
        </w:tc>
        <w:tc>
          <w:tcPr>
            <w:tcW w:w="1560" w:type="dxa"/>
            <w:tcBorders>
              <w:top w:val="single" w:color="auto" w:sz="4" w:space="0"/>
              <w:bottom w:val="single" w:color="auto" w:sz="4" w:space="0"/>
            </w:tcBorders>
            <w:vAlign w:val="center"/>
          </w:tcPr>
          <w:p w14:paraId="263BEC6B">
            <w:pPr>
              <w:pStyle w:val="44"/>
              <w:spacing w:beforeLines="0" w:afterLines="0" w:line="240" w:lineRule="auto"/>
              <w:rPr>
                <w:rFonts w:ascii="Times New Roman" w:hAnsi="Times New Roman" w:eastAsia="宋体" w:cs="Times New Roman"/>
                <w:snapToGrid w:val="0"/>
                <w:kern w:val="21"/>
                <w:szCs w:val="21"/>
              </w:rPr>
            </w:pPr>
          </w:p>
        </w:tc>
        <w:tc>
          <w:tcPr>
            <w:tcW w:w="1771" w:type="dxa"/>
            <w:tcBorders>
              <w:top w:val="single" w:color="auto" w:sz="4" w:space="0"/>
              <w:bottom w:val="single" w:color="auto" w:sz="4" w:space="0"/>
            </w:tcBorders>
            <w:vAlign w:val="center"/>
          </w:tcPr>
          <w:p w14:paraId="63E97C17">
            <w:pPr>
              <w:pStyle w:val="44"/>
              <w:spacing w:beforeLines="0" w:afterLines="0" w:line="240" w:lineRule="auto"/>
              <w:rPr>
                <w:rFonts w:ascii="Times New Roman" w:hAnsi="Times New Roman" w:eastAsia="宋体" w:cs="Times New Roman"/>
                <w:snapToGrid w:val="0"/>
                <w:kern w:val="21"/>
                <w:szCs w:val="21"/>
              </w:rPr>
            </w:pPr>
          </w:p>
        </w:tc>
        <w:tc>
          <w:tcPr>
            <w:tcW w:w="1322" w:type="dxa"/>
            <w:tcBorders>
              <w:top w:val="single" w:color="auto" w:sz="4" w:space="0"/>
              <w:bottom w:val="single" w:color="auto" w:sz="4" w:space="0"/>
            </w:tcBorders>
            <w:vAlign w:val="center"/>
          </w:tcPr>
          <w:p w14:paraId="0F4A798A">
            <w:pPr>
              <w:pStyle w:val="44"/>
              <w:spacing w:beforeLines="0" w:afterLines="0" w:line="240" w:lineRule="auto"/>
              <w:rPr>
                <w:rFonts w:ascii="Times New Roman" w:hAnsi="Times New Roman" w:eastAsia="宋体" w:cs="Times New Roman"/>
                <w:snapToGrid w:val="0"/>
                <w:kern w:val="21"/>
                <w:szCs w:val="21"/>
              </w:rPr>
            </w:pPr>
          </w:p>
        </w:tc>
        <w:tc>
          <w:tcPr>
            <w:tcW w:w="2010" w:type="dxa"/>
            <w:tcBorders>
              <w:top w:val="single" w:color="auto" w:sz="4" w:space="0"/>
              <w:bottom w:val="single" w:color="auto" w:sz="4" w:space="0"/>
            </w:tcBorders>
            <w:vAlign w:val="center"/>
          </w:tcPr>
          <w:p w14:paraId="37256E49">
            <w:pPr>
              <w:pStyle w:val="44"/>
              <w:spacing w:beforeLines="0" w:afterLines="0" w:line="240" w:lineRule="auto"/>
              <w:rPr>
                <w:rFonts w:ascii="Times New Roman" w:hAnsi="Times New Roman" w:eastAsia="宋体" w:cs="Times New Roman"/>
                <w:snapToGrid w:val="0"/>
                <w:kern w:val="21"/>
                <w:szCs w:val="21"/>
              </w:rPr>
            </w:pPr>
          </w:p>
        </w:tc>
        <w:tc>
          <w:tcPr>
            <w:tcW w:w="1088" w:type="dxa"/>
            <w:tcBorders>
              <w:top w:val="single" w:color="auto" w:sz="4" w:space="0"/>
              <w:bottom w:val="single" w:color="auto" w:sz="4" w:space="0"/>
              <w:right w:val="single" w:color="auto" w:sz="12" w:space="0"/>
            </w:tcBorders>
            <w:vAlign w:val="center"/>
          </w:tcPr>
          <w:p w14:paraId="3204C77A">
            <w:pPr>
              <w:pStyle w:val="44"/>
              <w:spacing w:beforeLines="0" w:afterLines="0" w:line="240" w:lineRule="auto"/>
              <w:rPr>
                <w:rFonts w:ascii="Times New Roman" w:hAnsi="Times New Roman" w:eastAsia="宋体" w:cs="Times New Roman"/>
                <w:snapToGrid w:val="0"/>
                <w:kern w:val="21"/>
                <w:szCs w:val="21"/>
              </w:rPr>
            </w:pPr>
          </w:p>
        </w:tc>
      </w:tr>
      <w:tr w14:paraId="269F81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continue"/>
            <w:tcBorders>
              <w:left w:val="single" w:color="auto" w:sz="12" w:space="0"/>
            </w:tcBorders>
            <w:vAlign w:val="center"/>
          </w:tcPr>
          <w:p w14:paraId="5A58CCB8">
            <w:pPr>
              <w:pStyle w:val="44"/>
              <w:spacing w:beforeLines="0" w:afterLines="0" w:line="240" w:lineRule="auto"/>
              <w:rPr>
                <w:rFonts w:ascii="Times New Roman" w:hAnsi="Times New Roman" w:eastAsia="宋体" w:cs="Times New Roman"/>
                <w:snapToGrid w:val="0"/>
                <w:kern w:val="21"/>
                <w:szCs w:val="21"/>
              </w:rPr>
            </w:pPr>
          </w:p>
        </w:tc>
        <w:tc>
          <w:tcPr>
            <w:tcW w:w="2089" w:type="dxa"/>
            <w:tcBorders>
              <w:top w:val="single" w:color="auto" w:sz="4" w:space="0"/>
              <w:bottom w:val="single" w:color="auto" w:sz="4" w:space="0"/>
            </w:tcBorders>
            <w:vAlign w:val="center"/>
          </w:tcPr>
          <w:p w14:paraId="1BB2A0AA">
            <w:pPr>
              <w:pStyle w:val="44"/>
              <w:spacing w:beforeLines="0" w:afterLines="0" w:line="240" w:lineRule="auto"/>
              <w:rPr>
                <w:rFonts w:ascii="Times New Roman" w:hAnsi="Times New Roman" w:eastAsia="宋体" w:cs="Times New Roman"/>
                <w:snapToGrid w:val="0"/>
                <w:kern w:val="21"/>
                <w:szCs w:val="21"/>
              </w:rPr>
            </w:pPr>
            <w:r>
              <w:rPr>
                <w:rFonts w:ascii="Times New Roman" w:hAnsi="Times New Roman" w:eastAsia="宋体"/>
                <w:kern w:val="0"/>
                <w:szCs w:val="21"/>
              </w:rPr>
              <w:t>BOD</w:t>
            </w:r>
            <w:r>
              <w:rPr>
                <w:rFonts w:ascii="Times New Roman" w:hAnsi="Times New Roman" w:eastAsia="宋体"/>
                <w:kern w:val="0"/>
                <w:szCs w:val="21"/>
                <w:vertAlign w:val="subscript"/>
              </w:rPr>
              <w:t>5</w:t>
            </w:r>
          </w:p>
        </w:tc>
        <w:tc>
          <w:tcPr>
            <w:tcW w:w="1701" w:type="dxa"/>
            <w:tcBorders>
              <w:top w:val="single" w:color="auto" w:sz="4" w:space="0"/>
              <w:bottom w:val="single" w:color="auto" w:sz="4" w:space="0"/>
            </w:tcBorders>
            <w:vAlign w:val="center"/>
          </w:tcPr>
          <w:p w14:paraId="2ECA49DD">
            <w:pPr>
              <w:pStyle w:val="44"/>
              <w:spacing w:beforeLines="0" w:afterLines="0" w:line="240" w:lineRule="auto"/>
              <w:rPr>
                <w:rFonts w:ascii="Times New Roman" w:hAnsi="Times New Roman" w:eastAsia="宋体" w:cs="Times New Roman"/>
                <w:snapToGrid w:val="0"/>
                <w:kern w:val="21"/>
                <w:szCs w:val="21"/>
              </w:rPr>
            </w:pPr>
          </w:p>
        </w:tc>
        <w:tc>
          <w:tcPr>
            <w:tcW w:w="992" w:type="dxa"/>
            <w:tcBorders>
              <w:top w:val="single" w:color="auto" w:sz="4" w:space="0"/>
              <w:bottom w:val="single" w:color="auto" w:sz="4" w:space="0"/>
            </w:tcBorders>
            <w:vAlign w:val="center"/>
          </w:tcPr>
          <w:p w14:paraId="21806E4A">
            <w:pPr>
              <w:pStyle w:val="44"/>
              <w:spacing w:beforeLines="0" w:afterLines="0" w:line="240" w:lineRule="auto"/>
              <w:rPr>
                <w:rFonts w:ascii="Times New Roman" w:hAnsi="Times New Roman" w:eastAsia="宋体" w:cs="Times New Roman"/>
                <w:snapToGrid w:val="0"/>
                <w:kern w:val="21"/>
                <w:szCs w:val="21"/>
              </w:rPr>
            </w:pPr>
          </w:p>
        </w:tc>
        <w:tc>
          <w:tcPr>
            <w:tcW w:w="1560" w:type="dxa"/>
            <w:tcBorders>
              <w:top w:val="single" w:color="auto" w:sz="4" w:space="0"/>
              <w:bottom w:val="single" w:color="auto" w:sz="4" w:space="0"/>
            </w:tcBorders>
            <w:vAlign w:val="center"/>
          </w:tcPr>
          <w:p w14:paraId="5713DFE7">
            <w:pPr>
              <w:pStyle w:val="44"/>
              <w:spacing w:beforeLines="0" w:afterLines="0" w:line="240" w:lineRule="auto"/>
              <w:rPr>
                <w:rFonts w:ascii="Times New Roman" w:hAnsi="Times New Roman" w:eastAsia="宋体" w:cs="Times New Roman"/>
                <w:snapToGrid w:val="0"/>
                <w:kern w:val="21"/>
                <w:szCs w:val="21"/>
              </w:rPr>
            </w:pPr>
          </w:p>
        </w:tc>
        <w:tc>
          <w:tcPr>
            <w:tcW w:w="1771" w:type="dxa"/>
            <w:tcBorders>
              <w:top w:val="single" w:color="auto" w:sz="4" w:space="0"/>
              <w:bottom w:val="single" w:color="auto" w:sz="4" w:space="0"/>
            </w:tcBorders>
            <w:vAlign w:val="center"/>
          </w:tcPr>
          <w:p w14:paraId="308184A6">
            <w:pPr>
              <w:pStyle w:val="44"/>
              <w:spacing w:beforeLines="0" w:afterLines="0" w:line="240" w:lineRule="auto"/>
              <w:rPr>
                <w:rFonts w:ascii="Times New Roman" w:hAnsi="Times New Roman" w:eastAsia="宋体" w:cs="Times New Roman"/>
                <w:snapToGrid w:val="0"/>
                <w:kern w:val="21"/>
                <w:szCs w:val="21"/>
              </w:rPr>
            </w:pPr>
          </w:p>
        </w:tc>
        <w:tc>
          <w:tcPr>
            <w:tcW w:w="1322" w:type="dxa"/>
            <w:tcBorders>
              <w:top w:val="single" w:color="auto" w:sz="4" w:space="0"/>
              <w:bottom w:val="single" w:color="auto" w:sz="4" w:space="0"/>
            </w:tcBorders>
            <w:vAlign w:val="center"/>
          </w:tcPr>
          <w:p w14:paraId="73CAA513">
            <w:pPr>
              <w:pStyle w:val="44"/>
              <w:spacing w:beforeLines="0" w:afterLines="0" w:line="240" w:lineRule="auto"/>
              <w:rPr>
                <w:rFonts w:ascii="Times New Roman" w:hAnsi="Times New Roman" w:eastAsia="宋体" w:cs="Times New Roman"/>
                <w:snapToGrid w:val="0"/>
                <w:kern w:val="21"/>
                <w:szCs w:val="21"/>
              </w:rPr>
            </w:pPr>
          </w:p>
        </w:tc>
        <w:tc>
          <w:tcPr>
            <w:tcW w:w="2010" w:type="dxa"/>
            <w:tcBorders>
              <w:top w:val="single" w:color="auto" w:sz="4" w:space="0"/>
              <w:bottom w:val="single" w:color="auto" w:sz="4" w:space="0"/>
            </w:tcBorders>
            <w:vAlign w:val="center"/>
          </w:tcPr>
          <w:p w14:paraId="402BC2C3">
            <w:pPr>
              <w:pStyle w:val="44"/>
              <w:spacing w:beforeLines="0" w:afterLines="0" w:line="240" w:lineRule="auto"/>
              <w:rPr>
                <w:rFonts w:ascii="Times New Roman" w:hAnsi="Times New Roman" w:eastAsia="宋体" w:cs="Times New Roman"/>
                <w:snapToGrid w:val="0"/>
                <w:kern w:val="21"/>
                <w:szCs w:val="21"/>
              </w:rPr>
            </w:pPr>
          </w:p>
        </w:tc>
        <w:tc>
          <w:tcPr>
            <w:tcW w:w="1088" w:type="dxa"/>
            <w:tcBorders>
              <w:top w:val="single" w:color="auto" w:sz="4" w:space="0"/>
              <w:bottom w:val="single" w:color="auto" w:sz="4" w:space="0"/>
              <w:right w:val="single" w:color="auto" w:sz="12" w:space="0"/>
            </w:tcBorders>
            <w:vAlign w:val="center"/>
          </w:tcPr>
          <w:p w14:paraId="69DB8C3A">
            <w:pPr>
              <w:pStyle w:val="44"/>
              <w:spacing w:beforeLines="0" w:afterLines="0" w:line="240" w:lineRule="auto"/>
              <w:rPr>
                <w:rFonts w:ascii="Times New Roman" w:hAnsi="Times New Roman" w:eastAsia="宋体" w:cs="Times New Roman"/>
                <w:snapToGrid w:val="0"/>
                <w:kern w:val="21"/>
                <w:szCs w:val="21"/>
              </w:rPr>
            </w:pPr>
          </w:p>
        </w:tc>
      </w:tr>
      <w:tr w14:paraId="1A21CDA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continue"/>
            <w:tcBorders>
              <w:left w:val="single" w:color="auto" w:sz="12" w:space="0"/>
            </w:tcBorders>
            <w:vAlign w:val="center"/>
          </w:tcPr>
          <w:p w14:paraId="503DFC25">
            <w:pPr>
              <w:pStyle w:val="44"/>
              <w:spacing w:beforeLines="0" w:afterLines="0" w:line="240" w:lineRule="auto"/>
              <w:rPr>
                <w:rFonts w:ascii="Times New Roman" w:hAnsi="Times New Roman" w:eastAsia="宋体" w:cs="Times New Roman"/>
                <w:snapToGrid w:val="0"/>
                <w:kern w:val="21"/>
                <w:szCs w:val="21"/>
              </w:rPr>
            </w:pPr>
          </w:p>
        </w:tc>
        <w:tc>
          <w:tcPr>
            <w:tcW w:w="2089" w:type="dxa"/>
            <w:tcBorders>
              <w:top w:val="single" w:color="auto" w:sz="4" w:space="0"/>
              <w:bottom w:val="single" w:color="auto" w:sz="4" w:space="0"/>
            </w:tcBorders>
            <w:vAlign w:val="center"/>
          </w:tcPr>
          <w:p w14:paraId="74FF09C7">
            <w:pPr>
              <w:pStyle w:val="44"/>
              <w:spacing w:beforeLines="0" w:afterLines="0" w:line="240" w:lineRule="auto"/>
              <w:rPr>
                <w:rFonts w:ascii="Times New Roman" w:hAnsi="Times New Roman" w:eastAsia="宋体" w:cs="Times New Roman"/>
                <w:snapToGrid w:val="0"/>
                <w:kern w:val="21"/>
                <w:szCs w:val="21"/>
              </w:rPr>
            </w:pPr>
            <w:r>
              <w:rPr>
                <w:rFonts w:ascii="Times New Roman" w:hAnsi="Times New Roman" w:eastAsia="宋体"/>
                <w:kern w:val="0"/>
                <w:szCs w:val="21"/>
              </w:rPr>
              <w:t>SS</w:t>
            </w:r>
          </w:p>
        </w:tc>
        <w:tc>
          <w:tcPr>
            <w:tcW w:w="1701" w:type="dxa"/>
            <w:tcBorders>
              <w:top w:val="single" w:color="auto" w:sz="4" w:space="0"/>
              <w:bottom w:val="single" w:color="auto" w:sz="4" w:space="0"/>
            </w:tcBorders>
            <w:vAlign w:val="center"/>
          </w:tcPr>
          <w:p w14:paraId="77271E89">
            <w:pPr>
              <w:pStyle w:val="44"/>
              <w:spacing w:beforeLines="0" w:afterLines="0" w:line="240" w:lineRule="auto"/>
              <w:rPr>
                <w:rFonts w:ascii="Times New Roman" w:hAnsi="Times New Roman" w:eastAsia="宋体" w:cs="Times New Roman"/>
                <w:snapToGrid w:val="0"/>
                <w:kern w:val="21"/>
                <w:szCs w:val="21"/>
              </w:rPr>
            </w:pPr>
          </w:p>
        </w:tc>
        <w:tc>
          <w:tcPr>
            <w:tcW w:w="992" w:type="dxa"/>
            <w:tcBorders>
              <w:top w:val="single" w:color="auto" w:sz="4" w:space="0"/>
              <w:bottom w:val="single" w:color="auto" w:sz="4" w:space="0"/>
            </w:tcBorders>
            <w:vAlign w:val="center"/>
          </w:tcPr>
          <w:p w14:paraId="32CB68BA">
            <w:pPr>
              <w:pStyle w:val="44"/>
              <w:spacing w:beforeLines="0" w:afterLines="0" w:line="240" w:lineRule="auto"/>
              <w:rPr>
                <w:rFonts w:ascii="Times New Roman" w:hAnsi="Times New Roman" w:eastAsia="宋体" w:cs="Times New Roman"/>
                <w:snapToGrid w:val="0"/>
                <w:kern w:val="21"/>
                <w:szCs w:val="21"/>
              </w:rPr>
            </w:pPr>
          </w:p>
        </w:tc>
        <w:tc>
          <w:tcPr>
            <w:tcW w:w="1560" w:type="dxa"/>
            <w:tcBorders>
              <w:top w:val="single" w:color="auto" w:sz="4" w:space="0"/>
              <w:bottom w:val="single" w:color="auto" w:sz="4" w:space="0"/>
            </w:tcBorders>
            <w:vAlign w:val="center"/>
          </w:tcPr>
          <w:p w14:paraId="407D8442">
            <w:pPr>
              <w:pStyle w:val="44"/>
              <w:spacing w:beforeLines="0" w:afterLines="0" w:line="240" w:lineRule="auto"/>
              <w:rPr>
                <w:rFonts w:ascii="Times New Roman" w:hAnsi="Times New Roman" w:eastAsia="宋体" w:cs="Times New Roman"/>
                <w:snapToGrid w:val="0"/>
                <w:kern w:val="21"/>
                <w:szCs w:val="21"/>
              </w:rPr>
            </w:pPr>
          </w:p>
        </w:tc>
        <w:tc>
          <w:tcPr>
            <w:tcW w:w="1771" w:type="dxa"/>
            <w:tcBorders>
              <w:top w:val="single" w:color="auto" w:sz="4" w:space="0"/>
              <w:bottom w:val="single" w:color="auto" w:sz="4" w:space="0"/>
            </w:tcBorders>
            <w:vAlign w:val="center"/>
          </w:tcPr>
          <w:p w14:paraId="2A47A5E7">
            <w:pPr>
              <w:pStyle w:val="44"/>
              <w:spacing w:beforeLines="0" w:afterLines="0" w:line="240" w:lineRule="auto"/>
              <w:rPr>
                <w:rFonts w:ascii="Times New Roman" w:hAnsi="Times New Roman" w:eastAsia="宋体" w:cs="Times New Roman"/>
                <w:snapToGrid w:val="0"/>
                <w:kern w:val="21"/>
                <w:szCs w:val="21"/>
              </w:rPr>
            </w:pPr>
          </w:p>
        </w:tc>
        <w:tc>
          <w:tcPr>
            <w:tcW w:w="1322" w:type="dxa"/>
            <w:tcBorders>
              <w:top w:val="single" w:color="auto" w:sz="4" w:space="0"/>
              <w:bottom w:val="single" w:color="auto" w:sz="4" w:space="0"/>
            </w:tcBorders>
            <w:vAlign w:val="center"/>
          </w:tcPr>
          <w:p w14:paraId="19B4652A">
            <w:pPr>
              <w:pStyle w:val="44"/>
              <w:spacing w:beforeLines="0" w:afterLines="0" w:line="240" w:lineRule="auto"/>
              <w:rPr>
                <w:rFonts w:ascii="Times New Roman" w:hAnsi="Times New Roman" w:eastAsia="宋体" w:cs="Times New Roman"/>
                <w:snapToGrid w:val="0"/>
                <w:kern w:val="21"/>
                <w:szCs w:val="21"/>
              </w:rPr>
            </w:pPr>
          </w:p>
        </w:tc>
        <w:tc>
          <w:tcPr>
            <w:tcW w:w="2010" w:type="dxa"/>
            <w:tcBorders>
              <w:top w:val="single" w:color="auto" w:sz="4" w:space="0"/>
              <w:bottom w:val="single" w:color="auto" w:sz="4" w:space="0"/>
            </w:tcBorders>
            <w:vAlign w:val="center"/>
          </w:tcPr>
          <w:p w14:paraId="3899B25B">
            <w:pPr>
              <w:pStyle w:val="44"/>
              <w:spacing w:beforeLines="0" w:afterLines="0" w:line="240" w:lineRule="auto"/>
              <w:rPr>
                <w:rFonts w:ascii="Times New Roman" w:hAnsi="Times New Roman" w:eastAsia="宋体" w:cs="Times New Roman"/>
                <w:snapToGrid w:val="0"/>
                <w:kern w:val="21"/>
                <w:szCs w:val="21"/>
              </w:rPr>
            </w:pPr>
          </w:p>
        </w:tc>
        <w:tc>
          <w:tcPr>
            <w:tcW w:w="1088" w:type="dxa"/>
            <w:tcBorders>
              <w:top w:val="single" w:color="auto" w:sz="4" w:space="0"/>
              <w:bottom w:val="single" w:color="auto" w:sz="4" w:space="0"/>
              <w:right w:val="single" w:color="auto" w:sz="12" w:space="0"/>
            </w:tcBorders>
            <w:vAlign w:val="center"/>
          </w:tcPr>
          <w:p w14:paraId="7B5C2C70">
            <w:pPr>
              <w:pStyle w:val="44"/>
              <w:spacing w:beforeLines="0" w:afterLines="0" w:line="240" w:lineRule="auto"/>
              <w:rPr>
                <w:rFonts w:ascii="Times New Roman" w:hAnsi="Times New Roman" w:eastAsia="宋体" w:cs="Times New Roman"/>
                <w:snapToGrid w:val="0"/>
                <w:kern w:val="21"/>
                <w:szCs w:val="21"/>
              </w:rPr>
            </w:pPr>
          </w:p>
        </w:tc>
      </w:tr>
      <w:tr w14:paraId="64BD54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continue"/>
            <w:tcBorders>
              <w:left w:val="single" w:color="auto" w:sz="12" w:space="0"/>
              <w:bottom w:val="single" w:color="auto" w:sz="4" w:space="0"/>
            </w:tcBorders>
            <w:vAlign w:val="center"/>
          </w:tcPr>
          <w:p w14:paraId="1DDB815F">
            <w:pPr>
              <w:pStyle w:val="44"/>
              <w:spacing w:beforeLines="0" w:afterLines="0" w:line="240" w:lineRule="auto"/>
              <w:rPr>
                <w:rFonts w:ascii="Times New Roman" w:hAnsi="Times New Roman" w:eastAsia="宋体" w:cs="Times New Roman"/>
                <w:snapToGrid w:val="0"/>
                <w:kern w:val="21"/>
                <w:szCs w:val="21"/>
              </w:rPr>
            </w:pPr>
          </w:p>
        </w:tc>
        <w:tc>
          <w:tcPr>
            <w:tcW w:w="2089" w:type="dxa"/>
            <w:tcBorders>
              <w:top w:val="single" w:color="auto" w:sz="4" w:space="0"/>
              <w:bottom w:val="single" w:color="auto" w:sz="4" w:space="0"/>
            </w:tcBorders>
            <w:vAlign w:val="center"/>
          </w:tcPr>
          <w:p w14:paraId="08FEDD1A">
            <w:pPr>
              <w:pStyle w:val="44"/>
              <w:spacing w:beforeLines="0" w:afterLines="0" w:line="240" w:lineRule="auto"/>
              <w:rPr>
                <w:rFonts w:ascii="Times New Roman" w:hAnsi="Times New Roman" w:eastAsia="宋体" w:cs="Times New Roman"/>
                <w:snapToGrid w:val="0"/>
                <w:kern w:val="21"/>
                <w:szCs w:val="21"/>
              </w:rPr>
            </w:pPr>
            <w:r>
              <w:rPr>
                <w:rFonts w:ascii="Times New Roman" w:hAnsi="Times New Roman" w:eastAsia="宋体"/>
                <w:kern w:val="0"/>
                <w:szCs w:val="21"/>
              </w:rPr>
              <w:t>NH</w:t>
            </w:r>
            <w:r>
              <w:rPr>
                <w:rFonts w:ascii="Times New Roman" w:hAnsi="Times New Roman" w:eastAsia="宋体"/>
                <w:kern w:val="0"/>
                <w:szCs w:val="21"/>
                <w:vertAlign w:val="subscript"/>
              </w:rPr>
              <w:t>3</w:t>
            </w:r>
            <w:r>
              <w:rPr>
                <w:rFonts w:ascii="Times New Roman" w:hAnsi="Times New Roman" w:eastAsia="宋体"/>
                <w:kern w:val="0"/>
                <w:szCs w:val="21"/>
              </w:rPr>
              <w:t>-N</w:t>
            </w:r>
          </w:p>
        </w:tc>
        <w:tc>
          <w:tcPr>
            <w:tcW w:w="1701" w:type="dxa"/>
            <w:tcBorders>
              <w:top w:val="single" w:color="auto" w:sz="4" w:space="0"/>
              <w:bottom w:val="single" w:color="auto" w:sz="4" w:space="0"/>
            </w:tcBorders>
            <w:vAlign w:val="center"/>
          </w:tcPr>
          <w:p w14:paraId="3474DBC7">
            <w:pPr>
              <w:pStyle w:val="44"/>
              <w:spacing w:beforeLines="0" w:afterLines="0" w:line="240" w:lineRule="auto"/>
              <w:rPr>
                <w:rFonts w:ascii="Times New Roman" w:hAnsi="Times New Roman" w:eastAsia="宋体" w:cs="Times New Roman"/>
                <w:snapToGrid w:val="0"/>
                <w:kern w:val="21"/>
                <w:szCs w:val="21"/>
              </w:rPr>
            </w:pPr>
          </w:p>
        </w:tc>
        <w:tc>
          <w:tcPr>
            <w:tcW w:w="992" w:type="dxa"/>
            <w:tcBorders>
              <w:top w:val="single" w:color="auto" w:sz="4" w:space="0"/>
              <w:bottom w:val="single" w:color="auto" w:sz="4" w:space="0"/>
            </w:tcBorders>
            <w:vAlign w:val="center"/>
          </w:tcPr>
          <w:p w14:paraId="02203704">
            <w:pPr>
              <w:pStyle w:val="44"/>
              <w:spacing w:beforeLines="0" w:afterLines="0" w:line="240" w:lineRule="auto"/>
              <w:rPr>
                <w:rFonts w:ascii="Times New Roman" w:hAnsi="Times New Roman" w:eastAsia="宋体" w:cs="Times New Roman"/>
                <w:snapToGrid w:val="0"/>
                <w:kern w:val="21"/>
                <w:szCs w:val="21"/>
              </w:rPr>
            </w:pPr>
          </w:p>
        </w:tc>
        <w:tc>
          <w:tcPr>
            <w:tcW w:w="1560" w:type="dxa"/>
            <w:tcBorders>
              <w:top w:val="single" w:color="auto" w:sz="4" w:space="0"/>
              <w:bottom w:val="single" w:color="auto" w:sz="4" w:space="0"/>
            </w:tcBorders>
            <w:vAlign w:val="center"/>
          </w:tcPr>
          <w:p w14:paraId="28EB4023">
            <w:pPr>
              <w:pStyle w:val="44"/>
              <w:spacing w:beforeLines="0" w:afterLines="0" w:line="240" w:lineRule="auto"/>
              <w:rPr>
                <w:rFonts w:ascii="Times New Roman" w:hAnsi="Times New Roman" w:eastAsia="宋体" w:cs="Times New Roman"/>
                <w:snapToGrid w:val="0"/>
                <w:kern w:val="21"/>
                <w:szCs w:val="21"/>
              </w:rPr>
            </w:pPr>
          </w:p>
        </w:tc>
        <w:tc>
          <w:tcPr>
            <w:tcW w:w="1771" w:type="dxa"/>
            <w:tcBorders>
              <w:top w:val="single" w:color="auto" w:sz="4" w:space="0"/>
              <w:bottom w:val="single" w:color="auto" w:sz="4" w:space="0"/>
            </w:tcBorders>
            <w:vAlign w:val="center"/>
          </w:tcPr>
          <w:p w14:paraId="64085495">
            <w:pPr>
              <w:pStyle w:val="44"/>
              <w:spacing w:beforeLines="0" w:afterLines="0" w:line="240" w:lineRule="auto"/>
              <w:rPr>
                <w:rFonts w:ascii="Times New Roman" w:hAnsi="Times New Roman" w:eastAsia="宋体" w:cs="Times New Roman"/>
                <w:snapToGrid w:val="0"/>
                <w:kern w:val="21"/>
                <w:szCs w:val="21"/>
              </w:rPr>
            </w:pPr>
          </w:p>
        </w:tc>
        <w:tc>
          <w:tcPr>
            <w:tcW w:w="1322" w:type="dxa"/>
            <w:tcBorders>
              <w:top w:val="single" w:color="auto" w:sz="4" w:space="0"/>
              <w:bottom w:val="single" w:color="auto" w:sz="4" w:space="0"/>
            </w:tcBorders>
            <w:vAlign w:val="center"/>
          </w:tcPr>
          <w:p w14:paraId="2EA1CF1E">
            <w:pPr>
              <w:pStyle w:val="44"/>
              <w:spacing w:beforeLines="0" w:afterLines="0" w:line="240" w:lineRule="auto"/>
              <w:rPr>
                <w:rFonts w:ascii="Times New Roman" w:hAnsi="Times New Roman" w:eastAsia="宋体" w:cs="Times New Roman"/>
                <w:snapToGrid w:val="0"/>
                <w:kern w:val="21"/>
                <w:szCs w:val="21"/>
              </w:rPr>
            </w:pPr>
          </w:p>
        </w:tc>
        <w:tc>
          <w:tcPr>
            <w:tcW w:w="2010" w:type="dxa"/>
            <w:tcBorders>
              <w:top w:val="single" w:color="auto" w:sz="4" w:space="0"/>
              <w:bottom w:val="single" w:color="auto" w:sz="4" w:space="0"/>
            </w:tcBorders>
            <w:vAlign w:val="center"/>
          </w:tcPr>
          <w:p w14:paraId="10937676">
            <w:pPr>
              <w:pStyle w:val="44"/>
              <w:spacing w:beforeLines="0" w:afterLines="0" w:line="240" w:lineRule="auto"/>
              <w:rPr>
                <w:rFonts w:ascii="Times New Roman" w:hAnsi="Times New Roman" w:eastAsia="宋体" w:cs="Times New Roman"/>
                <w:snapToGrid w:val="0"/>
                <w:kern w:val="21"/>
                <w:szCs w:val="21"/>
              </w:rPr>
            </w:pPr>
          </w:p>
        </w:tc>
        <w:tc>
          <w:tcPr>
            <w:tcW w:w="1088" w:type="dxa"/>
            <w:tcBorders>
              <w:top w:val="single" w:color="auto" w:sz="4" w:space="0"/>
              <w:bottom w:val="single" w:color="auto" w:sz="4" w:space="0"/>
              <w:right w:val="single" w:color="auto" w:sz="12" w:space="0"/>
            </w:tcBorders>
            <w:vAlign w:val="center"/>
          </w:tcPr>
          <w:p w14:paraId="04344811">
            <w:pPr>
              <w:pStyle w:val="44"/>
              <w:spacing w:beforeLines="0" w:afterLines="0" w:line="240" w:lineRule="auto"/>
              <w:rPr>
                <w:rFonts w:ascii="Times New Roman" w:hAnsi="Times New Roman" w:eastAsia="宋体" w:cs="Times New Roman"/>
                <w:snapToGrid w:val="0"/>
                <w:kern w:val="21"/>
                <w:szCs w:val="21"/>
              </w:rPr>
            </w:pPr>
          </w:p>
        </w:tc>
      </w:tr>
      <w:tr w14:paraId="12EA48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restart"/>
            <w:tcBorders>
              <w:top w:val="single" w:color="auto" w:sz="4" w:space="0"/>
              <w:left w:val="single" w:color="auto" w:sz="12" w:space="0"/>
            </w:tcBorders>
            <w:vAlign w:val="center"/>
          </w:tcPr>
          <w:p w14:paraId="590591CA">
            <w:pPr>
              <w:pStyle w:val="44"/>
              <w:spacing w:before="24" w:after="24" w:line="240" w:lineRule="auto"/>
              <w:rPr>
                <w:rFonts w:ascii="Times New Roman" w:hAnsi="Times New Roman" w:eastAsia="宋体" w:cs="Times New Roman"/>
                <w:snapToGrid w:val="0"/>
                <w:kern w:val="21"/>
                <w:szCs w:val="21"/>
              </w:rPr>
            </w:pPr>
            <w:r>
              <w:rPr>
                <w:rFonts w:ascii="Times New Roman" w:hAnsi="Times New Roman" w:eastAsia="宋体" w:cs="Times New Roman"/>
                <w:snapToGrid w:val="0"/>
                <w:kern w:val="21"/>
                <w:szCs w:val="21"/>
              </w:rPr>
              <w:t>一般工业固体废物</w:t>
            </w:r>
          </w:p>
        </w:tc>
        <w:tc>
          <w:tcPr>
            <w:tcW w:w="2089" w:type="dxa"/>
            <w:tcBorders>
              <w:top w:val="single" w:color="auto" w:sz="4" w:space="0"/>
              <w:bottom w:val="single" w:color="auto" w:sz="4" w:space="0"/>
            </w:tcBorders>
          </w:tcPr>
          <w:p w14:paraId="45B6CFE5">
            <w:pPr>
              <w:pStyle w:val="44"/>
              <w:spacing w:before="24" w:after="24" w:line="240" w:lineRule="auto"/>
              <w:rPr>
                <w:rFonts w:ascii="Times New Roman" w:hAnsi="Times New Roman" w:eastAsia="宋体"/>
              </w:rPr>
            </w:pPr>
            <w:r>
              <w:rPr>
                <w:rFonts w:hint="eastAsia" w:ascii="Times New Roman" w:hAnsi="Times New Roman" w:eastAsia="宋体"/>
              </w:rPr>
              <w:t>掘进矸石</w:t>
            </w:r>
          </w:p>
        </w:tc>
        <w:tc>
          <w:tcPr>
            <w:tcW w:w="1701" w:type="dxa"/>
            <w:tcBorders>
              <w:top w:val="single" w:color="auto" w:sz="4" w:space="0"/>
              <w:bottom w:val="single" w:color="auto" w:sz="4" w:space="0"/>
            </w:tcBorders>
            <w:vAlign w:val="center"/>
          </w:tcPr>
          <w:p w14:paraId="1152520C">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8.7万</w:t>
            </w:r>
          </w:p>
        </w:tc>
        <w:tc>
          <w:tcPr>
            <w:tcW w:w="992" w:type="dxa"/>
            <w:tcBorders>
              <w:top w:val="single" w:color="auto" w:sz="4" w:space="0"/>
              <w:bottom w:val="single" w:color="auto" w:sz="4" w:space="0"/>
            </w:tcBorders>
            <w:vAlign w:val="center"/>
          </w:tcPr>
          <w:p w14:paraId="1E223F46">
            <w:pPr>
              <w:pStyle w:val="44"/>
              <w:spacing w:before="24" w:after="24" w:line="240" w:lineRule="auto"/>
              <w:rPr>
                <w:rFonts w:ascii="Times New Roman" w:hAnsi="Times New Roman" w:eastAsia="宋体" w:cs="Times New Roman"/>
                <w:snapToGrid w:val="0"/>
                <w:kern w:val="21"/>
                <w:szCs w:val="21"/>
              </w:rPr>
            </w:pPr>
          </w:p>
        </w:tc>
        <w:tc>
          <w:tcPr>
            <w:tcW w:w="1560" w:type="dxa"/>
            <w:tcBorders>
              <w:top w:val="single" w:color="auto" w:sz="4" w:space="0"/>
              <w:bottom w:val="single" w:color="auto" w:sz="4" w:space="0"/>
            </w:tcBorders>
            <w:vAlign w:val="center"/>
          </w:tcPr>
          <w:p w14:paraId="22E21AA7">
            <w:pPr>
              <w:pStyle w:val="44"/>
              <w:spacing w:before="24" w:after="24" w:line="240" w:lineRule="auto"/>
              <w:rPr>
                <w:rFonts w:ascii="Times New Roman" w:hAnsi="Times New Roman" w:eastAsia="宋体" w:cs="Times New Roman"/>
                <w:snapToGrid w:val="0"/>
                <w:kern w:val="21"/>
                <w:szCs w:val="21"/>
              </w:rPr>
            </w:pPr>
          </w:p>
        </w:tc>
        <w:tc>
          <w:tcPr>
            <w:tcW w:w="1771" w:type="dxa"/>
            <w:tcBorders>
              <w:top w:val="single" w:color="auto" w:sz="4" w:space="0"/>
              <w:bottom w:val="single" w:color="auto" w:sz="4" w:space="0"/>
            </w:tcBorders>
            <w:vAlign w:val="center"/>
          </w:tcPr>
          <w:p w14:paraId="57253150">
            <w:pPr>
              <w:pStyle w:val="44"/>
              <w:spacing w:before="24" w:after="24" w:line="240" w:lineRule="auto"/>
              <w:rPr>
                <w:rFonts w:ascii="Times New Roman" w:hAnsi="Times New Roman" w:eastAsia="宋体" w:cs="Times New Roman"/>
                <w:snapToGrid w:val="0"/>
                <w:kern w:val="21"/>
                <w:szCs w:val="21"/>
              </w:rPr>
            </w:pPr>
          </w:p>
        </w:tc>
        <w:tc>
          <w:tcPr>
            <w:tcW w:w="1322" w:type="dxa"/>
            <w:tcBorders>
              <w:top w:val="single" w:color="auto" w:sz="4" w:space="0"/>
              <w:bottom w:val="single" w:color="auto" w:sz="4" w:space="0"/>
            </w:tcBorders>
            <w:vAlign w:val="center"/>
          </w:tcPr>
          <w:p w14:paraId="48E1B031">
            <w:pPr>
              <w:pStyle w:val="44"/>
              <w:spacing w:before="24" w:after="24" w:line="240" w:lineRule="auto"/>
              <w:rPr>
                <w:rFonts w:ascii="Times New Roman" w:hAnsi="Times New Roman" w:eastAsia="宋体" w:cs="Times New Roman"/>
                <w:snapToGrid w:val="0"/>
                <w:kern w:val="21"/>
                <w:szCs w:val="21"/>
              </w:rPr>
            </w:pPr>
          </w:p>
        </w:tc>
        <w:tc>
          <w:tcPr>
            <w:tcW w:w="2010" w:type="dxa"/>
            <w:tcBorders>
              <w:top w:val="single" w:color="auto" w:sz="4" w:space="0"/>
              <w:bottom w:val="single" w:color="auto" w:sz="4" w:space="0"/>
            </w:tcBorders>
            <w:vAlign w:val="center"/>
          </w:tcPr>
          <w:p w14:paraId="15311162">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8.7万</w:t>
            </w:r>
          </w:p>
        </w:tc>
        <w:tc>
          <w:tcPr>
            <w:tcW w:w="1088" w:type="dxa"/>
            <w:tcBorders>
              <w:top w:val="single" w:color="auto" w:sz="4" w:space="0"/>
              <w:bottom w:val="single" w:color="auto" w:sz="4" w:space="0"/>
              <w:right w:val="single" w:color="auto" w:sz="12" w:space="0"/>
            </w:tcBorders>
          </w:tcPr>
          <w:p w14:paraId="16749E51">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0</w:t>
            </w:r>
          </w:p>
        </w:tc>
      </w:tr>
      <w:tr w14:paraId="0C6E48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continue"/>
            <w:tcBorders>
              <w:left w:val="single" w:color="auto" w:sz="12" w:space="0"/>
            </w:tcBorders>
            <w:vAlign w:val="center"/>
          </w:tcPr>
          <w:p w14:paraId="6AFA4257">
            <w:pPr>
              <w:pStyle w:val="44"/>
              <w:spacing w:before="24" w:after="24" w:line="240" w:lineRule="auto"/>
              <w:rPr>
                <w:rFonts w:ascii="Times New Roman" w:hAnsi="Times New Roman" w:eastAsia="宋体" w:cs="Times New Roman"/>
                <w:snapToGrid w:val="0"/>
                <w:kern w:val="21"/>
                <w:szCs w:val="21"/>
              </w:rPr>
            </w:pPr>
          </w:p>
        </w:tc>
        <w:tc>
          <w:tcPr>
            <w:tcW w:w="2089" w:type="dxa"/>
            <w:tcBorders>
              <w:top w:val="single" w:color="auto" w:sz="4" w:space="0"/>
              <w:bottom w:val="single" w:color="auto" w:sz="4" w:space="0"/>
            </w:tcBorders>
          </w:tcPr>
          <w:p w14:paraId="1DCFF367">
            <w:pPr>
              <w:pStyle w:val="44"/>
              <w:spacing w:before="24" w:after="24" w:line="240" w:lineRule="auto"/>
              <w:rPr>
                <w:rFonts w:ascii="Times New Roman" w:hAnsi="Times New Roman" w:eastAsia="宋体"/>
              </w:rPr>
            </w:pPr>
            <w:r>
              <w:rPr>
                <w:rFonts w:hint="eastAsia" w:ascii="Times New Roman" w:hAnsi="Times New Roman" w:eastAsia="宋体"/>
              </w:rPr>
              <w:t>洗选矸石</w:t>
            </w:r>
          </w:p>
        </w:tc>
        <w:tc>
          <w:tcPr>
            <w:tcW w:w="1701" w:type="dxa"/>
            <w:tcBorders>
              <w:top w:val="single" w:color="auto" w:sz="4" w:space="0"/>
              <w:bottom w:val="single" w:color="auto" w:sz="4" w:space="0"/>
            </w:tcBorders>
            <w:vAlign w:val="center"/>
          </w:tcPr>
          <w:p w14:paraId="4DB98145">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44万</w:t>
            </w:r>
          </w:p>
        </w:tc>
        <w:tc>
          <w:tcPr>
            <w:tcW w:w="992" w:type="dxa"/>
            <w:tcBorders>
              <w:top w:val="single" w:color="auto" w:sz="4" w:space="0"/>
              <w:bottom w:val="single" w:color="auto" w:sz="4" w:space="0"/>
            </w:tcBorders>
            <w:vAlign w:val="center"/>
          </w:tcPr>
          <w:p w14:paraId="60A11F83">
            <w:pPr>
              <w:pStyle w:val="44"/>
              <w:spacing w:before="24" w:after="24" w:line="240" w:lineRule="auto"/>
              <w:rPr>
                <w:rFonts w:ascii="Times New Roman" w:hAnsi="Times New Roman" w:eastAsia="宋体" w:cs="Times New Roman"/>
                <w:snapToGrid w:val="0"/>
                <w:kern w:val="21"/>
                <w:szCs w:val="21"/>
              </w:rPr>
            </w:pPr>
          </w:p>
        </w:tc>
        <w:tc>
          <w:tcPr>
            <w:tcW w:w="1560" w:type="dxa"/>
            <w:tcBorders>
              <w:top w:val="single" w:color="auto" w:sz="4" w:space="0"/>
              <w:bottom w:val="single" w:color="auto" w:sz="4" w:space="0"/>
            </w:tcBorders>
            <w:vAlign w:val="center"/>
          </w:tcPr>
          <w:p w14:paraId="2042D090">
            <w:pPr>
              <w:pStyle w:val="44"/>
              <w:spacing w:before="24" w:after="24" w:line="240" w:lineRule="auto"/>
              <w:rPr>
                <w:rFonts w:ascii="Times New Roman" w:hAnsi="Times New Roman" w:eastAsia="宋体" w:cs="Times New Roman"/>
                <w:snapToGrid w:val="0"/>
                <w:kern w:val="21"/>
                <w:szCs w:val="21"/>
              </w:rPr>
            </w:pPr>
          </w:p>
        </w:tc>
        <w:tc>
          <w:tcPr>
            <w:tcW w:w="1771" w:type="dxa"/>
            <w:tcBorders>
              <w:top w:val="single" w:color="auto" w:sz="4" w:space="0"/>
              <w:bottom w:val="single" w:color="auto" w:sz="4" w:space="0"/>
            </w:tcBorders>
            <w:vAlign w:val="center"/>
          </w:tcPr>
          <w:p w14:paraId="3E47F456">
            <w:pPr>
              <w:pStyle w:val="44"/>
              <w:spacing w:before="24" w:after="24" w:line="240" w:lineRule="auto"/>
              <w:rPr>
                <w:rFonts w:ascii="Times New Roman" w:hAnsi="Times New Roman" w:eastAsia="宋体" w:cs="Times New Roman"/>
                <w:snapToGrid w:val="0"/>
                <w:kern w:val="21"/>
                <w:szCs w:val="21"/>
              </w:rPr>
            </w:pPr>
          </w:p>
        </w:tc>
        <w:tc>
          <w:tcPr>
            <w:tcW w:w="1322" w:type="dxa"/>
            <w:tcBorders>
              <w:top w:val="single" w:color="auto" w:sz="4" w:space="0"/>
              <w:bottom w:val="single" w:color="auto" w:sz="4" w:space="0"/>
            </w:tcBorders>
            <w:vAlign w:val="center"/>
          </w:tcPr>
          <w:p w14:paraId="697560C7">
            <w:pPr>
              <w:pStyle w:val="44"/>
              <w:spacing w:before="24" w:after="24" w:line="240" w:lineRule="auto"/>
              <w:rPr>
                <w:rFonts w:ascii="Times New Roman" w:hAnsi="Times New Roman" w:eastAsia="宋体" w:cs="Times New Roman"/>
                <w:snapToGrid w:val="0"/>
                <w:kern w:val="21"/>
                <w:szCs w:val="21"/>
              </w:rPr>
            </w:pPr>
          </w:p>
        </w:tc>
        <w:tc>
          <w:tcPr>
            <w:tcW w:w="2010" w:type="dxa"/>
            <w:tcBorders>
              <w:top w:val="single" w:color="auto" w:sz="4" w:space="0"/>
              <w:bottom w:val="single" w:color="auto" w:sz="4" w:space="0"/>
            </w:tcBorders>
            <w:vAlign w:val="center"/>
          </w:tcPr>
          <w:p w14:paraId="570EB4D1">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44万</w:t>
            </w:r>
          </w:p>
        </w:tc>
        <w:tc>
          <w:tcPr>
            <w:tcW w:w="1088" w:type="dxa"/>
            <w:tcBorders>
              <w:top w:val="single" w:color="auto" w:sz="4" w:space="0"/>
              <w:bottom w:val="single" w:color="auto" w:sz="4" w:space="0"/>
              <w:right w:val="single" w:color="auto" w:sz="12" w:space="0"/>
            </w:tcBorders>
          </w:tcPr>
          <w:p w14:paraId="6A3B9FCC">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0</w:t>
            </w:r>
          </w:p>
        </w:tc>
      </w:tr>
      <w:tr w14:paraId="65918B6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continue"/>
            <w:tcBorders>
              <w:left w:val="single" w:color="auto" w:sz="12" w:space="0"/>
            </w:tcBorders>
            <w:vAlign w:val="center"/>
          </w:tcPr>
          <w:p w14:paraId="7DD0205B">
            <w:pPr>
              <w:pStyle w:val="44"/>
              <w:spacing w:before="24" w:after="24" w:line="240" w:lineRule="auto"/>
              <w:rPr>
                <w:rFonts w:ascii="Times New Roman" w:hAnsi="Times New Roman" w:eastAsia="宋体" w:cs="Times New Roman"/>
                <w:snapToGrid w:val="0"/>
                <w:kern w:val="21"/>
                <w:szCs w:val="21"/>
              </w:rPr>
            </w:pPr>
          </w:p>
        </w:tc>
        <w:tc>
          <w:tcPr>
            <w:tcW w:w="2089" w:type="dxa"/>
            <w:tcBorders>
              <w:top w:val="single" w:color="auto" w:sz="4" w:space="0"/>
              <w:bottom w:val="single" w:color="auto" w:sz="4" w:space="0"/>
            </w:tcBorders>
          </w:tcPr>
          <w:p w14:paraId="347641D7">
            <w:pPr>
              <w:pStyle w:val="44"/>
              <w:spacing w:before="24" w:after="24" w:line="240" w:lineRule="auto"/>
              <w:rPr>
                <w:rFonts w:ascii="Times New Roman" w:hAnsi="Times New Roman" w:eastAsia="宋体"/>
              </w:rPr>
            </w:pPr>
            <w:r>
              <w:rPr>
                <w:rFonts w:hint="eastAsia" w:ascii="Times New Roman" w:hAnsi="Times New Roman" w:eastAsia="宋体"/>
              </w:rPr>
              <w:t>矿井水处理站污泥</w:t>
            </w:r>
          </w:p>
        </w:tc>
        <w:tc>
          <w:tcPr>
            <w:tcW w:w="1701" w:type="dxa"/>
            <w:tcBorders>
              <w:top w:val="single" w:color="auto" w:sz="4" w:space="0"/>
              <w:bottom w:val="single" w:color="auto" w:sz="4" w:space="0"/>
            </w:tcBorders>
            <w:vAlign w:val="center"/>
          </w:tcPr>
          <w:p w14:paraId="37C89578">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469.8</w:t>
            </w:r>
          </w:p>
        </w:tc>
        <w:tc>
          <w:tcPr>
            <w:tcW w:w="992" w:type="dxa"/>
            <w:tcBorders>
              <w:top w:val="single" w:color="auto" w:sz="4" w:space="0"/>
              <w:bottom w:val="single" w:color="auto" w:sz="4" w:space="0"/>
            </w:tcBorders>
            <w:vAlign w:val="center"/>
          </w:tcPr>
          <w:p w14:paraId="251AF78F">
            <w:pPr>
              <w:pStyle w:val="44"/>
              <w:spacing w:before="24" w:after="24" w:line="240" w:lineRule="auto"/>
              <w:rPr>
                <w:rFonts w:ascii="Times New Roman" w:hAnsi="Times New Roman" w:eastAsia="宋体" w:cs="Times New Roman"/>
                <w:snapToGrid w:val="0"/>
                <w:kern w:val="21"/>
                <w:szCs w:val="21"/>
              </w:rPr>
            </w:pPr>
          </w:p>
        </w:tc>
        <w:tc>
          <w:tcPr>
            <w:tcW w:w="1560" w:type="dxa"/>
            <w:tcBorders>
              <w:top w:val="single" w:color="auto" w:sz="4" w:space="0"/>
              <w:bottom w:val="single" w:color="auto" w:sz="4" w:space="0"/>
            </w:tcBorders>
            <w:vAlign w:val="center"/>
          </w:tcPr>
          <w:p w14:paraId="1697F00F">
            <w:pPr>
              <w:pStyle w:val="44"/>
              <w:spacing w:before="24" w:after="24" w:line="240" w:lineRule="auto"/>
              <w:rPr>
                <w:rFonts w:ascii="Times New Roman" w:hAnsi="Times New Roman" w:eastAsia="宋体" w:cs="Times New Roman"/>
                <w:snapToGrid w:val="0"/>
                <w:kern w:val="21"/>
                <w:szCs w:val="21"/>
              </w:rPr>
            </w:pPr>
          </w:p>
        </w:tc>
        <w:tc>
          <w:tcPr>
            <w:tcW w:w="1771" w:type="dxa"/>
            <w:tcBorders>
              <w:top w:val="single" w:color="auto" w:sz="4" w:space="0"/>
              <w:bottom w:val="single" w:color="auto" w:sz="4" w:space="0"/>
            </w:tcBorders>
            <w:vAlign w:val="center"/>
          </w:tcPr>
          <w:p w14:paraId="5DE13162">
            <w:pPr>
              <w:pStyle w:val="44"/>
              <w:spacing w:before="24" w:after="24" w:line="240" w:lineRule="auto"/>
              <w:rPr>
                <w:rFonts w:ascii="Times New Roman" w:hAnsi="Times New Roman" w:eastAsia="宋体" w:cs="Times New Roman"/>
                <w:snapToGrid w:val="0"/>
                <w:kern w:val="21"/>
                <w:szCs w:val="21"/>
              </w:rPr>
            </w:pPr>
          </w:p>
        </w:tc>
        <w:tc>
          <w:tcPr>
            <w:tcW w:w="1322" w:type="dxa"/>
            <w:tcBorders>
              <w:top w:val="single" w:color="auto" w:sz="4" w:space="0"/>
              <w:bottom w:val="single" w:color="auto" w:sz="4" w:space="0"/>
            </w:tcBorders>
            <w:vAlign w:val="center"/>
          </w:tcPr>
          <w:p w14:paraId="233076D0">
            <w:pPr>
              <w:pStyle w:val="44"/>
              <w:spacing w:before="24" w:after="24" w:line="240" w:lineRule="auto"/>
              <w:rPr>
                <w:rFonts w:ascii="Times New Roman" w:hAnsi="Times New Roman" w:eastAsia="宋体" w:cs="Times New Roman"/>
                <w:snapToGrid w:val="0"/>
                <w:kern w:val="21"/>
                <w:szCs w:val="21"/>
              </w:rPr>
            </w:pPr>
          </w:p>
        </w:tc>
        <w:tc>
          <w:tcPr>
            <w:tcW w:w="2010" w:type="dxa"/>
            <w:tcBorders>
              <w:top w:val="single" w:color="auto" w:sz="4" w:space="0"/>
              <w:bottom w:val="single" w:color="auto" w:sz="4" w:space="0"/>
            </w:tcBorders>
            <w:vAlign w:val="center"/>
          </w:tcPr>
          <w:p w14:paraId="154AC6DB">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469.8</w:t>
            </w:r>
          </w:p>
        </w:tc>
        <w:tc>
          <w:tcPr>
            <w:tcW w:w="1088" w:type="dxa"/>
            <w:tcBorders>
              <w:top w:val="single" w:color="auto" w:sz="4" w:space="0"/>
              <w:bottom w:val="single" w:color="auto" w:sz="4" w:space="0"/>
              <w:right w:val="single" w:color="auto" w:sz="12" w:space="0"/>
            </w:tcBorders>
          </w:tcPr>
          <w:p w14:paraId="70BB895C">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0</w:t>
            </w:r>
          </w:p>
        </w:tc>
      </w:tr>
      <w:tr w14:paraId="438297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continue"/>
            <w:tcBorders>
              <w:left w:val="single" w:color="auto" w:sz="12" w:space="0"/>
            </w:tcBorders>
            <w:vAlign w:val="center"/>
          </w:tcPr>
          <w:p w14:paraId="2918B746">
            <w:pPr>
              <w:pStyle w:val="44"/>
              <w:spacing w:before="24" w:after="24" w:line="240" w:lineRule="auto"/>
              <w:rPr>
                <w:rFonts w:ascii="Times New Roman" w:hAnsi="Times New Roman" w:eastAsia="宋体" w:cs="Times New Roman"/>
                <w:snapToGrid w:val="0"/>
                <w:kern w:val="21"/>
                <w:szCs w:val="21"/>
              </w:rPr>
            </w:pPr>
          </w:p>
        </w:tc>
        <w:tc>
          <w:tcPr>
            <w:tcW w:w="2089" w:type="dxa"/>
            <w:tcBorders>
              <w:top w:val="single" w:color="auto" w:sz="4" w:space="0"/>
              <w:bottom w:val="single" w:color="auto" w:sz="4" w:space="0"/>
            </w:tcBorders>
          </w:tcPr>
          <w:p w14:paraId="343BC7B4">
            <w:pPr>
              <w:pStyle w:val="44"/>
              <w:spacing w:before="24" w:after="24" w:line="240" w:lineRule="auto"/>
              <w:rPr>
                <w:rFonts w:ascii="Times New Roman" w:hAnsi="Times New Roman" w:eastAsia="宋体"/>
              </w:rPr>
            </w:pPr>
            <w:r>
              <w:rPr>
                <w:rFonts w:hint="eastAsia" w:ascii="Times New Roman" w:hAnsi="Times New Roman" w:eastAsia="宋体"/>
              </w:rPr>
              <w:t>生活污水处理站污泥</w:t>
            </w:r>
          </w:p>
        </w:tc>
        <w:tc>
          <w:tcPr>
            <w:tcW w:w="1701" w:type="dxa"/>
            <w:tcBorders>
              <w:top w:val="single" w:color="auto" w:sz="4" w:space="0"/>
              <w:bottom w:val="single" w:color="auto" w:sz="4" w:space="0"/>
            </w:tcBorders>
            <w:vAlign w:val="center"/>
          </w:tcPr>
          <w:p w14:paraId="746924F8">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38.7</w:t>
            </w:r>
          </w:p>
        </w:tc>
        <w:tc>
          <w:tcPr>
            <w:tcW w:w="992" w:type="dxa"/>
            <w:tcBorders>
              <w:top w:val="single" w:color="auto" w:sz="4" w:space="0"/>
              <w:bottom w:val="single" w:color="auto" w:sz="4" w:space="0"/>
            </w:tcBorders>
            <w:vAlign w:val="center"/>
          </w:tcPr>
          <w:p w14:paraId="00BC4378">
            <w:pPr>
              <w:pStyle w:val="44"/>
              <w:spacing w:before="24" w:after="24" w:line="240" w:lineRule="auto"/>
              <w:rPr>
                <w:rFonts w:ascii="Times New Roman" w:hAnsi="Times New Roman" w:eastAsia="宋体" w:cs="Times New Roman"/>
                <w:snapToGrid w:val="0"/>
                <w:kern w:val="21"/>
                <w:szCs w:val="21"/>
              </w:rPr>
            </w:pPr>
          </w:p>
        </w:tc>
        <w:tc>
          <w:tcPr>
            <w:tcW w:w="1560" w:type="dxa"/>
            <w:tcBorders>
              <w:top w:val="single" w:color="auto" w:sz="4" w:space="0"/>
              <w:bottom w:val="single" w:color="auto" w:sz="4" w:space="0"/>
            </w:tcBorders>
            <w:vAlign w:val="center"/>
          </w:tcPr>
          <w:p w14:paraId="5175125B">
            <w:pPr>
              <w:pStyle w:val="44"/>
              <w:spacing w:before="24" w:after="24" w:line="240" w:lineRule="auto"/>
              <w:rPr>
                <w:rFonts w:ascii="Times New Roman" w:hAnsi="Times New Roman" w:eastAsia="宋体" w:cs="Times New Roman"/>
                <w:snapToGrid w:val="0"/>
                <w:kern w:val="21"/>
                <w:szCs w:val="21"/>
              </w:rPr>
            </w:pPr>
          </w:p>
        </w:tc>
        <w:tc>
          <w:tcPr>
            <w:tcW w:w="1771" w:type="dxa"/>
            <w:tcBorders>
              <w:top w:val="single" w:color="auto" w:sz="4" w:space="0"/>
              <w:bottom w:val="single" w:color="auto" w:sz="4" w:space="0"/>
            </w:tcBorders>
            <w:vAlign w:val="center"/>
          </w:tcPr>
          <w:p w14:paraId="134E1D01">
            <w:pPr>
              <w:pStyle w:val="44"/>
              <w:spacing w:before="24" w:after="24" w:line="240" w:lineRule="auto"/>
              <w:rPr>
                <w:rFonts w:ascii="Times New Roman" w:hAnsi="Times New Roman" w:eastAsia="宋体" w:cs="Times New Roman"/>
                <w:snapToGrid w:val="0"/>
                <w:kern w:val="21"/>
                <w:szCs w:val="21"/>
              </w:rPr>
            </w:pPr>
          </w:p>
        </w:tc>
        <w:tc>
          <w:tcPr>
            <w:tcW w:w="1322" w:type="dxa"/>
            <w:tcBorders>
              <w:top w:val="single" w:color="auto" w:sz="4" w:space="0"/>
              <w:bottom w:val="single" w:color="auto" w:sz="4" w:space="0"/>
            </w:tcBorders>
            <w:vAlign w:val="center"/>
          </w:tcPr>
          <w:p w14:paraId="36BB7C8A">
            <w:pPr>
              <w:pStyle w:val="44"/>
              <w:spacing w:before="24" w:after="24" w:line="240" w:lineRule="auto"/>
              <w:rPr>
                <w:rFonts w:ascii="Times New Roman" w:hAnsi="Times New Roman" w:eastAsia="宋体" w:cs="Times New Roman"/>
                <w:snapToGrid w:val="0"/>
                <w:kern w:val="21"/>
                <w:szCs w:val="21"/>
              </w:rPr>
            </w:pPr>
          </w:p>
        </w:tc>
        <w:tc>
          <w:tcPr>
            <w:tcW w:w="2010" w:type="dxa"/>
            <w:tcBorders>
              <w:top w:val="single" w:color="auto" w:sz="4" w:space="0"/>
              <w:bottom w:val="single" w:color="auto" w:sz="4" w:space="0"/>
            </w:tcBorders>
            <w:vAlign w:val="center"/>
          </w:tcPr>
          <w:p w14:paraId="51A5976B">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38.7</w:t>
            </w:r>
          </w:p>
        </w:tc>
        <w:tc>
          <w:tcPr>
            <w:tcW w:w="1088" w:type="dxa"/>
            <w:tcBorders>
              <w:top w:val="single" w:color="auto" w:sz="4" w:space="0"/>
              <w:bottom w:val="single" w:color="auto" w:sz="4" w:space="0"/>
              <w:right w:val="single" w:color="auto" w:sz="12" w:space="0"/>
            </w:tcBorders>
          </w:tcPr>
          <w:p w14:paraId="58AEC32E">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0</w:t>
            </w:r>
          </w:p>
        </w:tc>
      </w:tr>
      <w:tr w14:paraId="62217F9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continue"/>
            <w:tcBorders>
              <w:left w:val="single" w:color="auto" w:sz="12" w:space="0"/>
            </w:tcBorders>
            <w:vAlign w:val="center"/>
          </w:tcPr>
          <w:p w14:paraId="4E58A4B5">
            <w:pPr>
              <w:pStyle w:val="44"/>
              <w:spacing w:beforeLines="0" w:afterLines="0" w:line="240" w:lineRule="auto"/>
              <w:rPr>
                <w:rFonts w:ascii="Times New Roman" w:hAnsi="Times New Roman" w:eastAsia="宋体" w:cs="Times New Roman"/>
                <w:snapToGrid w:val="0"/>
                <w:kern w:val="21"/>
                <w:szCs w:val="21"/>
              </w:rPr>
            </w:pPr>
          </w:p>
        </w:tc>
        <w:tc>
          <w:tcPr>
            <w:tcW w:w="2089" w:type="dxa"/>
            <w:tcBorders>
              <w:top w:val="single" w:color="auto" w:sz="4" w:space="0"/>
              <w:bottom w:val="single" w:color="auto" w:sz="4" w:space="0"/>
            </w:tcBorders>
          </w:tcPr>
          <w:p w14:paraId="39B38234">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rPr>
              <w:t>废离子交换树脂</w:t>
            </w:r>
          </w:p>
        </w:tc>
        <w:tc>
          <w:tcPr>
            <w:tcW w:w="1701" w:type="dxa"/>
            <w:tcBorders>
              <w:top w:val="single" w:color="auto" w:sz="4" w:space="0"/>
              <w:bottom w:val="single" w:color="auto" w:sz="4" w:space="0"/>
            </w:tcBorders>
            <w:vAlign w:val="center"/>
          </w:tcPr>
          <w:p w14:paraId="3696E58D">
            <w:pPr>
              <w:pStyle w:val="44"/>
              <w:spacing w:before="24" w:after="24" w:line="240" w:lineRule="auto"/>
              <w:rPr>
                <w:rFonts w:ascii="Times New Roman" w:hAnsi="Times New Roman" w:eastAsia="宋体" w:cs="Times New Roman"/>
                <w:snapToGrid w:val="0"/>
                <w:kern w:val="21"/>
                <w:szCs w:val="21"/>
              </w:rPr>
            </w:pPr>
          </w:p>
        </w:tc>
        <w:tc>
          <w:tcPr>
            <w:tcW w:w="992" w:type="dxa"/>
            <w:tcBorders>
              <w:top w:val="single" w:color="auto" w:sz="4" w:space="0"/>
              <w:bottom w:val="single" w:color="auto" w:sz="4" w:space="0"/>
            </w:tcBorders>
            <w:vAlign w:val="center"/>
          </w:tcPr>
          <w:p w14:paraId="55F111D6">
            <w:pPr>
              <w:pStyle w:val="44"/>
              <w:spacing w:before="24" w:after="24" w:line="240" w:lineRule="auto"/>
              <w:rPr>
                <w:rFonts w:ascii="Times New Roman" w:hAnsi="Times New Roman" w:eastAsia="宋体" w:cs="Times New Roman"/>
                <w:snapToGrid w:val="0"/>
                <w:kern w:val="21"/>
                <w:szCs w:val="21"/>
              </w:rPr>
            </w:pPr>
          </w:p>
        </w:tc>
        <w:tc>
          <w:tcPr>
            <w:tcW w:w="1560" w:type="dxa"/>
            <w:tcBorders>
              <w:top w:val="single" w:color="auto" w:sz="4" w:space="0"/>
              <w:bottom w:val="single" w:color="auto" w:sz="4" w:space="0"/>
            </w:tcBorders>
            <w:vAlign w:val="center"/>
          </w:tcPr>
          <w:p w14:paraId="1C4620C0">
            <w:pPr>
              <w:pStyle w:val="44"/>
              <w:spacing w:before="24" w:after="24" w:line="240" w:lineRule="auto"/>
              <w:rPr>
                <w:rFonts w:ascii="Times New Roman" w:hAnsi="Times New Roman" w:eastAsia="宋体" w:cs="Times New Roman"/>
                <w:snapToGrid w:val="0"/>
                <w:kern w:val="21"/>
                <w:szCs w:val="21"/>
              </w:rPr>
            </w:pPr>
          </w:p>
        </w:tc>
        <w:tc>
          <w:tcPr>
            <w:tcW w:w="1771" w:type="dxa"/>
            <w:tcBorders>
              <w:top w:val="single" w:color="auto" w:sz="4" w:space="0"/>
              <w:bottom w:val="single" w:color="auto" w:sz="4" w:space="0"/>
            </w:tcBorders>
            <w:vAlign w:val="center"/>
          </w:tcPr>
          <w:p w14:paraId="49632FB4">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0.5</w:t>
            </w:r>
          </w:p>
        </w:tc>
        <w:tc>
          <w:tcPr>
            <w:tcW w:w="1322" w:type="dxa"/>
            <w:tcBorders>
              <w:top w:val="single" w:color="auto" w:sz="4" w:space="0"/>
              <w:bottom w:val="single" w:color="auto" w:sz="4" w:space="0"/>
            </w:tcBorders>
            <w:vAlign w:val="center"/>
          </w:tcPr>
          <w:p w14:paraId="7D29F0F1">
            <w:pPr>
              <w:pStyle w:val="44"/>
              <w:spacing w:before="24" w:after="24" w:line="240" w:lineRule="auto"/>
              <w:rPr>
                <w:rFonts w:ascii="Times New Roman" w:hAnsi="Times New Roman" w:eastAsia="宋体" w:cs="Times New Roman"/>
                <w:snapToGrid w:val="0"/>
                <w:kern w:val="21"/>
                <w:szCs w:val="21"/>
              </w:rPr>
            </w:pPr>
          </w:p>
        </w:tc>
        <w:tc>
          <w:tcPr>
            <w:tcW w:w="2010" w:type="dxa"/>
            <w:tcBorders>
              <w:top w:val="single" w:color="auto" w:sz="4" w:space="0"/>
              <w:bottom w:val="single" w:color="auto" w:sz="4" w:space="0"/>
            </w:tcBorders>
            <w:vAlign w:val="center"/>
          </w:tcPr>
          <w:p w14:paraId="4D0D449D">
            <w:pPr>
              <w:pStyle w:val="44"/>
              <w:spacing w:before="24" w:after="24" w:line="240" w:lineRule="auto"/>
              <w:rPr>
                <w:rFonts w:ascii="Times New Roman" w:hAnsi="Times New Roman" w:eastAsia="宋体" w:cs="Times New Roman"/>
                <w:snapToGrid w:val="0"/>
                <w:kern w:val="21"/>
                <w:szCs w:val="21"/>
              </w:rPr>
            </w:pPr>
            <w:r>
              <w:rPr>
                <w:rFonts w:ascii="Times New Roman" w:hAnsi="Times New Roman" w:eastAsia="宋体" w:cs="Times New Roman"/>
                <w:snapToGrid w:val="0"/>
                <w:kern w:val="21"/>
                <w:szCs w:val="21"/>
              </w:rPr>
              <w:t>0.5</w:t>
            </w:r>
          </w:p>
        </w:tc>
        <w:tc>
          <w:tcPr>
            <w:tcW w:w="1088" w:type="dxa"/>
            <w:tcBorders>
              <w:top w:val="single" w:color="auto" w:sz="4" w:space="0"/>
              <w:bottom w:val="single" w:color="auto" w:sz="4" w:space="0"/>
              <w:right w:val="single" w:color="auto" w:sz="12" w:space="0"/>
            </w:tcBorders>
            <w:vAlign w:val="center"/>
          </w:tcPr>
          <w:p w14:paraId="110E06A4">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0.5</w:t>
            </w:r>
          </w:p>
        </w:tc>
      </w:tr>
      <w:tr w14:paraId="4B4F39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continue"/>
            <w:tcBorders>
              <w:left w:val="single" w:color="auto" w:sz="12" w:space="0"/>
            </w:tcBorders>
            <w:vAlign w:val="center"/>
          </w:tcPr>
          <w:p w14:paraId="6C8CA6C9">
            <w:pPr>
              <w:pStyle w:val="44"/>
              <w:spacing w:beforeLines="0" w:afterLines="0" w:line="240" w:lineRule="auto"/>
              <w:rPr>
                <w:rFonts w:ascii="Times New Roman" w:hAnsi="Times New Roman" w:eastAsia="宋体" w:cs="Times New Roman"/>
                <w:snapToGrid w:val="0"/>
                <w:kern w:val="21"/>
                <w:szCs w:val="21"/>
              </w:rPr>
            </w:pPr>
          </w:p>
        </w:tc>
        <w:tc>
          <w:tcPr>
            <w:tcW w:w="2089" w:type="dxa"/>
            <w:tcBorders>
              <w:top w:val="single" w:color="auto" w:sz="4" w:space="0"/>
              <w:bottom w:val="single" w:color="auto" w:sz="4" w:space="0"/>
            </w:tcBorders>
          </w:tcPr>
          <w:p w14:paraId="6AE76235">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rPr>
              <w:t>锅炉灰渣</w:t>
            </w:r>
          </w:p>
        </w:tc>
        <w:tc>
          <w:tcPr>
            <w:tcW w:w="1701" w:type="dxa"/>
            <w:tcBorders>
              <w:top w:val="single" w:color="auto" w:sz="4" w:space="0"/>
              <w:bottom w:val="single" w:color="auto" w:sz="4" w:space="0"/>
            </w:tcBorders>
            <w:vAlign w:val="center"/>
          </w:tcPr>
          <w:p w14:paraId="49AF6864">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7792</w:t>
            </w:r>
          </w:p>
        </w:tc>
        <w:tc>
          <w:tcPr>
            <w:tcW w:w="992" w:type="dxa"/>
            <w:tcBorders>
              <w:top w:val="single" w:color="auto" w:sz="4" w:space="0"/>
              <w:bottom w:val="single" w:color="auto" w:sz="4" w:space="0"/>
            </w:tcBorders>
            <w:vAlign w:val="center"/>
          </w:tcPr>
          <w:p w14:paraId="694495C6">
            <w:pPr>
              <w:pStyle w:val="44"/>
              <w:spacing w:before="24" w:after="24" w:line="240" w:lineRule="auto"/>
              <w:rPr>
                <w:rFonts w:ascii="Times New Roman" w:hAnsi="Times New Roman" w:eastAsia="宋体" w:cs="Times New Roman"/>
                <w:snapToGrid w:val="0"/>
                <w:kern w:val="21"/>
                <w:szCs w:val="21"/>
              </w:rPr>
            </w:pPr>
          </w:p>
        </w:tc>
        <w:tc>
          <w:tcPr>
            <w:tcW w:w="1560" w:type="dxa"/>
            <w:tcBorders>
              <w:top w:val="single" w:color="auto" w:sz="4" w:space="0"/>
              <w:bottom w:val="single" w:color="auto" w:sz="4" w:space="0"/>
            </w:tcBorders>
            <w:vAlign w:val="center"/>
          </w:tcPr>
          <w:p w14:paraId="0732B7C8">
            <w:pPr>
              <w:pStyle w:val="44"/>
              <w:spacing w:before="24" w:after="24" w:line="240" w:lineRule="auto"/>
              <w:rPr>
                <w:rFonts w:ascii="Times New Roman" w:hAnsi="Times New Roman" w:eastAsia="宋体" w:cs="Times New Roman"/>
                <w:snapToGrid w:val="0"/>
                <w:kern w:val="21"/>
                <w:szCs w:val="21"/>
              </w:rPr>
            </w:pPr>
          </w:p>
        </w:tc>
        <w:tc>
          <w:tcPr>
            <w:tcW w:w="1771" w:type="dxa"/>
            <w:tcBorders>
              <w:top w:val="single" w:color="auto" w:sz="4" w:space="0"/>
              <w:bottom w:val="single" w:color="auto" w:sz="4" w:space="0"/>
            </w:tcBorders>
            <w:vAlign w:val="center"/>
          </w:tcPr>
          <w:p w14:paraId="3FC127E2">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3026.</w:t>
            </w:r>
            <w:r>
              <w:rPr>
                <w:rFonts w:ascii="Times New Roman" w:hAnsi="Times New Roman" w:eastAsia="宋体" w:cs="Times New Roman"/>
                <w:snapToGrid w:val="0"/>
                <w:kern w:val="21"/>
                <w:szCs w:val="21"/>
              </w:rPr>
              <w:t>502</w:t>
            </w:r>
          </w:p>
        </w:tc>
        <w:tc>
          <w:tcPr>
            <w:tcW w:w="1322" w:type="dxa"/>
            <w:tcBorders>
              <w:top w:val="single" w:color="auto" w:sz="4" w:space="0"/>
              <w:bottom w:val="single" w:color="auto" w:sz="4" w:space="0"/>
            </w:tcBorders>
            <w:vAlign w:val="center"/>
          </w:tcPr>
          <w:p w14:paraId="7023D3BA">
            <w:pPr>
              <w:pStyle w:val="44"/>
              <w:spacing w:before="24" w:after="24" w:line="240" w:lineRule="auto"/>
              <w:rPr>
                <w:rFonts w:ascii="Times New Roman" w:hAnsi="Times New Roman" w:eastAsia="宋体" w:cs="Times New Roman"/>
                <w:snapToGrid w:val="0"/>
                <w:kern w:val="21"/>
                <w:szCs w:val="21"/>
              </w:rPr>
            </w:pPr>
            <w:r>
              <w:rPr>
                <w:rFonts w:ascii="Times New Roman" w:hAnsi="Times New Roman" w:eastAsia="宋体" w:cs="Times New Roman"/>
                <w:snapToGrid w:val="0"/>
                <w:kern w:val="21"/>
                <w:szCs w:val="21"/>
              </w:rPr>
              <w:t>6862</w:t>
            </w:r>
          </w:p>
        </w:tc>
        <w:tc>
          <w:tcPr>
            <w:tcW w:w="2010" w:type="dxa"/>
            <w:tcBorders>
              <w:top w:val="single" w:color="auto" w:sz="4" w:space="0"/>
              <w:bottom w:val="single" w:color="auto" w:sz="4" w:space="0"/>
            </w:tcBorders>
            <w:vAlign w:val="center"/>
          </w:tcPr>
          <w:p w14:paraId="297E837A">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3</w:t>
            </w:r>
            <w:r>
              <w:rPr>
                <w:rFonts w:ascii="Times New Roman" w:hAnsi="Times New Roman" w:eastAsia="宋体" w:cs="Times New Roman"/>
                <w:snapToGrid w:val="0"/>
                <w:kern w:val="21"/>
                <w:szCs w:val="21"/>
              </w:rPr>
              <w:t>956</w:t>
            </w:r>
            <w:r>
              <w:rPr>
                <w:rFonts w:hint="eastAsia" w:ascii="Times New Roman" w:hAnsi="Times New Roman" w:eastAsia="宋体" w:cs="Times New Roman"/>
                <w:snapToGrid w:val="0"/>
                <w:kern w:val="21"/>
                <w:szCs w:val="21"/>
              </w:rPr>
              <w:t>.</w:t>
            </w:r>
            <w:r>
              <w:rPr>
                <w:rFonts w:ascii="Times New Roman" w:hAnsi="Times New Roman" w:eastAsia="宋体" w:cs="Times New Roman"/>
                <w:snapToGrid w:val="0"/>
                <w:kern w:val="21"/>
                <w:szCs w:val="21"/>
              </w:rPr>
              <w:t>502</w:t>
            </w:r>
          </w:p>
        </w:tc>
        <w:tc>
          <w:tcPr>
            <w:tcW w:w="1088" w:type="dxa"/>
            <w:tcBorders>
              <w:top w:val="single" w:color="auto" w:sz="4" w:space="0"/>
              <w:bottom w:val="single" w:color="auto" w:sz="4" w:space="0"/>
              <w:right w:val="single" w:color="auto" w:sz="12" w:space="0"/>
            </w:tcBorders>
            <w:vAlign w:val="center"/>
          </w:tcPr>
          <w:p w14:paraId="7586B15D">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w:t>
            </w:r>
            <w:r>
              <w:rPr>
                <w:rFonts w:ascii="Times New Roman" w:hAnsi="Times New Roman" w:eastAsia="宋体" w:cs="Times New Roman"/>
                <w:snapToGrid w:val="0"/>
                <w:kern w:val="21"/>
                <w:szCs w:val="21"/>
              </w:rPr>
              <w:t>3835.498</w:t>
            </w:r>
          </w:p>
        </w:tc>
      </w:tr>
      <w:tr w14:paraId="00A6DA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vMerge w:val="continue"/>
            <w:tcBorders>
              <w:left w:val="single" w:color="auto" w:sz="12" w:space="0"/>
            </w:tcBorders>
            <w:vAlign w:val="center"/>
          </w:tcPr>
          <w:p w14:paraId="38F6789A">
            <w:pPr>
              <w:pStyle w:val="44"/>
              <w:spacing w:beforeLines="0" w:afterLines="0" w:line="240" w:lineRule="auto"/>
              <w:rPr>
                <w:rFonts w:ascii="Times New Roman" w:hAnsi="Times New Roman" w:eastAsia="宋体" w:cs="Times New Roman"/>
                <w:snapToGrid w:val="0"/>
                <w:kern w:val="21"/>
                <w:szCs w:val="21"/>
              </w:rPr>
            </w:pPr>
          </w:p>
        </w:tc>
        <w:tc>
          <w:tcPr>
            <w:tcW w:w="2089" w:type="dxa"/>
            <w:tcBorders>
              <w:top w:val="single" w:color="auto" w:sz="4" w:space="0"/>
              <w:bottom w:val="single" w:color="auto" w:sz="4" w:space="0"/>
            </w:tcBorders>
          </w:tcPr>
          <w:p w14:paraId="627D7A18">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rPr>
              <w:t>脱硫副产物</w:t>
            </w:r>
          </w:p>
        </w:tc>
        <w:tc>
          <w:tcPr>
            <w:tcW w:w="1701" w:type="dxa"/>
            <w:tcBorders>
              <w:top w:val="single" w:color="auto" w:sz="4" w:space="0"/>
              <w:bottom w:val="single" w:color="auto" w:sz="4" w:space="0"/>
            </w:tcBorders>
            <w:vAlign w:val="center"/>
          </w:tcPr>
          <w:p w14:paraId="02C1D5DF">
            <w:pPr>
              <w:pStyle w:val="44"/>
              <w:spacing w:before="24" w:after="24" w:line="240" w:lineRule="auto"/>
              <w:rPr>
                <w:rFonts w:ascii="Times New Roman" w:hAnsi="Times New Roman" w:eastAsia="宋体" w:cs="Times New Roman"/>
                <w:snapToGrid w:val="0"/>
                <w:kern w:val="21"/>
                <w:szCs w:val="21"/>
              </w:rPr>
            </w:pPr>
          </w:p>
        </w:tc>
        <w:tc>
          <w:tcPr>
            <w:tcW w:w="992" w:type="dxa"/>
            <w:tcBorders>
              <w:top w:val="single" w:color="auto" w:sz="4" w:space="0"/>
              <w:bottom w:val="single" w:color="auto" w:sz="4" w:space="0"/>
            </w:tcBorders>
            <w:vAlign w:val="center"/>
          </w:tcPr>
          <w:p w14:paraId="613675BF">
            <w:pPr>
              <w:pStyle w:val="44"/>
              <w:spacing w:before="24" w:after="24" w:line="240" w:lineRule="auto"/>
              <w:rPr>
                <w:rFonts w:ascii="Times New Roman" w:hAnsi="Times New Roman" w:eastAsia="宋体" w:cs="Times New Roman"/>
                <w:snapToGrid w:val="0"/>
                <w:kern w:val="21"/>
                <w:szCs w:val="21"/>
              </w:rPr>
            </w:pPr>
          </w:p>
        </w:tc>
        <w:tc>
          <w:tcPr>
            <w:tcW w:w="1560" w:type="dxa"/>
            <w:tcBorders>
              <w:top w:val="single" w:color="auto" w:sz="4" w:space="0"/>
              <w:bottom w:val="single" w:color="auto" w:sz="4" w:space="0"/>
            </w:tcBorders>
            <w:vAlign w:val="center"/>
          </w:tcPr>
          <w:p w14:paraId="015000E7">
            <w:pPr>
              <w:pStyle w:val="44"/>
              <w:spacing w:before="24" w:after="24" w:line="240" w:lineRule="auto"/>
              <w:rPr>
                <w:rFonts w:ascii="Times New Roman" w:hAnsi="Times New Roman" w:eastAsia="宋体" w:cs="Times New Roman"/>
                <w:snapToGrid w:val="0"/>
                <w:kern w:val="21"/>
                <w:szCs w:val="21"/>
              </w:rPr>
            </w:pPr>
          </w:p>
        </w:tc>
        <w:tc>
          <w:tcPr>
            <w:tcW w:w="1771" w:type="dxa"/>
            <w:tcBorders>
              <w:top w:val="single" w:color="auto" w:sz="4" w:space="0"/>
              <w:bottom w:val="single" w:color="auto" w:sz="4" w:space="0"/>
            </w:tcBorders>
            <w:vAlign w:val="center"/>
          </w:tcPr>
          <w:p w14:paraId="753F403B">
            <w:pPr>
              <w:pStyle w:val="44"/>
              <w:spacing w:before="24" w:after="24" w:line="240" w:lineRule="auto"/>
              <w:rPr>
                <w:rFonts w:ascii="Times New Roman" w:hAnsi="Times New Roman" w:eastAsia="宋体" w:cs="Times New Roman"/>
                <w:snapToGrid w:val="0"/>
                <w:kern w:val="21"/>
                <w:szCs w:val="21"/>
              </w:rPr>
            </w:pPr>
            <w:r>
              <w:rPr>
                <w:rFonts w:ascii="Times New Roman" w:hAnsi="Times New Roman" w:eastAsia="宋体" w:cs="Times New Roman"/>
                <w:bCs/>
                <w:snapToGrid w:val="0"/>
                <w:kern w:val="21"/>
                <w:szCs w:val="21"/>
              </w:rPr>
              <w:t>303.86</w:t>
            </w:r>
          </w:p>
        </w:tc>
        <w:tc>
          <w:tcPr>
            <w:tcW w:w="1322" w:type="dxa"/>
            <w:tcBorders>
              <w:top w:val="single" w:color="auto" w:sz="4" w:space="0"/>
              <w:bottom w:val="single" w:color="auto" w:sz="4" w:space="0"/>
            </w:tcBorders>
            <w:vAlign w:val="center"/>
          </w:tcPr>
          <w:p w14:paraId="16901EFC">
            <w:pPr>
              <w:pStyle w:val="44"/>
              <w:spacing w:before="24" w:after="24" w:line="240" w:lineRule="auto"/>
              <w:rPr>
                <w:rFonts w:ascii="Times New Roman" w:hAnsi="Times New Roman" w:eastAsia="宋体" w:cs="Times New Roman"/>
                <w:snapToGrid w:val="0"/>
                <w:kern w:val="21"/>
                <w:szCs w:val="21"/>
              </w:rPr>
            </w:pPr>
          </w:p>
        </w:tc>
        <w:tc>
          <w:tcPr>
            <w:tcW w:w="2010" w:type="dxa"/>
            <w:tcBorders>
              <w:top w:val="single" w:color="auto" w:sz="4" w:space="0"/>
              <w:bottom w:val="single" w:color="auto" w:sz="4" w:space="0"/>
            </w:tcBorders>
            <w:vAlign w:val="center"/>
          </w:tcPr>
          <w:p w14:paraId="320158D4">
            <w:pPr>
              <w:pStyle w:val="44"/>
              <w:spacing w:before="24" w:after="24" w:line="240" w:lineRule="auto"/>
              <w:rPr>
                <w:rFonts w:ascii="Times New Roman" w:hAnsi="Times New Roman" w:eastAsia="宋体" w:cs="Times New Roman"/>
                <w:snapToGrid w:val="0"/>
                <w:kern w:val="21"/>
                <w:szCs w:val="21"/>
              </w:rPr>
            </w:pPr>
            <w:r>
              <w:rPr>
                <w:rFonts w:ascii="Times New Roman" w:hAnsi="Times New Roman" w:eastAsia="宋体" w:cs="Times New Roman"/>
                <w:bCs/>
                <w:snapToGrid w:val="0"/>
                <w:kern w:val="21"/>
                <w:szCs w:val="21"/>
              </w:rPr>
              <w:t>303.86</w:t>
            </w:r>
          </w:p>
        </w:tc>
        <w:tc>
          <w:tcPr>
            <w:tcW w:w="1088" w:type="dxa"/>
            <w:tcBorders>
              <w:top w:val="single" w:color="auto" w:sz="4" w:space="0"/>
              <w:bottom w:val="single" w:color="auto" w:sz="4" w:space="0"/>
              <w:right w:val="single" w:color="auto" w:sz="12" w:space="0"/>
            </w:tcBorders>
            <w:vAlign w:val="center"/>
          </w:tcPr>
          <w:p w14:paraId="78B98817">
            <w:pPr>
              <w:pStyle w:val="44"/>
              <w:spacing w:before="24" w:after="24" w:line="240" w:lineRule="auto"/>
              <w:rPr>
                <w:rFonts w:ascii="Times New Roman" w:hAnsi="Times New Roman" w:eastAsia="宋体" w:cs="Times New Roman"/>
                <w:snapToGrid w:val="0"/>
                <w:kern w:val="21"/>
                <w:szCs w:val="21"/>
              </w:rPr>
            </w:pPr>
            <w:r>
              <w:rPr>
                <w:rFonts w:ascii="Times New Roman" w:hAnsi="Times New Roman" w:eastAsia="宋体" w:cs="Times New Roman"/>
                <w:bCs/>
                <w:snapToGrid w:val="0"/>
                <w:kern w:val="21"/>
                <w:szCs w:val="21"/>
              </w:rPr>
              <w:t>303.86</w:t>
            </w:r>
          </w:p>
        </w:tc>
      </w:tr>
      <w:tr w14:paraId="2DBE9F2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tcBorders>
              <w:top w:val="single" w:color="auto" w:sz="4" w:space="0"/>
              <w:left w:val="single" w:color="auto" w:sz="12" w:space="0"/>
              <w:bottom w:val="single" w:color="auto" w:sz="4" w:space="0"/>
            </w:tcBorders>
            <w:vAlign w:val="center"/>
          </w:tcPr>
          <w:p w14:paraId="7B849F1B">
            <w:pPr>
              <w:pStyle w:val="44"/>
              <w:spacing w:beforeLines="0" w:afterLines="0"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生活垃圾</w:t>
            </w:r>
          </w:p>
        </w:tc>
        <w:tc>
          <w:tcPr>
            <w:tcW w:w="2089" w:type="dxa"/>
            <w:tcBorders>
              <w:top w:val="single" w:color="auto" w:sz="4" w:space="0"/>
              <w:bottom w:val="single" w:color="auto" w:sz="4" w:space="0"/>
            </w:tcBorders>
            <w:vAlign w:val="center"/>
          </w:tcPr>
          <w:p w14:paraId="29D8B7A3">
            <w:pPr>
              <w:pStyle w:val="44"/>
              <w:spacing w:before="24" w:after="24" w:line="240" w:lineRule="auto"/>
              <w:rPr>
                <w:rFonts w:ascii="Times New Roman" w:hAnsi="Times New Roman" w:eastAsia="宋体" w:cs="Times New Roman"/>
                <w:bCs/>
                <w:szCs w:val="21"/>
              </w:rPr>
            </w:pPr>
            <w:r>
              <w:rPr>
                <w:rFonts w:hint="eastAsia" w:ascii="Times New Roman" w:hAnsi="Times New Roman" w:eastAsia="宋体" w:cs="Times New Roman"/>
                <w:bCs/>
                <w:szCs w:val="21"/>
              </w:rPr>
              <w:t>生活垃圾</w:t>
            </w:r>
          </w:p>
        </w:tc>
        <w:tc>
          <w:tcPr>
            <w:tcW w:w="1701" w:type="dxa"/>
            <w:tcBorders>
              <w:top w:val="single" w:color="auto" w:sz="4" w:space="0"/>
              <w:bottom w:val="single" w:color="auto" w:sz="4" w:space="0"/>
            </w:tcBorders>
            <w:vAlign w:val="center"/>
          </w:tcPr>
          <w:p w14:paraId="7A09A02F">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375</w:t>
            </w:r>
          </w:p>
        </w:tc>
        <w:tc>
          <w:tcPr>
            <w:tcW w:w="992" w:type="dxa"/>
            <w:tcBorders>
              <w:top w:val="single" w:color="auto" w:sz="4" w:space="0"/>
              <w:bottom w:val="single" w:color="auto" w:sz="4" w:space="0"/>
            </w:tcBorders>
            <w:vAlign w:val="center"/>
          </w:tcPr>
          <w:p w14:paraId="5E531F36">
            <w:pPr>
              <w:pStyle w:val="44"/>
              <w:spacing w:before="24" w:after="24" w:line="240" w:lineRule="auto"/>
              <w:rPr>
                <w:rFonts w:ascii="Times New Roman" w:hAnsi="Times New Roman" w:eastAsia="宋体" w:cs="Times New Roman"/>
                <w:snapToGrid w:val="0"/>
                <w:kern w:val="21"/>
                <w:szCs w:val="21"/>
              </w:rPr>
            </w:pPr>
          </w:p>
        </w:tc>
        <w:tc>
          <w:tcPr>
            <w:tcW w:w="1560" w:type="dxa"/>
            <w:tcBorders>
              <w:top w:val="single" w:color="auto" w:sz="4" w:space="0"/>
              <w:bottom w:val="single" w:color="auto" w:sz="4" w:space="0"/>
            </w:tcBorders>
            <w:vAlign w:val="center"/>
          </w:tcPr>
          <w:p w14:paraId="35E14970">
            <w:pPr>
              <w:pStyle w:val="44"/>
              <w:spacing w:before="24" w:after="24" w:line="240" w:lineRule="auto"/>
              <w:rPr>
                <w:rFonts w:ascii="Times New Roman" w:hAnsi="Times New Roman" w:eastAsia="宋体" w:cs="Times New Roman"/>
                <w:snapToGrid w:val="0"/>
                <w:kern w:val="21"/>
                <w:szCs w:val="21"/>
              </w:rPr>
            </w:pPr>
          </w:p>
        </w:tc>
        <w:tc>
          <w:tcPr>
            <w:tcW w:w="1771" w:type="dxa"/>
            <w:tcBorders>
              <w:top w:val="single" w:color="auto" w:sz="4" w:space="0"/>
              <w:bottom w:val="single" w:color="auto" w:sz="4" w:space="0"/>
            </w:tcBorders>
            <w:vAlign w:val="center"/>
          </w:tcPr>
          <w:p w14:paraId="1ECB19F8">
            <w:pPr>
              <w:pStyle w:val="44"/>
              <w:spacing w:before="24" w:after="24" w:line="240" w:lineRule="auto"/>
              <w:rPr>
                <w:rFonts w:ascii="Times New Roman" w:hAnsi="Times New Roman" w:eastAsia="宋体" w:cs="Times New Roman"/>
                <w:snapToGrid w:val="0"/>
                <w:kern w:val="21"/>
                <w:szCs w:val="21"/>
              </w:rPr>
            </w:pPr>
          </w:p>
        </w:tc>
        <w:tc>
          <w:tcPr>
            <w:tcW w:w="1322" w:type="dxa"/>
            <w:tcBorders>
              <w:top w:val="single" w:color="auto" w:sz="4" w:space="0"/>
              <w:bottom w:val="single" w:color="auto" w:sz="4" w:space="0"/>
            </w:tcBorders>
            <w:vAlign w:val="center"/>
          </w:tcPr>
          <w:p w14:paraId="70AFEF1F">
            <w:pPr>
              <w:pStyle w:val="44"/>
              <w:spacing w:before="24" w:after="24" w:line="240" w:lineRule="auto"/>
              <w:rPr>
                <w:rFonts w:ascii="Times New Roman" w:hAnsi="Times New Roman" w:eastAsia="宋体" w:cs="Times New Roman"/>
                <w:snapToGrid w:val="0"/>
                <w:kern w:val="21"/>
                <w:szCs w:val="21"/>
              </w:rPr>
            </w:pPr>
          </w:p>
        </w:tc>
        <w:tc>
          <w:tcPr>
            <w:tcW w:w="2010" w:type="dxa"/>
            <w:tcBorders>
              <w:top w:val="single" w:color="auto" w:sz="4" w:space="0"/>
              <w:bottom w:val="single" w:color="auto" w:sz="4" w:space="0"/>
            </w:tcBorders>
            <w:vAlign w:val="center"/>
          </w:tcPr>
          <w:p w14:paraId="287562A9">
            <w:pPr>
              <w:pStyle w:val="44"/>
              <w:spacing w:before="24" w:after="24" w:line="240" w:lineRule="auto"/>
              <w:rPr>
                <w:rFonts w:ascii="Times New Roman" w:hAnsi="Times New Roman" w:eastAsia="宋体" w:cs="Times New Roman"/>
                <w:snapToGrid w:val="0"/>
                <w:kern w:val="21"/>
                <w:szCs w:val="21"/>
              </w:rPr>
            </w:pPr>
            <w:r>
              <w:rPr>
                <w:rFonts w:ascii="Times New Roman" w:hAnsi="Times New Roman" w:eastAsia="宋体" w:cs="Times New Roman"/>
                <w:snapToGrid w:val="0"/>
                <w:kern w:val="21"/>
                <w:szCs w:val="21"/>
              </w:rPr>
              <w:t>375</w:t>
            </w:r>
          </w:p>
        </w:tc>
        <w:tc>
          <w:tcPr>
            <w:tcW w:w="1088" w:type="dxa"/>
            <w:tcBorders>
              <w:top w:val="single" w:color="auto" w:sz="4" w:space="0"/>
              <w:bottom w:val="single" w:color="auto" w:sz="4" w:space="0"/>
              <w:right w:val="single" w:color="auto" w:sz="12" w:space="0"/>
            </w:tcBorders>
            <w:vAlign w:val="center"/>
          </w:tcPr>
          <w:p w14:paraId="3A56C489">
            <w:pPr>
              <w:pStyle w:val="44"/>
              <w:spacing w:before="24" w:after="24"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0</w:t>
            </w:r>
          </w:p>
        </w:tc>
      </w:tr>
      <w:tr w14:paraId="52F0A3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73" w:type="dxa"/>
            <w:tcBorders>
              <w:top w:val="single" w:color="auto" w:sz="4" w:space="0"/>
              <w:left w:val="single" w:color="auto" w:sz="12" w:space="0"/>
            </w:tcBorders>
            <w:vAlign w:val="center"/>
          </w:tcPr>
          <w:p w14:paraId="04EB62EC">
            <w:pPr>
              <w:pStyle w:val="44"/>
              <w:spacing w:beforeLines="0" w:afterLines="0" w:line="240" w:lineRule="auto"/>
              <w:rPr>
                <w:rFonts w:ascii="Times New Roman" w:hAnsi="Times New Roman" w:eastAsia="宋体" w:cs="Times New Roman"/>
                <w:snapToGrid w:val="0"/>
                <w:kern w:val="21"/>
                <w:szCs w:val="21"/>
              </w:rPr>
            </w:pPr>
            <w:r>
              <w:rPr>
                <w:rFonts w:ascii="Times New Roman" w:hAnsi="Times New Roman" w:eastAsia="宋体" w:cs="Times New Roman"/>
                <w:snapToGrid w:val="0"/>
                <w:kern w:val="21"/>
                <w:szCs w:val="21"/>
              </w:rPr>
              <w:t>危险废物</w:t>
            </w:r>
          </w:p>
        </w:tc>
        <w:tc>
          <w:tcPr>
            <w:tcW w:w="2089" w:type="dxa"/>
            <w:tcBorders>
              <w:top w:val="single" w:color="auto" w:sz="4" w:space="0"/>
              <w:bottom w:val="single" w:color="auto" w:sz="4" w:space="0"/>
            </w:tcBorders>
            <w:vAlign w:val="center"/>
          </w:tcPr>
          <w:p w14:paraId="553EB879">
            <w:pPr>
              <w:pStyle w:val="44"/>
              <w:spacing w:beforeLines="0" w:afterLines="0" w:line="240" w:lineRule="auto"/>
              <w:rPr>
                <w:rFonts w:ascii="Times New Roman" w:hAnsi="Times New Roman" w:eastAsia="宋体" w:cs="Times New Roman"/>
                <w:snapToGrid w:val="0"/>
                <w:kern w:val="21"/>
                <w:szCs w:val="21"/>
              </w:rPr>
            </w:pPr>
            <w:r>
              <w:rPr>
                <w:rFonts w:ascii="Times New Roman" w:hAnsi="Times New Roman" w:eastAsia="宋体"/>
                <w:szCs w:val="24"/>
              </w:rPr>
              <w:t>废催化剂</w:t>
            </w:r>
          </w:p>
        </w:tc>
        <w:tc>
          <w:tcPr>
            <w:tcW w:w="1701" w:type="dxa"/>
            <w:tcBorders>
              <w:top w:val="single" w:color="auto" w:sz="4" w:space="0"/>
              <w:bottom w:val="single" w:color="auto" w:sz="4" w:space="0"/>
            </w:tcBorders>
            <w:vAlign w:val="center"/>
          </w:tcPr>
          <w:p w14:paraId="6237D166">
            <w:pPr>
              <w:pStyle w:val="44"/>
              <w:spacing w:beforeLines="0" w:afterLines="0" w:line="240" w:lineRule="auto"/>
              <w:rPr>
                <w:rFonts w:ascii="Times New Roman" w:hAnsi="Times New Roman" w:eastAsia="宋体" w:cs="Times New Roman"/>
                <w:snapToGrid w:val="0"/>
                <w:kern w:val="21"/>
                <w:szCs w:val="21"/>
              </w:rPr>
            </w:pPr>
          </w:p>
        </w:tc>
        <w:tc>
          <w:tcPr>
            <w:tcW w:w="992" w:type="dxa"/>
            <w:tcBorders>
              <w:top w:val="single" w:color="auto" w:sz="4" w:space="0"/>
              <w:bottom w:val="single" w:color="auto" w:sz="4" w:space="0"/>
            </w:tcBorders>
            <w:vAlign w:val="center"/>
          </w:tcPr>
          <w:p w14:paraId="12690EEC">
            <w:pPr>
              <w:pStyle w:val="44"/>
              <w:spacing w:beforeLines="0" w:afterLines="0" w:line="240" w:lineRule="auto"/>
              <w:rPr>
                <w:rFonts w:ascii="Times New Roman" w:hAnsi="Times New Roman" w:eastAsia="宋体" w:cs="Times New Roman"/>
                <w:snapToGrid w:val="0"/>
                <w:kern w:val="21"/>
                <w:szCs w:val="21"/>
              </w:rPr>
            </w:pPr>
          </w:p>
        </w:tc>
        <w:tc>
          <w:tcPr>
            <w:tcW w:w="1560" w:type="dxa"/>
            <w:tcBorders>
              <w:top w:val="single" w:color="auto" w:sz="4" w:space="0"/>
              <w:bottom w:val="single" w:color="auto" w:sz="4" w:space="0"/>
            </w:tcBorders>
            <w:vAlign w:val="center"/>
          </w:tcPr>
          <w:p w14:paraId="636E378B">
            <w:pPr>
              <w:pStyle w:val="44"/>
              <w:spacing w:beforeLines="0" w:afterLines="0" w:line="240" w:lineRule="auto"/>
              <w:rPr>
                <w:rFonts w:ascii="Times New Roman" w:hAnsi="Times New Roman" w:eastAsia="宋体" w:cs="Times New Roman"/>
                <w:snapToGrid w:val="0"/>
                <w:kern w:val="21"/>
                <w:szCs w:val="21"/>
              </w:rPr>
            </w:pPr>
          </w:p>
        </w:tc>
        <w:tc>
          <w:tcPr>
            <w:tcW w:w="1771" w:type="dxa"/>
            <w:tcBorders>
              <w:top w:val="single" w:color="auto" w:sz="4" w:space="0"/>
              <w:bottom w:val="single" w:color="auto" w:sz="4" w:space="0"/>
            </w:tcBorders>
            <w:vAlign w:val="center"/>
          </w:tcPr>
          <w:p w14:paraId="1655B819">
            <w:pPr>
              <w:pStyle w:val="44"/>
              <w:spacing w:beforeLines="0" w:afterLines="0" w:line="240" w:lineRule="auto"/>
              <w:rPr>
                <w:rFonts w:ascii="Times New Roman" w:hAnsi="Times New Roman" w:eastAsia="宋体" w:cs="Times New Roman"/>
                <w:snapToGrid w:val="0"/>
                <w:kern w:val="21"/>
                <w:szCs w:val="21"/>
              </w:rPr>
            </w:pPr>
            <w:r>
              <w:rPr>
                <w:rFonts w:hint="eastAsia" w:ascii="Times New Roman" w:hAnsi="Times New Roman" w:eastAsia="宋体" w:cs="Times New Roman"/>
                <w:snapToGrid w:val="0"/>
                <w:kern w:val="21"/>
                <w:szCs w:val="21"/>
              </w:rPr>
              <w:t>5</w:t>
            </w:r>
          </w:p>
        </w:tc>
        <w:tc>
          <w:tcPr>
            <w:tcW w:w="1322" w:type="dxa"/>
            <w:tcBorders>
              <w:top w:val="single" w:color="auto" w:sz="4" w:space="0"/>
              <w:bottom w:val="single" w:color="auto" w:sz="4" w:space="0"/>
            </w:tcBorders>
            <w:vAlign w:val="center"/>
          </w:tcPr>
          <w:p w14:paraId="7184606F">
            <w:pPr>
              <w:pStyle w:val="44"/>
              <w:spacing w:beforeLines="0" w:afterLines="0" w:line="240" w:lineRule="auto"/>
              <w:rPr>
                <w:rFonts w:ascii="Times New Roman" w:hAnsi="Times New Roman" w:eastAsia="宋体" w:cs="Times New Roman"/>
                <w:snapToGrid w:val="0"/>
                <w:kern w:val="21"/>
                <w:szCs w:val="21"/>
              </w:rPr>
            </w:pPr>
          </w:p>
        </w:tc>
        <w:tc>
          <w:tcPr>
            <w:tcW w:w="2010" w:type="dxa"/>
            <w:tcBorders>
              <w:top w:val="single" w:color="auto" w:sz="4" w:space="0"/>
              <w:bottom w:val="single" w:color="auto" w:sz="4" w:space="0"/>
            </w:tcBorders>
            <w:vAlign w:val="center"/>
          </w:tcPr>
          <w:p w14:paraId="7E747BDB">
            <w:pPr>
              <w:pStyle w:val="44"/>
              <w:spacing w:beforeLines="0" w:afterLines="0" w:line="240" w:lineRule="auto"/>
              <w:rPr>
                <w:rFonts w:ascii="Times New Roman" w:hAnsi="Times New Roman" w:eastAsia="宋体" w:cs="Times New Roman"/>
                <w:snapToGrid w:val="0"/>
                <w:kern w:val="21"/>
                <w:szCs w:val="21"/>
              </w:rPr>
            </w:pPr>
            <w:r>
              <w:rPr>
                <w:rFonts w:ascii="Times New Roman" w:hAnsi="Times New Roman" w:eastAsia="宋体" w:cs="Times New Roman"/>
                <w:snapToGrid w:val="0"/>
                <w:kern w:val="21"/>
                <w:szCs w:val="21"/>
              </w:rPr>
              <w:t>5</w:t>
            </w:r>
          </w:p>
        </w:tc>
        <w:tc>
          <w:tcPr>
            <w:tcW w:w="1088" w:type="dxa"/>
            <w:tcBorders>
              <w:top w:val="single" w:color="auto" w:sz="4" w:space="0"/>
              <w:bottom w:val="single" w:color="auto" w:sz="4" w:space="0"/>
              <w:right w:val="single" w:color="auto" w:sz="12" w:space="0"/>
            </w:tcBorders>
            <w:vAlign w:val="center"/>
          </w:tcPr>
          <w:p w14:paraId="55C07260">
            <w:pPr>
              <w:pStyle w:val="44"/>
              <w:spacing w:beforeLines="0" w:afterLines="0" w:line="240" w:lineRule="auto"/>
              <w:rPr>
                <w:rFonts w:ascii="Times New Roman" w:hAnsi="Times New Roman" w:eastAsia="宋体" w:cs="Times New Roman"/>
                <w:snapToGrid w:val="0"/>
                <w:kern w:val="21"/>
                <w:szCs w:val="21"/>
              </w:rPr>
            </w:pPr>
            <w:r>
              <w:rPr>
                <w:rFonts w:ascii="Times New Roman" w:hAnsi="Times New Roman" w:eastAsia="宋体" w:cs="Times New Roman"/>
                <w:snapToGrid w:val="0"/>
                <w:kern w:val="21"/>
                <w:szCs w:val="21"/>
              </w:rPr>
              <w:t>5</w:t>
            </w:r>
          </w:p>
        </w:tc>
      </w:tr>
    </w:tbl>
    <w:p w14:paraId="5EDC1116">
      <w:pPr>
        <w:pStyle w:val="44"/>
        <w:spacing w:before="192" w:beforeLines="80" w:after="24"/>
        <w:jc w:val="left"/>
        <w:rPr>
          <w:rFonts w:hint="eastAsia"/>
        </w:rPr>
        <w:sectPr>
          <w:footerReference r:id="rId6" w:type="default"/>
          <w:pgSz w:w="16838" w:h="11906" w:orient="landscape"/>
          <w:pgMar w:top="1531" w:right="1701" w:bottom="1531" w:left="1701" w:header="851" w:footer="851" w:gutter="0"/>
          <w:cols w:space="720" w:num="1"/>
          <w:docGrid w:linePitch="312" w:charSpace="0"/>
        </w:sectPr>
      </w:pPr>
      <w:r>
        <w:rPr>
          <w:rFonts w:ascii="Times New Roman" w:hAnsi="Times New Roman" w:eastAsia="宋体" w:cs="Times New Roman"/>
          <w:snapToGrid w:val="0"/>
          <w:kern w:val="21"/>
          <w:szCs w:val="21"/>
        </w:rPr>
        <w:t>注：</w:t>
      </w:r>
      <w:r>
        <w:rPr>
          <w:rFonts w:ascii="Times New Roman" w:hAnsi="Times New Roman" w:eastAsia="宋体" w:cs="Times New Roman"/>
          <w:snapToGrid w:val="0"/>
          <w:spacing w:val="-16"/>
          <w:kern w:val="21"/>
          <w:szCs w:val="21"/>
        </w:rPr>
        <w:fldChar w:fldCharType="begin"/>
      </w:r>
      <w:r>
        <w:rPr>
          <w:rFonts w:ascii="Times New Roman" w:hAnsi="Times New Roman" w:eastAsia="宋体" w:cs="Times New Roman"/>
          <w:snapToGrid w:val="0"/>
          <w:spacing w:val="-16"/>
          <w:kern w:val="21"/>
          <w:szCs w:val="21"/>
        </w:rPr>
        <w:instrText xml:space="preserve"> = 6 \* GB3 \* MERGEFORMAT </w:instrText>
      </w:r>
      <w:r>
        <w:rPr>
          <w:rFonts w:ascii="Times New Roman" w:hAnsi="Times New Roman" w:eastAsia="宋体" w:cs="Times New Roman"/>
          <w:snapToGrid w:val="0"/>
          <w:spacing w:val="-16"/>
          <w:kern w:val="21"/>
          <w:szCs w:val="21"/>
        </w:rPr>
        <w:fldChar w:fldCharType="separate"/>
      </w:r>
      <w:r>
        <w:rPr>
          <w:rFonts w:hint="eastAsia" w:hAnsi="宋体" w:eastAsia="宋体" w:cs="宋体"/>
          <w:szCs w:val="21"/>
        </w:rPr>
        <w:t>⑥</w:t>
      </w:r>
      <w:r>
        <w:rPr>
          <w:rFonts w:ascii="Times New Roman" w:hAnsi="Times New Roman" w:eastAsia="宋体" w:cs="Times New Roman"/>
          <w:snapToGrid w:val="0"/>
          <w:spacing w:val="-16"/>
          <w:kern w:val="21"/>
          <w:szCs w:val="21"/>
        </w:rPr>
        <w:fldChar w:fldCharType="end"/>
      </w:r>
      <w:r>
        <w:rPr>
          <w:rFonts w:ascii="Times New Roman" w:hAnsi="Times New Roman" w:eastAsia="宋体" w:cs="Times New Roman"/>
          <w:snapToGrid w:val="0"/>
          <w:spacing w:val="-16"/>
          <w:kern w:val="21"/>
          <w:szCs w:val="21"/>
        </w:rPr>
        <w:t>=</w:t>
      </w:r>
      <w:r>
        <w:rPr>
          <w:rFonts w:ascii="Times New Roman" w:hAnsi="Times New Roman" w:eastAsia="宋体" w:cs="Times New Roman"/>
          <w:snapToGrid w:val="0"/>
          <w:spacing w:val="-6"/>
          <w:kern w:val="21"/>
          <w:szCs w:val="21"/>
        </w:rPr>
        <w:fldChar w:fldCharType="begin"/>
      </w:r>
      <w:r>
        <w:rPr>
          <w:rFonts w:ascii="Times New Roman" w:hAnsi="Times New Roman" w:eastAsia="宋体" w:cs="Times New Roman"/>
          <w:snapToGrid w:val="0"/>
          <w:spacing w:val="-6"/>
          <w:kern w:val="21"/>
          <w:szCs w:val="21"/>
        </w:rPr>
        <w:instrText xml:space="preserve"> = 1 \* GB3 \* MERGEFORMAT </w:instrText>
      </w:r>
      <w:r>
        <w:rPr>
          <w:rFonts w:ascii="Times New Roman" w:hAnsi="Times New Roman" w:eastAsia="宋体" w:cs="Times New Roman"/>
          <w:snapToGrid w:val="0"/>
          <w:spacing w:val="-6"/>
          <w:kern w:val="21"/>
          <w:szCs w:val="21"/>
        </w:rPr>
        <w:fldChar w:fldCharType="separate"/>
      </w:r>
      <w:r>
        <w:rPr>
          <w:rFonts w:hint="eastAsia" w:hAnsi="宋体" w:eastAsia="宋体" w:cs="宋体"/>
          <w:szCs w:val="21"/>
        </w:rPr>
        <w:t>①</w:t>
      </w:r>
      <w:r>
        <w:rPr>
          <w:rFonts w:ascii="Times New Roman" w:hAnsi="Times New Roman" w:eastAsia="宋体" w:cs="Times New Roman"/>
          <w:snapToGrid w:val="0"/>
          <w:spacing w:val="-6"/>
          <w:kern w:val="21"/>
          <w:szCs w:val="21"/>
        </w:rPr>
        <w:fldChar w:fldCharType="end"/>
      </w:r>
      <w:r>
        <w:rPr>
          <w:rFonts w:ascii="Times New Roman" w:hAnsi="Times New Roman" w:eastAsia="宋体" w:cs="Times New Roman"/>
          <w:snapToGrid w:val="0"/>
          <w:spacing w:val="-6"/>
          <w:kern w:val="21"/>
          <w:szCs w:val="21"/>
        </w:rPr>
        <w:t>+</w:t>
      </w:r>
      <w:r>
        <w:rPr>
          <w:rFonts w:ascii="Times New Roman" w:hAnsi="Times New Roman" w:eastAsia="宋体" w:cs="Times New Roman"/>
          <w:snapToGrid w:val="0"/>
          <w:spacing w:val="-6"/>
          <w:kern w:val="21"/>
          <w:szCs w:val="21"/>
        </w:rPr>
        <w:fldChar w:fldCharType="begin"/>
      </w:r>
      <w:r>
        <w:rPr>
          <w:rFonts w:ascii="Times New Roman" w:hAnsi="Times New Roman" w:eastAsia="宋体" w:cs="Times New Roman"/>
          <w:snapToGrid w:val="0"/>
          <w:spacing w:val="-6"/>
          <w:kern w:val="21"/>
          <w:szCs w:val="21"/>
        </w:rPr>
        <w:instrText xml:space="preserve"> = 3 \* GB3 \* MERGEFORMAT </w:instrText>
      </w:r>
      <w:r>
        <w:rPr>
          <w:rFonts w:ascii="Times New Roman" w:hAnsi="Times New Roman" w:eastAsia="宋体" w:cs="Times New Roman"/>
          <w:snapToGrid w:val="0"/>
          <w:spacing w:val="-6"/>
          <w:kern w:val="21"/>
          <w:szCs w:val="21"/>
        </w:rPr>
        <w:fldChar w:fldCharType="separate"/>
      </w:r>
      <w:r>
        <w:rPr>
          <w:rFonts w:hint="eastAsia" w:hAnsi="宋体" w:eastAsia="宋体" w:cs="宋体"/>
          <w:szCs w:val="21"/>
        </w:rPr>
        <w:t>③</w:t>
      </w:r>
      <w:r>
        <w:rPr>
          <w:rFonts w:ascii="Times New Roman" w:hAnsi="Times New Roman" w:eastAsia="宋体" w:cs="Times New Roman"/>
          <w:snapToGrid w:val="0"/>
          <w:spacing w:val="-6"/>
          <w:kern w:val="21"/>
          <w:szCs w:val="21"/>
        </w:rPr>
        <w:fldChar w:fldCharType="end"/>
      </w:r>
      <w:r>
        <w:rPr>
          <w:rFonts w:ascii="Times New Roman" w:hAnsi="Times New Roman" w:eastAsia="宋体" w:cs="Times New Roman"/>
          <w:snapToGrid w:val="0"/>
          <w:spacing w:val="-6"/>
          <w:kern w:val="21"/>
          <w:szCs w:val="21"/>
        </w:rPr>
        <w:t>+</w:t>
      </w:r>
      <w:r>
        <w:rPr>
          <w:rFonts w:ascii="Times New Roman" w:hAnsi="Times New Roman" w:eastAsia="宋体" w:cs="Times New Roman"/>
          <w:snapToGrid w:val="0"/>
          <w:spacing w:val="-6"/>
          <w:kern w:val="21"/>
          <w:szCs w:val="21"/>
        </w:rPr>
        <w:fldChar w:fldCharType="begin"/>
      </w:r>
      <w:r>
        <w:rPr>
          <w:rFonts w:ascii="Times New Roman" w:hAnsi="Times New Roman" w:eastAsia="宋体" w:cs="Times New Roman"/>
          <w:snapToGrid w:val="0"/>
          <w:spacing w:val="-6"/>
          <w:kern w:val="21"/>
          <w:szCs w:val="21"/>
        </w:rPr>
        <w:instrText xml:space="preserve"> = 4 \* GB3 \* MERGEFORMAT </w:instrText>
      </w:r>
      <w:r>
        <w:rPr>
          <w:rFonts w:ascii="Times New Roman" w:hAnsi="Times New Roman" w:eastAsia="宋体" w:cs="Times New Roman"/>
          <w:snapToGrid w:val="0"/>
          <w:spacing w:val="-6"/>
          <w:kern w:val="21"/>
          <w:szCs w:val="21"/>
        </w:rPr>
        <w:fldChar w:fldCharType="separate"/>
      </w:r>
      <w:r>
        <w:rPr>
          <w:rFonts w:hint="eastAsia" w:hAnsi="宋体" w:eastAsia="宋体" w:cs="宋体"/>
          <w:szCs w:val="21"/>
        </w:rPr>
        <w:t>④</w:t>
      </w:r>
      <w:r>
        <w:rPr>
          <w:rFonts w:ascii="Times New Roman" w:hAnsi="Times New Roman" w:eastAsia="宋体" w:cs="Times New Roman"/>
          <w:snapToGrid w:val="0"/>
          <w:spacing w:val="-6"/>
          <w:kern w:val="21"/>
          <w:szCs w:val="21"/>
        </w:rPr>
        <w:fldChar w:fldCharType="end"/>
      </w:r>
      <w:r>
        <w:rPr>
          <w:rFonts w:ascii="Times New Roman" w:hAnsi="Times New Roman" w:eastAsia="宋体" w:cs="Times New Roman"/>
          <w:snapToGrid w:val="0"/>
          <w:spacing w:val="-6"/>
          <w:kern w:val="21"/>
          <w:szCs w:val="21"/>
        </w:rPr>
        <w:t>-</w:t>
      </w:r>
      <w:r>
        <w:rPr>
          <w:rFonts w:ascii="Times New Roman" w:hAnsi="Times New Roman" w:eastAsia="宋体" w:cs="Times New Roman"/>
          <w:snapToGrid w:val="0"/>
          <w:spacing w:val="-16"/>
          <w:kern w:val="21"/>
          <w:szCs w:val="21"/>
        </w:rPr>
        <w:fldChar w:fldCharType="begin"/>
      </w:r>
      <w:r>
        <w:rPr>
          <w:rFonts w:ascii="Times New Roman" w:hAnsi="Times New Roman" w:eastAsia="宋体" w:cs="Times New Roman"/>
          <w:snapToGrid w:val="0"/>
          <w:spacing w:val="-16"/>
          <w:kern w:val="21"/>
          <w:szCs w:val="21"/>
        </w:rPr>
        <w:instrText xml:space="preserve"> = 5 \* GB3 \* MERGEFORMAT </w:instrText>
      </w:r>
      <w:r>
        <w:rPr>
          <w:rFonts w:ascii="Times New Roman" w:hAnsi="Times New Roman" w:eastAsia="宋体" w:cs="Times New Roman"/>
          <w:snapToGrid w:val="0"/>
          <w:spacing w:val="-16"/>
          <w:kern w:val="21"/>
          <w:szCs w:val="21"/>
        </w:rPr>
        <w:fldChar w:fldCharType="separate"/>
      </w:r>
      <w:r>
        <w:rPr>
          <w:rFonts w:hint="eastAsia" w:hAnsi="宋体" w:eastAsia="宋体" w:cs="宋体"/>
          <w:szCs w:val="21"/>
        </w:rPr>
        <w:t>⑤</w:t>
      </w:r>
      <w:r>
        <w:rPr>
          <w:rFonts w:ascii="Times New Roman" w:hAnsi="Times New Roman" w:eastAsia="宋体" w:cs="Times New Roman"/>
          <w:snapToGrid w:val="0"/>
          <w:spacing w:val="-16"/>
          <w:kern w:val="21"/>
          <w:szCs w:val="21"/>
        </w:rPr>
        <w:fldChar w:fldCharType="end"/>
      </w:r>
      <w:r>
        <w:rPr>
          <w:rFonts w:ascii="Times New Roman" w:hAnsi="Times New Roman" w:eastAsia="宋体" w:cs="Times New Roman"/>
          <w:snapToGrid w:val="0"/>
          <w:spacing w:val="-16"/>
          <w:kern w:val="21"/>
          <w:szCs w:val="21"/>
        </w:rPr>
        <w:t>；</w:t>
      </w:r>
      <w:r>
        <w:rPr>
          <w:rFonts w:ascii="Times New Roman" w:hAnsi="Times New Roman" w:eastAsia="宋体" w:cs="Times New Roman"/>
          <w:snapToGrid w:val="0"/>
          <w:spacing w:val="-6"/>
          <w:kern w:val="21"/>
          <w:szCs w:val="21"/>
        </w:rPr>
        <w:fldChar w:fldCharType="begin"/>
      </w:r>
      <w:r>
        <w:rPr>
          <w:rFonts w:ascii="Times New Roman" w:hAnsi="Times New Roman" w:eastAsia="宋体" w:cs="Times New Roman"/>
          <w:snapToGrid w:val="0"/>
          <w:spacing w:val="-6"/>
          <w:kern w:val="21"/>
          <w:szCs w:val="21"/>
        </w:rPr>
        <w:instrText xml:space="preserve"> = 7 \* GB3 \* MERGEFORMAT </w:instrText>
      </w:r>
      <w:r>
        <w:rPr>
          <w:rFonts w:ascii="Times New Roman" w:hAnsi="Times New Roman" w:eastAsia="宋体" w:cs="Times New Roman"/>
          <w:snapToGrid w:val="0"/>
          <w:spacing w:val="-6"/>
          <w:kern w:val="21"/>
          <w:szCs w:val="21"/>
        </w:rPr>
        <w:fldChar w:fldCharType="separate"/>
      </w:r>
      <w:r>
        <w:rPr>
          <w:rFonts w:hint="eastAsia" w:hAnsi="宋体" w:eastAsia="宋体" w:cs="宋体"/>
          <w:szCs w:val="21"/>
        </w:rPr>
        <w:t>⑦</w:t>
      </w:r>
      <w:r>
        <w:rPr>
          <w:rFonts w:ascii="Times New Roman" w:hAnsi="Times New Roman" w:eastAsia="宋体" w:cs="Times New Roman"/>
          <w:snapToGrid w:val="0"/>
          <w:spacing w:val="-6"/>
          <w:kern w:val="21"/>
          <w:szCs w:val="21"/>
        </w:rPr>
        <w:fldChar w:fldCharType="end"/>
      </w:r>
      <w:r>
        <w:rPr>
          <w:rFonts w:ascii="Times New Roman" w:hAnsi="Times New Roman" w:eastAsia="宋体" w:cs="Times New Roman"/>
          <w:snapToGrid w:val="0"/>
          <w:spacing w:val="-6"/>
          <w:kern w:val="21"/>
          <w:szCs w:val="21"/>
        </w:rPr>
        <w:t>=</w:t>
      </w:r>
      <w:r>
        <w:rPr>
          <w:rFonts w:ascii="Times New Roman" w:hAnsi="Times New Roman" w:eastAsia="宋体" w:cs="Times New Roman"/>
          <w:snapToGrid w:val="0"/>
          <w:spacing w:val="-16"/>
          <w:kern w:val="21"/>
          <w:szCs w:val="21"/>
        </w:rPr>
        <w:fldChar w:fldCharType="begin"/>
      </w:r>
      <w:r>
        <w:rPr>
          <w:rFonts w:ascii="Times New Roman" w:hAnsi="Times New Roman" w:eastAsia="宋体" w:cs="Times New Roman"/>
          <w:snapToGrid w:val="0"/>
          <w:spacing w:val="-16"/>
          <w:kern w:val="21"/>
          <w:szCs w:val="21"/>
        </w:rPr>
        <w:instrText xml:space="preserve"> = 6 \* GB3 \* MERGEFORMAT </w:instrText>
      </w:r>
      <w:r>
        <w:rPr>
          <w:rFonts w:ascii="Times New Roman" w:hAnsi="Times New Roman" w:eastAsia="宋体" w:cs="Times New Roman"/>
          <w:snapToGrid w:val="0"/>
          <w:spacing w:val="-16"/>
          <w:kern w:val="21"/>
          <w:szCs w:val="21"/>
        </w:rPr>
        <w:fldChar w:fldCharType="separate"/>
      </w:r>
      <w:r>
        <w:rPr>
          <w:rFonts w:hint="eastAsia" w:hAnsi="宋体" w:eastAsia="宋体" w:cs="宋体"/>
          <w:szCs w:val="21"/>
        </w:rPr>
        <w:t>⑥</w:t>
      </w:r>
      <w:r>
        <w:rPr>
          <w:rFonts w:ascii="Times New Roman" w:hAnsi="Times New Roman" w:eastAsia="宋体" w:cs="Times New Roman"/>
          <w:snapToGrid w:val="0"/>
          <w:spacing w:val="-16"/>
          <w:kern w:val="21"/>
          <w:szCs w:val="21"/>
        </w:rPr>
        <w:fldChar w:fldCharType="end"/>
      </w:r>
      <w:r>
        <w:rPr>
          <w:rFonts w:ascii="Times New Roman" w:hAnsi="Times New Roman" w:eastAsia="宋体" w:cs="Times New Roman"/>
          <w:snapToGrid w:val="0"/>
          <w:spacing w:val="-16"/>
          <w:kern w:val="21"/>
          <w:szCs w:val="21"/>
        </w:rPr>
        <w:t>-</w:t>
      </w:r>
      <w:r>
        <w:rPr>
          <w:rFonts w:ascii="Times New Roman" w:hAnsi="Times New Roman" w:eastAsia="宋体" w:cs="Times New Roman"/>
          <w:snapToGrid w:val="0"/>
          <w:spacing w:val="-6"/>
          <w:kern w:val="21"/>
          <w:szCs w:val="21"/>
        </w:rPr>
        <w:fldChar w:fldCharType="begin"/>
      </w:r>
      <w:r>
        <w:rPr>
          <w:rFonts w:ascii="Times New Roman" w:hAnsi="Times New Roman" w:eastAsia="宋体" w:cs="Times New Roman"/>
          <w:snapToGrid w:val="0"/>
          <w:spacing w:val="-6"/>
          <w:kern w:val="21"/>
          <w:szCs w:val="21"/>
        </w:rPr>
        <w:instrText xml:space="preserve"> = 1 \* GB3 \* MERGEFORMAT </w:instrText>
      </w:r>
      <w:r>
        <w:rPr>
          <w:rFonts w:ascii="Times New Roman" w:hAnsi="Times New Roman" w:eastAsia="宋体" w:cs="Times New Roman"/>
          <w:snapToGrid w:val="0"/>
          <w:spacing w:val="-6"/>
          <w:kern w:val="21"/>
          <w:szCs w:val="21"/>
        </w:rPr>
        <w:fldChar w:fldCharType="separate"/>
      </w:r>
      <w:r>
        <w:rPr>
          <w:rFonts w:hint="eastAsia" w:hAnsi="宋体" w:eastAsia="宋体" w:cs="宋体"/>
          <w:szCs w:val="21"/>
        </w:rPr>
        <w:t>①</w:t>
      </w:r>
      <w:r>
        <w:rPr>
          <w:rFonts w:ascii="Times New Roman" w:hAnsi="Times New Roman" w:eastAsia="宋体" w:cs="Times New Roman"/>
          <w:snapToGrid w:val="0"/>
          <w:spacing w:val="-6"/>
          <w:kern w:val="21"/>
          <w:szCs w:val="21"/>
        </w:rPr>
        <w:fldChar w:fldCharType="end"/>
      </w:r>
      <w:r>
        <w:rPr>
          <w:snapToGrid w:val="0"/>
          <w:spacing w:val="-6"/>
          <w:kern w:val="21"/>
          <w:szCs w:val="21"/>
        </w:rPr>
        <w:br w:type="page"/>
      </w:r>
    </w:p>
    <w:p w14:paraId="3B8863B1">
      <w:pPr>
        <w:pStyle w:val="27"/>
        <w:adjustRightInd w:val="0"/>
        <w:snapToGrid w:val="0"/>
        <w:spacing w:before="0" w:beforeAutospacing="0" w:after="0" w:afterAutospacing="0" w:line="360" w:lineRule="auto"/>
        <w:outlineLvl w:val="0"/>
        <w:rPr>
          <w:rFonts w:hint="eastAsia" w:ascii="黑体" w:hAnsi="黑体" w:eastAsia="黑体"/>
          <w:snapToGrid w:val="0"/>
          <w:sz w:val="32"/>
          <w:szCs w:val="32"/>
        </w:rPr>
      </w:pPr>
      <w:bookmarkStart w:id="43" w:name="_Toc173761977"/>
      <w:r>
        <w:rPr>
          <w:rFonts w:ascii="黑体" w:hAnsi="黑体" w:eastAsia="黑体"/>
          <w:snapToGrid w:val="0"/>
          <w:sz w:val="32"/>
          <w:szCs w:val="32"/>
        </w:rPr>
        <w:t>附件</w:t>
      </w:r>
      <w:r>
        <w:rPr>
          <w:rFonts w:hint="eastAsia" w:ascii="黑体" w:hAnsi="黑体" w:eastAsia="黑体"/>
          <w:snapToGrid w:val="0"/>
          <w:sz w:val="32"/>
          <w:szCs w:val="32"/>
        </w:rPr>
        <w:t>1</w:t>
      </w:r>
      <w:r>
        <w:rPr>
          <w:rFonts w:ascii="黑体" w:hAnsi="黑体" w:eastAsia="黑体"/>
          <w:snapToGrid w:val="0"/>
          <w:sz w:val="32"/>
          <w:szCs w:val="32"/>
        </w:rPr>
        <w:t xml:space="preserve"> </w:t>
      </w:r>
      <w:r>
        <w:rPr>
          <w:rFonts w:hint="eastAsia" w:ascii="黑体" w:hAnsi="黑体" w:eastAsia="黑体"/>
          <w:snapToGrid w:val="0"/>
          <w:sz w:val="32"/>
          <w:szCs w:val="32"/>
        </w:rPr>
        <w:t>委托书</w:t>
      </w:r>
      <w:bookmarkEnd w:id="43"/>
    </w:p>
    <w:p w14:paraId="4124C0F8">
      <w:pPr>
        <w:widowControl/>
        <w:jc w:val="left"/>
        <w:rPr>
          <w:rFonts w:hint="eastAsia" w:ascii="黑体" w:hAnsi="黑体" w:eastAsia="黑体" w:cstheme="minorBidi"/>
          <w:snapToGrid w:val="0"/>
          <w:sz w:val="32"/>
          <w:szCs w:val="32"/>
        </w:rPr>
      </w:pPr>
      <w:r>
        <w:drawing>
          <wp:inline distT="0" distB="0" distL="0" distR="0">
            <wp:extent cx="5941060" cy="8399145"/>
            <wp:effectExtent l="0" t="0" r="2540" b="1905"/>
            <wp:docPr id="9515725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572592" name="图片 1"/>
                    <pic:cNvPicPr>
                      <a:picLocks noChangeAspect="1"/>
                    </pic:cNvPicPr>
                  </pic:nvPicPr>
                  <pic:blipFill>
                    <a:blip r:embed="rId35"/>
                    <a:stretch>
                      <a:fillRect/>
                    </a:stretch>
                  </pic:blipFill>
                  <pic:spPr>
                    <a:xfrm>
                      <a:off x="0" y="0"/>
                      <a:ext cx="5941060" cy="8399145"/>
                    </a:xfrm>
                    <a:prstGeom prst="rect">
                      <a:avLst/>
                    </a:prstGeom>
                  </pic:spPr>
                </pic:pic>
              </a:graphicData>
            </a:graphic>
          </wp:inline>
        </w:drawing>
      </w:r>
      <w:r>
        <w:rPr>
          <w:rFonts w:ascii="黑体" w:hAnsi="黑体" w:eastAsia="黑体"/>
          <w:snapToGrid w:val="0"/>
          <w:sz w:val="32"/>
          <w:szCs w:val="32"/>
        </w:rPr>
        <w:t xml:space="preserve"> </w:t>
      </w:r>
      <w:r>
        <w:rPr>
          <w:rFonts w:ascii="黑体" w:hAnsi="黑体" w:eastAsia="黑体"/>
          <w:snapToGrid w:val="0"/>
          <w:sz w:val="32"/>
          <w:szCs w:val="32"/>
        </w:rPr>
        <w:br w:type="page"/>
      </w:r>
    </w:p>
    <w:p w14:paraId="2FF77CCD">
      <w:pPr>
        <w:pStyle w:val="27"/>
        <w:adjustRightInd w:val="0"/>
        <w:snapToGrid w:val="0"/>
        <w:spacing w:before="0" w:beforeAutospacing="0" w:after="0" w:afterAutospacing="0"/>
        <w:outlineLvl w:val="0"/>
        <w:rPr>
          <w:rFonts w:hint="eastAsia" w:ascii="黑体" w:hAnsi="黑体" w:eastAsia="黑体"/>
          <w:snapToGrid w:val="0"/>
          <w:sz w:val="32"/>
          <w:szCs w:val="32"/>
        </w:rPr>
        <w:sectPr>
          <w:footerReference r:id="rId7" w:type="default"/>
          <w:pgSz w:w="11906" w:h="16838"/>
          <w:pgMar w:top="1135" w:right="1274" w:bottom="993" w:left="1276" w:header="567" w:footer="567" w:gutter="0"/>
          <w:cols w:space="720" w:num="1"/>
          <w:docGrid w:linePitch="312" w:charSpace="0"/>
        </w:sectPr>
      </w:pPr>
    </w:p>
    <w:p w14:paraId="444FB861">
      <w:pPr>
        <w:pStyle w:val="27"/>
        <w:adjustRightInd w:val="0"/>
        <w:snapToGrid w:val="0"/>
        <w:spacing w:before="0" w:beforeAutospacing="0" w:after="0" w:afterAutospacing="0"/>
        <w:outlineLvl w:val="0"/>
        <w:rPr>
          <w:rFonts w:hint="eastAsia" w:ascii="黑体" w:hAnsi="黑体" w:eastAsia="黑体"/>
          <w:snapToGrid w:val="0"/>
          <w:sz w:val="32"/>
          <w:szCs w:val="32"/>
        </w:rPr>
      </w:pPr>
      <w:bookmarkStart w:id="44" w:name="_Toc173761979"/>
      <w:r>
        <w:rPr>
          <w:rFonts w:ascii="黑体" w:hAnsi="黑体" w:eastAsia="黑体"/>
          <w:snapToGrid w:val="0"/>
          <w:sz w:val="32"/>
          <w:szCs w:val="32"/>
        </w:rPr>
        <w:t>附件</w:t>
      </w:r>
      <w:r>
        <w:rPr>
          <w:rFonts w:hint="eastAsia" w:ascii="黑体" w:hAnsi="黑体" w:eastAsia="黑体"/>
          <w:snapToGrid w:val="0"/>
          <w:sz w:val="32"/>
          <w:szCs w:val="32"/>
        </w:rPr>
        <w:t>2</w:t>
      </w:r>
      <w:r>
        <w:rPr>
          <w:rFonts w:ascii="黑体" w:hAnsi="黑体" w:eastAsia="黑体"/>
          <w:snapToGrid w:val="0"/>
          <w:sz w:val="32"/>
          <w:szCs w:val="32"/>
        </w:rPr>
        <w:t xml:space="preserve"> </w:t>
      </w:r>
      <w:r>
        <w:rPr>
          <w:rFonts w:hint="eastAsia" w:ascii="黑体" w:hAnsi="黑体" w:eastAsia="黑体"/>
          <w:snapToGrid w:val="0"/>
          <w:sz w:val="32"/>
          <w:szCs w:val="32"/>
        </w:rPr>
        <w:t>现有工程环评批复文件</w:t>
      </w:r>
      <w:bookmarkEnd w:id="44"/>
    </w:p>
    <w:p w14:paraId="633374BB">
      <w:pPr>
        <w:pStyle w:val="27"/>
        <w:adjustRightInd w:val="0"/>
        <w:snapToGrid w:val="0"/>
        <w:spacing w:before="0" w:beforeAutospacing="0" w:after="0" w:afterAutospacing="0"/>
        <w:jc w:val="center"/>
        <w:rPr>
          <w:rFonts w:hint="eastAsia"/>
        </w:rPr>
      </w:pPr>
      <w:r>
        <w:drawing>
          <wp:inline distT="0" distB="0" distL="0" distR="0">
            <wp:extent cx="5941060" cy="8405495"/>
            <wp:effectExtent l="0" t="0" r="2540" b="0"/>
            <wp:docPr id="83355617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556175" name="图片 1"/>
                    <pic:cNvPicPr>
                      <a:picLocks noChangeAspect="1"/>
                    </pic:cNvPicPr>
                  </pic:nvPicPr>
                  <pic:blipFill>
                    <a:blip r:embed="rId36"/>
                    <a:stretch>
                      <a:fillRect/>
                    </a:stretch>
                  </pic:blipFill>
                  <pic:spPr>
                    <a:xfrm>
                      <a:off x="0" y="0"/>
                      <a:ext cx="5941060" cy="8405495"/>
                    </a:xfrm>
                    <a:prstGeom prst="rect">
                      <a:avLst/>
                    </a:prstGeom>
                  </pic:spPr>
                </pic:pic>
              </a:graphicData>
            </a:graphic>
          </wp:inline>
        </w:drawing>
      </w:r>
    </w:p>
    <w:p w14:paraId="0BAF849A">
      <w:pPr>
        <w:pStyle w:val="27"/>
        <w:adjustRightInd w:val="0"/>
        <w:snapToGrid w:val="0"/>
        <w:spacing w:before="0" w:beforeAutospacing="0" w:after="0" w:afterAutospacing="0"/>
        <w:jc w:val="center"/>
        <w:rPr>
          <w:rFonts w:hint="eastAsia"/>
        </w:rPr>
        <w:sectPr>
          <w:pgSz w:w="11906" w:h="16838"/>
          <w:pgMar w:top="1135" w:right="1274" w:bottom="993" w:left="1276" w:header="567" w:footer="567" w:gutter="0"/>
          <w:cols w:space="720" w:num="1"/>
          <w:docGrid w:linePitch="312" w:charSpace="0"/>
        </w:sectPr>
      </w:pPr>
      <w:r>
        <w:drawing>
          <wp:inline distT="0" distB="0" distL="0" distR="0">
            <wp:extent cx="5941060" cy="8405495"/>
            <wp:effectExtent l="0" t="0" r="2540" b="0"/>
            <wp:docPr id="5447685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768519" name="图片 1"/>
                    <pic:cNvPicPr>
                      <a:picLocks noChangeAspect="1"/>
                    </pic:cNvPicPr>
                  </pic:nvPicPr>
                  <pic:blipFill>
                    <a:blip r:embed="rId37"/>
                    <a:stretch>
                      <a:fillRect/>
                    </a:stretch>
                  </pic:blipFill>
                  <pic:spPr>
                    <a:xfrm>
                      <a:off x="0" y="0"/>
                      <a:ext cx="5941060" cy="8405495"/>
                    </a:xfrm>
                    <a:prstGeom prst="rect">
                      <a:avLst/>
                    </a:prstGeom>
                  </pic:spPr>
                </pic:pic>
              </a:graphicData>
            </a:graphic>
          </wp:inline>
        </w:drawing>
      </w:r>
      <w:r>
        <w:drawing>
          <wp:inline distT="0" distB="0" distL="0" distR="0">
            <wp:extent cx="5941060" cy="8405495"/>
            <wp:effectExtent l="0" t="0" r="2540" b="0"/>
            <wp:docPr id="8452686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268624" name="图片 1"/>
                    <pic:cNvPicPr>
                      <a:picLocks noChangeAspect="1"/>
                    </pic:cNvPicPr>
                  </pic:nvPicPr>
                  <pic:blipFill>
                    <a:blip r:embed="rId38"/>
                    <a:stretch>
                      <a:fillRect/>
                    </a:stretch>
                  </pic:blipFill>
                  <pic:spPr>
                    <a:xfrm>
                      <a:off x="0" y="0"/>
                      <a:ext cx="5941060" cy="8405495"/>
                    </a:xfrm>
                    <a:prstGeom prst="rect">
                      <a:avLst/>
                    </a:prstGeom>
                  </pic:spPr>
                </pic:pic>
              </a:graphicData>
            </a:graphic>
          </wp:inline>
        </w:drawing>
      </w:r>
      <w:r>
        <w:drawing>
          <wp:inline distT="0" distB="0" distL="0" distR="0">
            <wp:extent cx="5941060" cy="8405495"/>
            <wp:effectExtent l="0" t="0" r="2540" b="0"/>
            <wp:docPr id="167884144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841442" name="图片 1"/>
                    <pic:cNvPicPr>
                      <a:picLocks noChangeAspect="1"/>
                    </pic:cNvPicPr>
                  </pic:nvPicPr>
                  <pic:blipFill>
                    <a:blip r:embed="rId39"/>
                    <a:stretch>
                      <a:fillRect/>
                    </a:stretch>
                  </pic:blipFill>
                  <pic:spPr>
                    <a:xfrm>
                      <a:off x="0" y="0"/>
                      <a:ext cx="5941060" cy="8405495"/>
                    </a:xfrm>
                    <a:prstGeom prst="rect">
                      <a:avLst/>
                    </a:prstGeom>
                  </pic:spPr>
                </pic:pic>
              </a:graphicData>
            </a:graphic>
          </wp:inline>
        </w:drawing>
      </w:r>
      <w:r>
        <w:t xml:space="preserve"> </w:t>
      </w:r>
    </w:p>
    <w:p w14:paraId="39B026B7">
      <w:pPr>
        <w:widowControl/>
        <w:adjustRightInd w:val="0"/>
        <w:snapToGrid w:val="0"/>
        <w:jc w:val="left"/>
        <w:outlineLvl w:val="0"/>
        <w:rPr>
          <w:rFonts w:hint="eastAsia" w:ascii="黑体" w:hAnsi="黑体" w:eastAsia="黑体" w:cstheme="minorBidi"/>
          <w:snapToGrid w:val="0"/>
          <w:sz w:val="32"/>
          <w:szCs w:val="32"/>
        </w:rPr>
      </w:pPr>
      <w:r>
        <w:rPr>
          <w:rFonts w:ascii="黑体" w:hAnsi="黑体" w:eastAsia="黑体" w:cstheme="minorBidi"/>
          <w:snapToGrid w:val="0"/>
          <w:sz w:val="32"/>
          <w:szCs w:val="32"/>
        </w:rPr>
        <w:t>附件</w:t>
      </w:r>
      <w:r>
        <w:rPr>
          <w:rFonts w:hint="eastAsia" w:ascii="黑体" w:hAnsi="黑体" w:eastAsia="黑体" w:cstheme="minorBidi"/>
          <w:snapToGrid w:val="0"/>
          <w:sz w:val="32"/>
          <w:szCs w:val="32"/>
        </w:rPr>
        <w:t>3</w:t>
      </w:r>
      <w:r>
        <w:rPr>
          <w:rFonts w:ascii="黑体" w:hAnsi="黑体" w:eastAsia="黑体" w:cstheme="minorBidi"/>
          <w:snapToGrid w:val="0"/>
          <w:sz w:val="32"/>
          <w:szCs w:val="32"/>
        </w:rPr>
        <w:t xml:space="preserve"> </w:t>
      </w:r>
      <w:r>
        <w:rPr>
          <w:rFonts w:hint="eastAsia" w:ascii="黑体" w:hAnsi="黑体" w:eastAsia="黑体" w:cstheme="minorBidi"/>
          <w:snapToGrid w:val="0"/>
          <w:sz w:val="32"/>
          <w:szCs w:val="32"/>
        </w:rPr>
        <w:t>现有工程总量批复文件</w:t>
      </w:r>
    </w:p>
    <w:p w14:paraId="41613B27">
      <w:pPr>
        <w:pStyle w:val="27"/>
        <w:adjustRightInd w:val="0"/>
        <w:snapToGrid w:val="0"/>
        <w:spacing w:before="0" w:beforeAutospacing="0" w:after="0" w:afterAutospacing="0"/>
        <w:jc w:val="center"/>
        <w:rPr>
          <w:rFonts w:hint="eastAsia"/>
        </w:rPr>
      </w:pPr>
      <w:r>
        <w:drawing>
          <wp:inline distT="0" distB="0" distL="0" distR="0">
            <wp:extent cx="5667375" cy="8020050"/>
            <wp:effectExtent l="0" t="0" r="9525" b="0"/>
            <wp:docPr id="16689904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8990456" name="图片 1"/>
                    <pic:cNvPicPr>
                      <a:picLocks noChangeAspect="1"/>
                    </pic:cNvPicPr>
                  </pic:nvPicPr>
                  <pic:blipFill>
                    <a:blip r:embed="rId40"/>
                    <a:stretch>
                      <a:fillRect/>
                    </a:stretch>
                  </pic:blipFill>
                  <pic:spPr>
                    <a:xfrm>
                      <a:off x="0" y="0"/>
                      <a:ext cx="5667375" cy="8020050"/>
                    </a:xfrm>
                    <a:prstGeom prst="rect">
                      <a:avLst/>
                    </a:prstGeom>
                  </pic:spPr>
                </pic:pic>
              </a:graphicData>
            </a:graphic>
          </wp:inline>
        </w:drawing>
      </w:r>
    </w:p>
    <w:p w14:paraId="4A271FCF">
      <w:pPr>
        <w:pStyle w:val="27"/>
        <w:adjustRightInd w:val="0"/>
        <w:snapToGrid w:val="0"/>
        <w:spacing w:before="0" w:beforeAutospacing="0" w:after="0" w:afterAutospacing="0"/>
        <w:jc w:val="center"/>
        <w:rPr>
          <w:rFonts w:hint="eastAsia"/>
        </w:rPr>
      </w:pPr>
      <w:r>
        <w:drawing>
          <wp:inline distT="0" distB="0" distL="0" distR="0">
            <wp:extent cx="5748020" cy="8134350"/>
            <wp:effectExtent l="0" t="0" r="5080" b="0"/>
            <wp:docPr id="2520140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014077" name="图片 1"/>
                    <pic:cNvPicPr>
                      <a:picLocks noChangeAspect="1"/>
                    </pic:cNvPicPr>
                  </pic:nvPicPr>
                  <pic:blipFill>
                    <a:blip r:embed="rId41"/>
                    <a:stretch>
                      <a:fillRect/>
                    </a:stretch>
                  </pic:blipFill>
                  <pic:spPr>
                    <a:xfrm>
                      <a:off x="0" y="0"/>
                      <a:ext cx="5749772" cy="8136652"/>
                    </a:xfrm>
                    <a:prstGeom prst="rect">
                      <a:avLst/>
                    </a:prstGeom>
                  </pic:spPr>
                </pic:pic>
              </a:graphicData>
            </a:graphic>
          </wp:inline>
        </w:drawing>
      </w:r>
    </w:p>
    <w:p w14:paraId="59FC1D77">
      <w:pPr>
        <w:pStyle w:val="27"/>
        <w:adjustRightInd w:val="0"/>
        <w:snapToGrid w:val="0"/>
        <w:spacing w:before="0" w:beforeAutospacing="0" w:after="0" w:afterAutospacing="0"/>
        <w:jc w:val="center"/>
        <w:rPr>
          <w:rFonts w:hint="eastAsia"/>
        </w:rPr>
      </w:pPr>
    </w:p>
    <w:p w14:paraId="08155FEF">
      <w:pPr>
        <w:pStyle w:val="27"/>
        <w:adjustRightInd w:val="0"/>
        <w:snapToGrid w:val="0"/>
        <w:spacing w:before="0" w:beforeAutospacing="0" w:after="0" w:afterAutospacing="0"/>
        <w:jc w:val="center"/>
        <w:rPr>
          <w:rFonts w:hint="eastAsia"/>
        </w:rPr>
        <w:sectPr>
          <w:pgSz w:w="11906" w:h="16838"/>
          <w:pgMar w:top="1135" w:right="1274" w:bottom="993" w:left="1276" w:header="567" w:footer="567" w:gutter="0"/>
          <w:cols w:space="720" w:num="1"/>
          <w:docGrid w:linePitch="312" w:charSpace="0"/>
        </w:sectPr>
      </w:pPr>
    </w:p>
    <w:p w14:paraId="085FAB63">
      <w:pPr>
        <w:widowControl/>
        <w:adjustRightInd w:val="0"/>
        <w:snapToGrid w:val="0"/>
        <w:jc w:val="left"/>
        <w:outlineLvl w:val="0"/>
        <w:rPr>
          <w:rFonts w:hint="eastAsia" w:ascii="黑体" w:hAnsi="黑体" w:eastAsia="黑体" w:cstheme="minorBidi"/>
          <w:snapToGrid w:val="0"/>
          <w:sz w:val="32"/>
          <w:szCs w:val="32"/>
        </w:rPr>
      </w:pPr>
      <w:r>
        <w:rPr>
          <w:rFonts w:ascii="黑体" w:hAnsi="黑体" w:eastAsia="黑体" w:cstheme="minorBidi"/>
          <w:snapToGrid w:val="0"/>
          <w:sz w:val="32"/>
          <w:szCs w:val="32"/>
        </w:rPr>
        <w:t>附件</w:t>
      </w:r>
      <w:r>
        <w:rPr>
          <w:rFonts w:hint="eastAsia" w:ascii="黑体" w:hAnsi="黑体" w:eastAsia="黑体" w:cstheme="minorBidi"/>
          <w:snapToGrid w:val="0"/>
          <w:sz w:val="32"/>
          <w:szCs w:val="32"/>
        </w:rPr>
        <w:t>4 总量申请批复文件</w:t>
      </w:r>
    </w:p>
    <w:p w14:paraId="38035332">
      <w:pPr>
        <w:pStyle w:val="27"/>
        <w:adjustRightInd w:val="0"/>
        <w:snapToGrid w:val="0"/>
        <w:spacing w:before="0" w:beforeAutospacing="0" w:after="0" w:afterAutospacing="0"/>
        <w:jc w:val="center"/>
        <w:rPr>
          <w:rFonts w:hint="eastAsia"/>
        </w:rPr>
      </w:pPr>
      <w:r>
        <w:drawing>
          <wp:inline distT="0" distB="0" distL="0" distR="0">
            <wp:extent cx="5941060" cy="8405495"/>
            <wp:effectExtent l="0" t="0" r="2540" b="0"/>
            <wp:docPr id="8034768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476840" name="图片 1"/>
                    <pic:cNvPicPr>
                      <a:picLocks noChangeAspect="1"/>
                    </pic:cNvPicPr>
                  </pic:nvPicPr>
                  <pic:blipFill>
                    <a:blip r:embed="rId42"/>
                    <a:stretch>
                      <a:fillRect/>
                    </a:stretch>
                  </pic:blipFill>
                  <pic:spPr>
                    <a:xfrm>
                      <a:off x="0" y="0"/>
                      <a:ext cx="5941060" cy="8405495"/>
                    </a:xfrm>
                    <a:prstGeom prst="rect">
                      <a:avLst/>
                    </a:prstGeom>
                  </pic:spPr>
                </pic:pic>
              </a:graphicData>
            </a:graphic>
          </wp:inline>
        </w:drawing>
      </w:r>
    </w:p>
    <w:p w14:paraId="729B6D64">
      <w:pPr>
        <w:pStyle w:val="27"/>
        <w:adjustRightInd w:val="0"/>
        <w:snapToGrid w:val="0"/>
        <w:spacing w:before="0" w:beforeAutospacing="0" w:after="0" w:afterAutospacing="0"/>
        <w:jc w:val="center"/>
        <w:rPr>
          <w:rFonts w:hint="eastAsia" w:ascii="黑体" w:hAnsi="黑体" w:eastAsia="黑体"/>
          <w:snapToGrid w:val="0"/>
          <w:sz w:val="32"/>
          <w:szCs w:val="32"/>
        </w:rPr>
        <w:sectPr>
          <w:pgSz w:w="11906" w:h="16838"/>
          <w:pgMar w:top="1135" w:right="1274" w:bottom="993" w:left="1276" w:header="567" w:footer="567" w:gutter="0"/>
          <w:cols w:space="720" w:num="1"/>
          <w:docGrid w:linePitch="312" w:charSpace="0"/>
        </w:sectPr>
      </w:pPr>
    </w:p>
    <w:p w14:paraId="387F3B4C">
      <w:pPr>
        <w:widowControl/>
        <w:adjustRightInd w:val="0"/>
        <w:snapToGrid w:val="0"/>
        <w:jc w:val="left"/>
        <w:outlineLvl w:val="0"/>
        <w:rPr>
          <w:rFonts w:hint="eastAsia" w:ascii="黑体" w:hAnsi="黑体" w:eastAsia="黑体"/>
          <w:snapToGrid w:val="0"/>
          <w:sz w:val="32"/>
          <w:szCs w:val="32"/>
        </w:rPr>
      </w:pPr>
      <w:r>
        <w:rPr>
          <w:rFonts w:hint="eastAsia" w:ascii="黑体" w:hAnsi="黑体" w:eastAsia="黑体"/>
          <w:snapToGrid w:val="0"/>
          <w:sz w:val="32"/>
          <w:szCs w:val="32"/>
        </w:rPr>
        <w:t>附件4 煤质化验单</w:t>
      </w:r>
    </w:p>
    <w:p w14:paraId="37DECAF4">
      <w:pPr>
        <w:widowControl/>
        <w:adjustRightInd w:val="0"/>
        <w:snapToGrid w:val="0"/>
        <w:jc w:val="center"/>
        <w:rPr>
          <w:rFonts w:hint="eastAsia" w:ascii="黑体" w:hAnsi="黑体" w:eastAsia="黑体"/>
          <w:snapToGrid w:val="0"/>
          <w:sz w:val="32"/>
          <w:szCs w:val="32"/>
        </w:rPr>
      </w:pPr>
      <w:r>
        <w:rPr>
          <w:rFonts w:hint="eastAsia" w:ascii="黑体" w:hAnsi="黑体" w:eastAsia="黑体"/>
          <w:snapToGrid w:val="0"/>
          <w:sz w:val="32"/>
          <w:szCs w:val="32"/>
        </w:rPr>
        <w:drawing>
          <wp:inline distT="0" distB="0" distL="0" distR="0">
            <wp:extent cx="6105525" cy="8639175"/>
            <wp:effectExtent l="0" t="0" r="9525" b="9525"/>
            <wp:docPr id="137613867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138670" name="图片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6105525" cy="8639175"/>
                    </a:xfrm>
                    <a:prstGeom prst="rect">
                      <a:avLst/>
                    </a:prstGeom>
                    <a:noFill/>
                    <a:ln>
                      <a:noFill/>
                    </a:ln>
                  </pic:spPr>
                </pic:pic>
              </a:graphicData>
            </a:graphic>
          </wp:inline>
        </w:drawing>
      </w:r>
    </w:p>
    <w:p w14:paraId="0845387C">
      <w:pPr>
        <w:pStyle w:val="27"/>
        <w:adjustRightInd w:val="0"/>
        <w:snapToGrid w:val="0"/>
        <w:spacing w:before="0" w:beforeAutospacing="0" w:after="0" w:afterAutospacing="0"/>
        <w:jc w:val="center"/>
        <w:rPr>
          <w:rFonts w:hint="eastAsia" w:ascii="黑体" w:hAnsi="黑体" w:eastAsia="黑体"/>
          <w:snapToGrid w:val="0"/>
          <w:sz w:val="32"/>
          <w:szCs w:val="32"/>
        </w:rPr>
        <w:sectPr>
          <w:pgSz w:w="11906" w:h="16838"/>
          <w:pgMar w:top="720" w:right="1133" w:bottom="720" w:left="1134" w:header="567" w:footer="567" w:gutter="0"/>
          <w:cols w:space="720" w:num="1"/>
          <w:docGrid w:linePitch="312" w:charSpace="0"/>
        </w:sectPr>
      </w:pPr>
    </w:p>
    <w:p w14:paraId="25BDA5D3">
      <w:pPr>
        <w:widowControl/>
        <w:adjustRightInd w:val="0"/>
        <w:snapToGrid w:val="0"/>
        <w:jc w:val="left"/>
        <w:outlineLvl w:val="0"/>
        <w:rPr>
          <w:rFonts w:hint="eastAsia" w:ascii="黑体" w:hAnsi="黑体" w:eastAsia="黑体"/>
          <w:snapToGrid w:val="0"/>
          <w:sz w:val="32"/>
          <w:szCs w:val="32"/>
        </w:rPr>
      </w:pPr>
      <w:r>
        <w:rPr>
          <w:rFonts w:hint="eastAsia" w:ascii="黑体" w:hAnsi="黑体" w:eastAsia="黑体"/>
          <w:snapToGrid w:val="0"/>
          <w:sz w:val="32"/>
          <w:szCs w:val="32"/>
        </w:rPr>
        <w:t>附件5 油房壕煤矿工业场地不涉及文物证明文件</w:t>
      </w:r>
    </w:p>
    <w:p w14:paraId="0CA8C824">
      <w:pPr>
        <w:widowControl/>
        <w:adjustRightInd w:val="0"/>
        <w:snapToGrid w:val="0"/>
        <w:jc w:val="left"/>
      </w:pPr>
      <w:r>
        <w:drawing>
          <wp:inline distT="0" distB="0" distL="0" distR="0">
            <wp:extent cx="6120765" cy="8658225"/>
            <wp:effectExtent l="0" t="0" r="0" b="9525"/>
            <wp:docPr id="7674383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438362" name="图片 1"/>
                    <pic:cNvPicPr>
                      <a:picLocks noChangeAspect="1"/>
                    </pic:cNvPicPr>
                  </pic:nvPicPr>
                  <pic:blipFill>
                    <a:blip r:embed="rId44"/>
                    <a:stretch>
                      <a:fillRect/>
                    </a:stretch>
                  </pic:blipFill>
                  <pic:spPr>
                    <a:xfrm>
                      <a:off x="0" y="0"/>
                      <a:ext cx="6120765" cy="8658225"/>
                    </a:xfrm>
                    <a:prstGeom prst="rect">
                      <a:avLst/>
                    </a:prstGeom>
                  </pic:spPr>
                </pic:pic>
              </a:graphicData>
            </a:graphic>
          </wp:inline>
        </w:drawing>
      </w:r>
      <w:r>
        <w:t xml:space="preserve"> </w:t>
      </w:r>
    </w:p>
    <w:p w14:paraId="4E82157D">
      <w:pPr>
        <w:widowControl/>
        <w:adjustRightInd w:val="0"/>
        <w:snapToGrid w:val="0"/>
        <w:jc w:val="left"/>
        <w:rPr>
          <w:rFonts w:hint="eastAsia" w:ascii="黑体" w:hAnsi="黑体" w:eastAsia="黑体"/>
          <w:snapToGrid w:val="0"/>
          <w:sz w:val="32"/>
          <w:szCs w:val="32"/>
        </w:rPr>
      </w:pPr>
      <w:r>
        <w:drawing>
          <wp:inline distT="0" distB="0" distL="0" distR="0">
            <wp:extent cx="6120765" cy="8658225"/>
            <wp:effectExtent l="0" t="0" r="0" b="9525"/>
            <wp:docPr id="16222794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2279419" name="图片 1"/>
                    <pic:cNvPicPr>
                      <a:picLocks noChangeAspect="1"/>
                    </pic:cNvPicPr>
                  </pic:nvPicPr>
                  <pic:blipFill>
                    <a:blip r:embed="rId45"/>
                    <a:stretch>
                      <a:fillRect/>
                    </a:stretch>
                  </pic:blipFill>
                  <pic:spPr>
                    <a:xfrm>
                      <a:off x="0" y="0"/>
                      <a:ext cx="6120765" cy="8658225"/>
                    </a:xfrm>
                    <a:prstGeom prst="rect">
                      <a:avLst/>
                    </a:prstGeom>
                  </pic:spPr>
                </pic:pic>
              </a:graphicData>
            </a:graphic>
          </wp:inline>
        </w:drawing>
      </w:r>
    </w:p>
    <w:p w14:paraId="791CC163">
      <w:pPr>
        <w:pStyle w:val="27"/>
        <w:adjustRightInd w:val="0"/>
        <w:snapToGrid w:val="0"/>
        <w:spacing w:before="0" w:beforeAutospacing="0" w:after="0" w:afterAutospacing="0"/>
        <w:jc w:val="center"/>
        <w:rPr>
          <w:rFonts w:hint="eastAsia" w:ascii="黑体" w:hAnsi="黑体" w:eastAsia="黑体"/>
          <w:snapToGrid w:val="0"/>
          <w:sz w:val="32"/>
          <w:szCs w:val="32"/>
        </w:rPr>
        <w:sectPr>
          <w:pgSz w:w="11906" w:h="16838"/>
          <w:pgMar w:top="720" w:right="1133" w:bottom="720" w:left="1134" w:header="567" w:footer="567" w:gutter="0"/>
          <w:cols w:space="720" w:num="1"/>
          <w:docGrid w:linePitch="312" w:charSpace="0"/>
        </w:sectPr>
      </w:pPr>
    </w:p>
    <w:p w14:paraId="5F33EF7E">
      <w:pPr>
        <w:pStyle w:val="27"/>
        <w:adjustRightInd w:val="0"/>
        <w:snapToGrid w:val="0"/>
        <w:spacing w:before="0" w:beforeAutospacing="0" w:after="0" w:afterAutospacing="0"/>
        <w:outlineLvl w:val="0"/>
        <w:rPr>
          <w:rFonts w:hint="eastAsia" w:ascii="黑体" w:hAnsi="黑体" w:eastAsia="黑体"/>
          <w:snapToGrid w:val="0"/>
          <w:sz w:val="32"/>
          <w:szCs w:val="32"/>
        </w:rPr>
      </w:pPr>
      <w:bookmarkStart w:id="45" w:name="_Toc173761984"/>
      <w:r>
        <w:rPr>
          <w:rFonts w:ascii="黑体" w:hAnsi="黑体" w:eastAsia="黑体"/>
          <w:snapToGrid w:val="0"/>
          <w:sz w:val="32"/>
          <w:szCs w:val="32"/>
        </w:rPr>
        <w:t>附</w:t>
      </w:r>
      <w:r>
        <w:rPr>
          <w:rFonts w:hint="eastAsia" w:ascii="黑体" w:hAnsi="黑体" w:eastAsia="黑体"/>
          <w:snapToGrid w:val="0"/>
          <w:sz w:val="32"/>
          <w:szCs w:val="32"/>
        </w:rPr>
        <w:t>图1</w:t>
      </w:r>
      <w:r>
        <w:rPr>
          <w:rFonts w:ascii="黑体" w:hAnsi="黑体" w:eastAsia="黑体"/>
          <w:snapToGrid w:val="0"/>
          <w:sz w:val="32"/>
          <w:szCs w:val="32"/>
        </w:rPr>
        <w:t xml:space="preserve"> </w:t>
      </w:r>
      <w:r>
        <w:rPr>
          <w:rFonts w:hint="eastAsia" w:ascii="黑体" w:hAnsi="黑体" w:eastAsia="黑体"/>
          <w:snapToGrid w:val="0"/>
          <w:sz w:val="32"/>
          <w:szCs w:val="32"/>
        </w:rPr>
        <w:t>项目地理位置图</w:t>
      </w:r>
      <w:bookmarkEnd w:id="45"/>
    </w:p>
    <w:p w14:paraId="6677B0C7">
      <w:pPr>
        <w:pStyle w:val="27"/>
        <w:adjustRightInd w:val="0"/>
        <w:snapToGrid w:val="0"/>
        <w:spacing w:before="0" w:beforeAutospacing="0" w:after="0" w:afterAutospacing="0" w:line="360" w:lineRule="auto"/>
        <w:jc w:val="center"/>
        <w:rPr>
          <w:rFonts w:hint="eastAsia" w:ascii="黑体" w:hAnsi="黑体" w:eastAsia="黑体"/>
          <w:snapToGrid w:val="0"/>
          <w:sz w:val="32"/>
          <w:szCs w:val="32"/>
        </w:rPr>
      </w:pPr>
      <w:r>
        <w:drawing>
          <wp:inline distT="0" distB="0" distL="0" distR="0">
            <wp:extent cx="8820150" cy="6083935"/>
            <wp:effectExtent l="0" t="0" r="0" b="0"/>
            <wp:docPr id="17962307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30738" name="图片 1"/>
                    <pic:cNvPicPr>
                      <a:picLocks noChangeAspect="1"/>
                    </pic:cNvPicPr>
                  </pic:nvPicPr>
                  <pic:blipFill>
                    <a:blip r:embed="rId46"/>
                    <a:stretch>
                      <a:fillRect/>
                    </a:stretch>
                  </pic:blipFill>
                  <pic:spPr>
                    <a:xfrm>
                      <a:off x="0" y="0"/>
                      <a:ext cx="8821971" cy="6085201"/>
                    </a:xfrm>
                    <a:prstGeom prst="rect">
                      <a:avLst/>
                    </a:prstGeom>
                  </pic:spPr>
                </pic:pic>
              </a:graphicData>
            </a:graphic>
          </wp:inline>
        </w:drawing>
      </w:r>
      <w:r>
        <w:rPr>
          <w:rFonts w:ascii="黑体" w:hAnsi="黑体" w:eastAsia="黑体"/>
          <w:snapToGrid w:val="0"/>
          <w:sz w:val="32"/>
          <w:szCs w:val="32"/>
        </w:rPr>
        <w:br w:type="page"/>
      </w:r>
    </w:p>
    <w:p w14:paraId="582D1BE5">
      <w:pPr>
        <w:pStyle w:val="27"/>
        <w:adjustRightInd w:val="0"/>
        <w:snapToGrid w:val="0"/>
        <w:spacing w:before="0" w:beforeAutospacing="0" w:after="0" w:afterAutospacing="0"/>
        <w:outlineLvl w:val="0"/>
        <w:rPr>
          <w:rFonts w:hint="eastAsia" w:ascii="黑体" w:hAnsi="黑体" w:eastAsia="黑体"/>
          <w:snapToGrid w:val="0"/>
          <w:sz w:val="32"/>
          <w:szCs w:val="32"/>
        </w:rPr>
        <w:sectPr>
          <w:pgSz w:w="16838" w:h="11906" w:orient="landscape"/>
          <w:pgMar w:top="720" w:right="720" w:bottom="720" w:left="720" w:header="567" w:footer="567" w:gutter="0"/>
          <w:cols w:space="720" w:num="1"/>
          <w:docGrid w:linePitch="312" w:charSpace="0"/>
        </w:sectPr>
      </w:pPr>
      <w:bookmarkStart w:id="46" w:name="_Toc173761986"/>
    </w:p>
    <w:p w14:paraId="0AF08824">
      <w:pPr>
        <w:pStyle w:val="27"/>
        <w:adjustRightInd w:val="0"/>
        <w:snapToGrid w:val="0"/>
        <w:spacing w:before="0" w:beforeAutospacing="0" w:after="0" w:afterAutospacing="0"/>
        <w:outlineLvl w:val="0"/>
        <w:rPr>
          <w:rFonts w:hint="eastAsia" w:ascii="黑体" w:hAnsi="黑体" w:eastAsia="黑体"/>
          <w:snapToGrid w:val="0"/>
          <w:sz w:val="32"/>
          <w:szCs w:val="32"/>
        </w:rPr>
      </w:pPr>
      <w:r>
        <w:rPr>
          <w:rFonts w:ascii="黑体" w:hAnsi="黑体" w:eastAsia="黑体"/>
          <w:snapToGrid w:val="0"/>
          <w:sz w:val="32"/>
          <w:szCs w:val="32"/>
        </w:rPr>
        <w:t>附</w:t>
      </w:r>
      <w:r>
        <w:rPr>
          <w:rFonts w:hint="eastAsia" w:ascii="黑体" w:hAnsi="黑体" w:eastAsia="黑体"/>
          <w:snapToGrid w:val="0"/>
          <w:sz w:val="32"/>
          <w:szCs w:val="32"/>
        </w:rPr>
        <w:t>图2</w:t>
      </w:r>
      <w:r>
        <w:rPr>
          <w:rFonts w:ascii="黑体" w:hAnsi="黑体" w:eastAsia="黑体"/>
          <w:snapToGrid w:val="0"/>
          <w:sz w:val="32"/>
          <w:szCs w:val="32"/>
        </w:rPr>
        <w:t xml:space="preserve"> </w:t>
      </w:r>
      <w:r>
        <w:rPr>
          <w:rFonts w:hint="eastAsia" w:ascii="黑体" w:hAnsi="黑体" w:eastAsia="黑体"/>
          <w:snapToGrid w:val="0"/>
          <w:sz w:val="32"/>
          <w:szCs w:val="32"/>
        </w:rPr>
        <w:t>项目四邻关系图</w:t>
      </w:r>
      <w:bookmarkEnd w:id="46"/>
    </w:p>
    <w:tbl>
      <w:tblPr>
        <w:tblStyle w:val="32"/>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5332"/>
        <w:gridCol w:w="5350"/>
      </w:tblGrid>
      <w:tr w14:paraId="5D24F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694" w:type="dxa"/>
          </w:tcPr>
          <w:p w14:paraId="3EB521F2">
            <w:pPr>
              <w:pStyle w:val="27"/>
              <w:adjustRightInd w:val="0"/>
              <w:snapToGrid w:val="0"/>
              <w:spacing w:before="0" w:beforeAutospacing="0" w:after="0" w:afterAutospacing="0"/>
              <w:jc w:val="right"/>
              <w:rPr>
                <w:rFonts w:hint="eastAsia" w:ascii="黑体" w:hAnsi="黑体" w:eastAsia="黑体"/>
                <w:snapToGrid w:val="0"/>
                <w:sz w:val="32"/>
                <w:szCs w:val="32"/>
              </w:rPr>
            </w:pPr>
            <w:r>
              <w:drawing>
                <wp:inline distT="0" distB="0" distL="0" distR="0">
                  <wp:extent cx="2314575" cy="3071495"/>
                  <wp:effectExtent l="0" t="0" r="0" b="0"/>
                  <wp:docPr id="4852842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284274" name="图片 1"/>
                          <pic:cNvPicPr>
                            <a:picLocks noChangeAspect="1"/>
                          </pic:cNvPicPr>
                        </pic:nvPicPr>
                        <pic:blipFill>
                          <a:blip r:embed="rId47"/>
                          <a:stretch>
                            <a:fillRect/>
                          </a:stretch>
                        </pic:blipFill>
                        <pic:spPr>
                          <a:xfrm>
                            <a:off x="0" y="0"/>
                            <a:ext cx="2323203" cy="3083267"/>
                          </a:xfrm>
                          <a:prstGeom prst="rect">
                            <a:avLst/>
                          </a:prstGeom>
                        </pic:spPr>
                      </pic:pic>
                    </a:graphicData>
                  </a:graphic>
                </wp:inline>
              </w:drawing>
            </w:r>
          </w:p>
        </w:tc>
        <w:tc>
          <w:tcPr>
            <w:tcW w:w="7694" w:type="dxa"/>
          </w:tcPr>
          <w:p w14:paraId="45E429D0">
            <w:pPr>
              <w:pStyle w:val="27"/>
              <w:adjustRightInd w:val="0"/>
              <w:snapToGrid w:val="0"/>
              <w:spacing w:before="0" w:beforeAutospacing="0" w:after="0" w:afterAutospacing="0"/>
              <w:rPr>
                <w:rFonts w:hint="eastAsia" w:ascii="黑体" w:hAnsi="黑体" w:eastAsia="黑体"/>
                <w:snapToGrid w:val="0"/>
                <w:sz w:val="32"/>
                <w:szCs w:val="32"/>
              </w:rPr>
            </w:pPr>
            <w:r>
              <w:drawing>
                <wp:inline distT="0" distB="0" distL="0" distR="0">
                  <wp:extent cx="2305050" cy="3057525"/>
                  <wp:effectExtent l="0" t="0" r="0" b="9525"/>
                  <wp:docPr id="13513739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1373937" name="图片 1"/>
                          <pic:cNvPicPr>
                            <a:picLocks noChangeAspect="1"/>
                          </pic:cNvPicPr>
                        </pic:nvPicPr>
                        <pic:blipFill>
                          <a:blip r:embed="rId48"/>
                          <a:stretch>
                            <a:fillRect/>
                          </a:stretch>
                        </pic:blipFill>
                        <pic:spPr>
                          <a:xfrm>
                            <a:off x="0" y="0"/>
                            <a:ext cx="2319988" cy="3077829"/>
                          </a:xfrm>
                          <a:prstGeom prst="rect">
                            <a:avLst/>
                          </a:prstGeom>
                        </pic:spPr>
                      </pic:pic>
                    </a:graphicData>
                  </a:graphic>
                </wp:inline>
              </w:drawing>
            </w:r>
          </w:p>
        </w:tc>
      </w:tr>
      <w:tr w14:paraId="7B3AE6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7694" w:type="dxa"/>
          </w:tcPr>
          <w:p w14:paraId="6DF62F6E">
            <w:pPr>
              <w:pStyle w:val="27"/>
              <w:adjustRightInd w:val="0"/>
              <w:snapToGrid w:val="0"/>
              <w:spacing w:before="0" w:beforeAutospacing="0" w:after="0" w:afterAutospacing="0"/>
              <w:jc w:val="right"/>
              <w:rPr>
                <w:rFonts w:hint="eastAsia" w:ascii="黑体" w:hAnsi="黑体" w:eastAsia="黑体"/>
                <w:snapToGrid w:val="0"/>
                <w:sz w:val="32"/>
                <w:szCs w:val="32"/>
              </w:rPr>
            </w:pPr>
            <w:r>
              <w:drawing>
                <wp:inline distT="0" distB="0" distL="0" distR="0">
                  <wp:extent cx="2314575" cy="3094355"/>
                  <wp:effectExtent l="0" t="0" r="0" b="0"/>
                  <wp:docPr id="2771158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115898" name="图片 1"/>
                          <pic:cNvPicPr>
                            <a:picLocks noChangeAspect="1"/>
                          </pic:cNvPicPr>
                        </pic:nvPicPr>
                        <pic:blipFill>
                          <a:blip r:embed="rId49"/>
                          <a:stretch>
                            <a:fillRect/>
                          </a:stretch>
                        </pic:blipFill>
                        <pic:spPr>
                          <a:xfrm>
                            <a:off x="0" y="0"/>
                            <a:ext cx="2323857" cy="3107383"/>
                          </a:xfrm>
                          <a:prstGeom prst="rect">
                            <a:avLst/>
                          </a:prstGeom>
                        </pic:spPr>
                      </pic:pic>
                    </a:graphicData>
                  </a:graphic>
                </wp:inline>
              </w:drawing>
            </w:r>
          </w:p>
        </w:tc>
        <w:tc>
          <w:tcPr>
            <w:tcW w:w="7694" w:type="dxa"/>
          </w:tcPr>
          <w:p w14:paraId="18868221">
            <w:pPr>
              <w:pStyle w:val="27"/>
              <w:adjustRightInd w:val="0"/>
              <w:snapToGrid w:val="0"/>
              <w:spacing w:before="0" w:beforeAutospacing="0" w:after="0" w:afterAutospacing="0"/>
              <w:rPr>
                <w:rFonts w:hint="eastAsia" w:ascii="黑体" w:hAnsi="黑体" w:eastAsia="黑体"/>
                <w:snapToGrid w:val="0"/>
                <w:sz w:val="32"/>
                <w:szCs w:val="32"/>
              </w:rPr>
            </w:pPr>
            <w:r>
              <w:drawing>
                <wp:inline distT="0" distB="0" distL="0" distR="0">
                  <wp:extent cx="2333625" cy="3099435"/>
                  <wp:effectExtent l="0" t="0" r="0" b="5715"/>
                  <wp:docPr id="5738265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826511" name="图片 1"/>
                          <pic:cNvPicPr>
                            <a:picLocks noChangeAspect="1"/>
                          </pic:cNvPicPr>
                        </pic:nvPicPr>
                        <pic:blipFill>
                          <a:blip r:embed="rId50"/>
                          <a:stretch>
                            <a:fillRect/>
                          </a:stretch>
                        </pic:blipFill>
                        <pic:spPr>
                          <a:xfrm>
                            <a:off x="0" y="0"/>
                            <a:ext cx="2347639" cy="3118069"/>
                          </a:xfrm>
                          <a:prstGeom prst="rect">
                            <a:avLst/>
                          </a:prstGeom>
                        </pic:spPr>
                      </pic:pic>
                    </a:graphicData>
                  </a:graphic>
                </wp:inline>
              </w:drawing>
            </w:r>
          </w:p>
        </w:tc>
      </w:tr>
    </w:tbl>
    <w:p w14:paraId="48A375B0">
      <w:pPr>
        <w:pStyle w:val="27"/>
        <w:adjustRightInd w:val="0"/>
        <w:snapToGrid w:val="0"/>
        <w:spacing w:before="0" w:beforeAutospacing="0" w:after="0" w:afterAutospacing="0"/>
        <w:jc w:val="center"/>
        <w:rPr>
          <w:rFonts w:hint="eastAsia" w:ascii="黑体" w:hAnsi="黑体" w:eastAsia="黑体"/>
          <w:snapToGrid w:val="0"/>
          <w:sz w:val="32"/>
          <w:szCs w:val="32"/>
        </w:rPr>
      </w:pPr>
    </w:p>
    <w:p w14:paraId="41E6CC03">
      <w:pPr>
        <w:pStyle w:val="27"/>
        <w:adjustRightInd w:val="0"/>
        <w:snapToGrid w:val="0"/>
        <w:spacing w:before="0" w:beforeAutospacing="0" w:after="0" w:afterAutospacing="0" w:line="360" w:lineRule="auto"/>
        <w:outlineLvl w:val="0"/>
        <w:rPr>
          <w:rFonts w:hint="eastAsia" w:ascii="黑体" w:hAnsi="黑体" w:eastAsia="黑体"/>
          <w:snapToGrid w:val="0"/>
          <w:sz w:val="32"/>
          <w:szCs w:val="32"/>
        </w:rPr>
        <w:sectPr>
          <w:pgSz w:w="11906" w:h="16838"/>
          <w:pgMar w:top="720" w:right="720" w:bottom="720" w:left="720" w:header="567" w:footer="567" w:gutter="0"/>
          <w:cols w:space="720" w:num="1"/>
          <w:docGrid w:linePitch="312" w:charSpace="0"/>
        </w:sectPr>
      </w:pPr>
    </w:p>
    <w:p w14:paraId="4E2D5838">
      <w:pPr>
        <w:pStyle w:val="27"/>
        <w:adjustRightInd w:val="0"/>
        <w:snapToGrid w:val="0"/>
        <w:spacing w:before="0" w:beforeAutospacing="0" w:after="0" w:afterAutospacing="0"/>
        <w:outlineLvl w:val="0"/>
        <w:rPr>
          <w:rFonts w:hint="eastAsia" w:ascii="黑体" w:hAnsi="黑体" w:eastAsia="黑体"/>
          <w:snapToGrid w:val="0"/>
          <w:sz w:val="32"/>
          <w:szCs w:val="32"/>
        </w:rPr>
      </w:pPr>
      <w:bookmarkStart w:id="47" w:name="_Toc173761987"/>
      <w:r>
        <w:rPr>
          <w:rFonts w:ascii="黑体" w:hAnsi="黑体" w:eastAsia="黑体"/>
          <w:snapToGrid w:val="0"/>
          <w:sz w:val="32"/>
          <w:szCs w:val="32"/>
        </w:rPr>
        <w:t>附</w:t>
      </w:r>
      <w:r>
        <w:rPr>
          <w:rFonts w:hint="eastAsia" w:ascii="黑体" w:hAnsi="黑体" w:eastAsia="黑体"/>
          <w:snapToGrid w:val="0"/>
          <w:sz w:val="32"/>
          <w:szCs w:val="32"/>
        </w:rPr>
        <w:t>图3</w:t>
      </w:r>
      <w:r>
        <w:rPr>
          <w:rFonts w:ascii="黑体" w:hAnsi="黑体" w:eastAsia="黑体"/>
          <w:snapToGrid w:val="0"/>
          <w:sz w:val="32"/>
          <w:szCs w:val="32"/>
        </w:rPr>
        <w:t xml:space="preserve"> </w:t>
      </w:r>
      <w:r>
        <w:rPr>
          <w:rFonts w:hint="eastAsia" w:ascii="黑体" w:hAnsi="黑体" w:eastAsia="黑体"/>
          <w:snapToGrid w:val="0"/>
          <w:sz w:val="32"/>
          <w:szCs w:val="32"/>
        </w:rPr>
        <w:t>项目与鄂尔多斯市环境管控单元分类图位置关系图</w:t>
      </w:r>
      <w:bookmarkEnd w:id="47"/>
    </w:p>
    <w:p w14:paraId="3C9E40F9">
      <w:pPr>
        <w:widowControl/>
        <w:jc w:val="center"/>
        <w:rPr>
          <w:rFonts w:hint="eastAsia" w:ascii="黑体" w:hAnsi="黑体" w:eastAsia="黑体" w:cstheme="minorBidi"/>
          <w:snapToGrid w:val="0"/>
          <w:sz w:val="32"/>
          <w:szCs w:val="32"/>
        </w:rPr>
      </w:pPr>
      <w:r>
        <w:drawing>
          <wp:inline distT="0" distB="0" distL="0" distR="0">
            <wp:extent cx="5467350" cy="5294630"/>
            <wp:effectExtent l="0" t="0" r="0" b="1270"/>
            <wp:docPr id="14664926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6492609" name="图片 1"/>
                    <pic:cNvPicPr>
                      <a:picLocks noChangeAspect="1"/>
                    </pic:cNvPicPr>
                  </pic:nvPicPr>
                  <pic:blipFill>
                    <a:blip r:embed="rId51"/>
                    <a:stretch>
                      <a:fillRect/>
                    </a:stretch>
                  </pic:blipFill>
                  <pic:spPr>
                    <a:xfrm>
                      <a:off x="0" y="0"/>
                      <a:ext cx="5467516" cy="5294822"/>
                    </a:xfrm>
                    <a:prstGeom prst="rect">
                      <a:avLst/>
                    </a:prstGeom>
                  </pic:spPr>
                </pic:pic>
              </a:graphicData>
            </a:graphic>
          </wp:inline>
        </w:drawing>
      </w:r>
    </w:p>
    <w:p w14:paraId="2816450C">
      <w:pPr>
        <w:widowControl/>
        <w:jc w:val="center"/>
        <w:rPr>
          <w:rFonts w:hint="eastAsia" w:ascii="黑体" w:hAnsi="黑体" w:eastAsia="黑体" w:cstheme="minorBidi"/>
          <w:snapToGrid w:val="0"/>
          <w:sz w:val="32"/>
          <w:szCs w:val="32"/>
        </w:rPr>
        <w:sectPr>
          <w:pgSz w:w="16838" w:h="11906" w:orient="landscape"/>
          <w:pgMar w:top="1531" w:right="1701" w:bottom="993" w:left="1701" w:header="851" w:footer="851" w:gutter="0"/>
          <w:cols w:space="720" w:num="1"/>
          <w:docGrid w:linePitch="312" w:charSpace="0"/>
        </w:sectPr>
      </w:pPr>
    </w:p>
    <w:p w14:paraId="79639913">
      <w:pPr>
        <w:pStyle w:val="27"/>
        <w:adjustRightInd w:val="0"/>
        <w:snapToGrid w:val="0"/>
        <w:spacing w:before="0" w:beforeAutospacing="0" w:after="0" w:afterAutospacing="0"/>
        <w:outlineLvl w:val="0"/>
        <w:rPr>
          <w:rFonts w:hint="eastAsia" w:ascii="黑体" w:hAnsi="黑体" w:eastAsia="黑体"/>
          <w:snapToGrid w:val="0"/>
          <w:sz w:val="32"/>
          <w:szCs w:val="32"/>
        </w:rPr>
      </w:pPr>
      <w:bookmarkStart w:id="48" w:name="_Toc173761988"/>
      <w:r>
        <w:rPr>
          <w:rFonts w:hint="eastAsia" w:ascii="黑体" w:hAnsi="黑体" w:eastAsia="黑体"/>
          <w:snapToGrid w:val="0"/>
          <w:sz w:val="32"/>
          <w:szCs w:val="32"/>
        </w:rPr>
        <w:t>附图4</w:t>
      </w:r>
      <w:r>
        <w:rPr>
          <w:rFonts w:ascii="黑体" w:hAnsi="黑体" w:eastAsia="黑体"/>
          <w:snapToGrid w:val="0"/>
          <w:sz w:val="32"/>
          <w:szCs w:val="32"/>
        </w:rPr>
        <w:t xml:space="preserve"> </w:t>
      </w:r>
      <w:r>
        <w:rPr>
          <w:rFonts w:hint="eastAsia" w:ascii="黑体" w:hAnsi="黑体" w:eastAsia="黑体"/>
          <w:snapToGrid w:val="0"/>
          <w:sz w:val="32"/>
          <w:szCs w:val="32"/>
        </w:rPr>
        <w:t>项目平面布置图</w:t>
      </w:r>
      <w:bookmarkEnd w:id="48"/>
    </w:p>
    <w:p w14:paraId="5172B629">
      <w:pPr>
        <w:spacing w:line="360" w:lineRule="auto"/>
        <w:jc w:val="center"/>
        <w:rPr>
          <w:b/>
          <w:bCs/>
          <w:kern w:val="44"/>
          <w:sz w:val="44"/>
          <w:szCs w:val="44"/>
        </w:rPr>
      </w:pPr>
      <w:r>
        <w:rPr>
          <w:b/>
          <w:bCs/>
          <w:kern w:val="44"/>
          <w:sz w:val="44"/>
          <w:szCs w:val="44"/>
        </w:rPr>
        <w:drawing>
          <wp:inline distT="0" distB="0" distL="0" distR="0">
            <wp:extent cx="5941060" cy="8402320"/>
            <wp:effectExtent l="0" t="0" r="2540" b="0"/>
            <wp:docPr id="43175114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751147" name="图片 1"/>
                    <pic:cNvPicPr>
                      <a:picLocks noChangeAspect="1"/>
                    </pic:cNvPicPr>
                  </pic:nvPicPr>
                  <pic:blipFill>
                    <a:blip r:embed="rId52">
                      <a:extLst>
                        <a:ext uri="{28A0092B-C50C-407E-A947-70E740481C1C}">
                          <a14:useLocalDpi xmlns:a14="http://schemas.microsoft.com/office/drawing/2010/main" val="0"/>
                        </a:ext>
                      </a:extLst>
                    </a:blip>
                    <a:stretch>
                      <a:fillRect/>
                    </a:stretch>
                  </pic:blipFill>
                  <pic:spPr>
                    <a:xfrm>
                      <a:off x="0" y="0"/>
                      <a:ext cx="5941060" cy="8402320"/>
                    </a:xfrm>
                    <a:prstGeom prst="rect">
                      <a:avLst/>
                    </a:prstGeom>
                  </pic:spPr>
                </pic:pic>
              </a:graphicData>
            </a:graphic>
          </wp:inline>
        </w:drawing>
      </w:r>
    </w:p>
    <w:p w14:paraId="1E172C60">
      <w:pPr>
        <w:pStyle w:val="27"/>
        <w:adjustRightInd w:val="0"/>
        <w:snapToGrid w:val="0"/>
        <w:spacing w:before="0" w:beforeAutospacing="0" w:after="0" w:afterAutospacing="0" w:line="360" w:lineRule="auto"/>
        <w:outlineLvl w:val="0"/>
        <w:rPr>
          <w:rFonts w:hint="eastAsia" w:ascii="黑体" w:hAnsi="黑体" w:eastAsia="黑体"/>
          <w:snapToGrid w:val="0"/>
          <w:sz w:val="32"/>
          <w:szCs w:val="32"/>
        </w:rPr>
      </w:pPr>
    </w:p>
    <w:sectPr>
      <w:footerReference r:id="rId8" w:type="default"/>
      <w:pgSz w:w="11906" w:h="16838"/>
      <w:pgMar w:top="1135" w:right="1274" w:bottom="993" w:left="1276" w:header="567" w:footer="567"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angal">
    <w:altName w:val="DejaVu Math TeX Gyre"/>
    <w:panose1 w:val="02040503050203030202"/>
    <w:charset w:val="00"/>
    <w:family w:val="roman"/>
    <w:pitch w:val="default"/>
    <w:sig w:usb0="00000000" w:usb1="00000000" w:usb2="00000000" w:usb3="00000000" w:csb0="00000001" w:csb1="00000000"/>
  </w:font>
  <w:font w:name="DejaVu Math TeX Gyre">
    <w:panose1 w:val="02000503000000000000"/>
    <w:charset w:val="00"/>
    <w:family w:val="auto"/>
    <w:pitch w:val="default"/>
    <w:sig w:usb0="A10000EF" w:usb1="4201F9EE" w:usb2="02000000" w:usb3="00000000" w:csb0="60000193" w:csb1="0DD40000"/>
  </w:font>
  <w:font w:name="等线">
    <w:panose1 w:val="02010600030101010101"/>
    <w:charset w:val="86"/>
    <w:family w:val="auto"/>
    <w:pitch w:val="default"/>
    <w:sig w:usb0="A00002BF" w:usb1="38CF7CFA" w:usb2="00000016" w:usb3="00000000" w:csb0="0004000F" w:csb1="00000000"/>
  </w:font>
  <w:font w:name="Cambria">
    <w:panose1 w:val="02040503050406030204"/>
    <w:charset w:val="00"/>
    <w:family w:val="roman"/>
    <w:pitch w:val="default"/>
    <w:sig w:usb0="E00006FF" w:usb1="420024FF" w:usb2="02000000" w:usb3="00000000" w:csb0="2000019F" w:csb1="00000000"/>
  </w:font>
  <w:font w:name="Microsoft YaHei UI">
    <w:panose1 w:val="020B0503020204020204"/>
    <w:charset w:val="86"/>
    <w:family w:val="swiss"/>
    <w:pitch w:val="default"/>
    <w:sig w:usb0="80000287" w:usb1="2ACF3C50" w:usb2="00000016" w:usb3="00000000" w:csb0="0004001F" w:csb1="00000000"/>
  </w:font>
  <w:font w:name="等线 Light">
    <w:panose1 w:val="02010600030101010101"/>
    <w:charset w:val="86"/>
    <w:family w:val="auto"/>
    <w:pitch w:val="default"/>
    <w:sig w:usb0="A00002BF" w:usb1="38CF7CFA" w:usb2="00000016" w:usb3="00000000" w:csb0="0004000F" w:csb1="00000000"/>
  </w:font>
  <w:font w:name="TimesNewRomanPSMT">
    <w:altName w:val="Times New Roman"/>
    <w:panose1 w:val="00000000000000000000"/>
    <w:charset w:val="80"/>
    <w:family w:val="auto"/>
    <w:pitch w:val="default"/>
    <w:sig w:usb0="00000000" w:usb1="00000000" w:usb2="00000010" w:usb3="00000000" w:csb0="00060000" w:csb1="00000000"/>
  </w:font>
  <w:font w:name="TimesNewRomanPS-BoldMT">
    <w:altName w:val="宋体"/>
    <w:panose1 w:val="00000000000000000000"/>
    <w:charset w:val="00"/>
    <w:family w:val="roman"/>
    <w:pitch w:val="default"/>
    <w:sig w:usb0="00000000" w:usb1="00000000" w:usb2="00000000" w:usb3="00000000" w:csb0="00000000" w:csb1="00000000"/>
  </w:font>
  <w:font w:name="ArialMT">
    <w:altName w:val="Arial"/>
    <w:panose1 w:val="00000000000000000000"/>
    <w:charset w:val="00"/>
    <w:family w:val="roman"/>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DB6000">
    <w:pPr>
      <w:pStyle w:val="21"/>
      <w:ind w:right="360" w:firstLine="360"/>
      <w:jc w:val="center"/>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F0E18">
    <w:pPr>
      <w:pStyle w:val="21"/>
      <w:framePr w:wrap="around" w:vAnchor="text" w:hAnchor="margin" w:xAlign="center" w:y="1"/>
      <w:ind w:firstLine="360"/>
      <w:rPr>
        <w:rStyle w:val="34"/>
        <w:rFonts w:hint="eastAsia"/>
      </w:rPr>
    </w:pPr>
    <w:r>
      <w:fldChar w:fldCharType="begin"/>
    </w:r>
    <w:r>
      <w:rPr>
        <w:rStyle w:val="34"/>
      </w:rPr>
      <w:instrText xml:space="preserve">PAGE  </w:instrText>
    </w:r>
    <w:r>
      <w:fldChar w:fldCharType="separate"/>
    </w:r>
    <w:r>
      <w:rPr>
        <w:rStyle w:val="34"/>
      </w:rPr>
      <w:t>11</w:t>
    </w:r>
    <w:r>
      <w:fldChar w:fldCharType="end"/>
    </w:r>
  </w:p>
  <w:p w14:paraId="77EC8D93">
    <w:pPr>
      <w:pStyle w:val="21"/>
      <w:ind w:right="360" w:firstLine="36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27096027"/>
    </w:sdtPr>
    <w:sdtContent>
      <w:p w14:paraId="3BDA639F">
        <w:pPr>
          <w:pStyle w:val="21"/>
          <w:jc w:val="center"/>
          <w:rPr>
            <w:rFonts w:hint="eastAsia"/>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38</w:t>
        </w:r>
        <w:r>
          <w:rPr>
            <w:rFonts w:ascii="Times New Roman" w:hAnsi="Times New Roman" w:cs="Times New Roman"/>
          </w:rPr>
          <w:fldChar w:fldCharType="end"/>
        </w:r>
      </w:p>
    </w:sdtContent>
  </w:sdt>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B14107">
    <w:pPr>
      <w:pStyle w:val="21"/>
      <w:jc w:val="center"/>
      <w:rPr>
        <w:rFonts w:hint="eastAsia"/>
      </w:rPr>
    </w:pPr>
  </w:p>
  <w:p w14:paraId="24189A16">
    <w:pPr>
      <w:pStyle w:val="21"/>
      <w:ind w:right="360" w:firstLine="360"/>
      <w:jc w:val="center"/>
      <w:rPr>
        <w:rFonts w:hint="eastAsia"/>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D30038">
    <w:pPr>
      <w:pStyle w:val="21"/>
      <w:jc w:val="center"/>
      <w:rPr>
        <w:rFonts w:hint="eastAsia"/>
      </w:rPr>
    </w:pPr>
  </w:p>
  <w:p w14:paraId="0CBC5437">
    <w:pPr>
      <w:pStyle w:val="21"/>
      <w:ind w:right="360" w:firstLine="360"/>
      <w:jc w:val="center"/>
      <w:rPr>
        <w:rFonts w:hint="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601377918"/>
    </w:sdtPr>
    <w:sdtContent>
      <w:p w14:paraId="6734CFD2">
        <w:pPr>
          <w:pStyle w:val="21"/>
          <w:jc w:val="center"/>
          <w:rPr>
            <w:rFonts w:hint="eastAsia"/>
          </w:rPr>
        </w:pPr>
        <w:r>
          <w:fldChar w:fldCharType="begin"/>
        </w:r>
        <w:r>
          <w:instrText xml:space="preserve">PAGE   \* MERGEFORMAT</w:instrText>
        </w:r>
        <w:r>
          <w:fldChar w:fldCharType="separate"/>
        </w:r>
        <w:r>
          <w:rPr>
            <w:lang w:val="zh-CN"/>
          </w:rPr>
          <w:t>71</w:t>
        </w:r>
        <w:r>
          <w:fldChar w:fldCharType="end"/>
        </w:r>
      </w:p>
    </w:sdtContent>
  </w:sdt>
  <w:p w14:paraId="7015A708">
    <w:pPr>
      <w:pStyle w:val="21"/>
      <w:ind w:right="360" w:firstLine="360"/>
      <w:jc w:val="center"/>
      <w:rPr>
        <w:rFonts w:hint="eastAsia"/>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4250865"/>
    <w:multiLevelType w:val="multilevel"/>
    <w:tmpl w:val="14250865"/>
    <w:lvl w:ilvl="0" w:tentative="0">
      <w:start w:val="1"/>
      <w:numFmt w:val="decimal"/>
      <w:suff w:val="nothing"/>
      <w:lvlText w:val="%1"/>
      <w:lvlJc w:val="center"/>
      <w:pPr>
        <w:ind w:left="0" w:firstLine="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Q3MzVkMTdhODIxYTQyNTRjYTU4MmMzMDM2OGZhMDcifQ=="/>
  </w:docVars>
  <w:rsids>
    <w:rsidRoot w:val="008B751A"/>
    <w:rsid w:val="00001B3F"/>
    <w:rsid w:val="000026F5"/>
    <w:rsid w:val="0000282A"/>
    <w:rsid w:val="000044F0"/>
    <w:rsid w:val="0000450E"/>
    <w:rsid w:val="00004A7D"/>
    <w:rsid w:val="00005415"/>
    <w:rsid w:val="000058E5"/>
    <w:rsid w:val="000059F9"/>
    <w:rsid w:val="00006528"/>
    <w:rsid w:val="00006DCA"/>
    <w:rsid w:val="0001085E"/>
    <w:rsid w:val="000109C9"/>
    <w:rsid w:val="00010DCC"/>
    <w:rsid w:val="00010FD9"/>
    <w:rsid w:val="00012187"/>
    <w:rsid w:val="0001287C"/>
    <w:rsid w:val="00012981"/>
    <w:rsid w:val="00012B37"/>
    <w:rsid w:val="000133C8"/>
    <w:rsid w:val="0001361E"/>
    <w:rsid w:val="0001429E"/>
    <w:rsid w:val="000145F9"/>
    <w:rsid w:val="00015FD4"/>
    <w:rsid w:val="00022EB4"/>
    <w:rsid w:val="000235A8"/>
    <w:rsid w:val="00023964"/>
    <w:rsid w:val="000241B0"/>
    <w:rsid w:val="00024C88"/>
    <w:rsid w:val="0002501D"/>
    <w:rsid w:val="00026333"/>
    <w:rsid w:val="000266A9"/>
    <w:rsid w:val="000274E6"/>
    <w:rsid w:val="00027D25"/>
    <w:rsid w:val="00030032"/>
    <w:rsid w:val="00030968"/>
    <w:rsid w:val="0003210B"/>
    <w:rsid w:val="00032701"/>
    <w:rsid w:val="0003358B"/>
    <w:rsid w:val="000339D8"/>
    <w:rsid w:val="00033B53"/>
    <w:rsid w:val="00034AA6"/>
    <w:rsid w:val="00035E7F"/>
    <w:rsid w:val="000369DA"/>
    <w:rsid w:val="00036AEE"/>
    <w:rsid w:val="00036D76"/>
    <w:rsid w:val="00037B66"/>
    <w:rsid w:val="000412A7"/>
    <w:rsid w:val="00042375"/>
    <w:rsid w:val="00042746"/>
    <w:rsid w:val="00043263"/>
    <w:rsid w:val="00046433"/>
    <w:rsid w:val="00046A30"/>
    <w:rsid w:val="00047395"/>
    <w:rsid w:val="0005073D"/>
    <w:rsid w:val="00050E89"/>
    <w:rsid w:val="00051086"/>
    <w:rsid w:val="00051E6A"/>
    <w:rsid w:val="00052E92"/>
    <w:rsid w:val="0005303D"/>
    <w:rsid w:val="00053ACF"/>
    <w:rsid w:val="00055928"/>
    <w:rsid w:val="000561FC"/>
    <w:rsid w:val="0005635E"/>
    <w:rsid w:val="00057C4E"/>
    <w:rsid w:val="000605E1"/>
    <w:rsid w:val="000619D6"/>
    <w:rsid w:val="00061D14"/>
    <w:rsid w:val="00061E47"/>
    <w:rsid w:val="0006287B"/>
    <w:rsid w:val="00062A82"/>
    <w:rsid w:val="00062BD1"/>
    <w:rsid w:val="000630D8"/>
    <w:rsid w:val="000634ED"/>
    <w:rsid w:val="00063D45"/>
    <w:rsid w:val="00064C65"/>
    <w:rsid w:val="0006508B"/>
    <w:rsid w:val="00070539"/>
    <w:rsid w:val="00072752"/>
    <w:rsid w:val="00072C92"/>
    <w:rsid w:val="00073351"/>
    <w:rsid w:val="000735A0"/>
    <w:rsid w:val="00074CAE"/>
    <w:rsid w:val="00074D7B"/>
    <w:rsid w:val="000751E1"/>
    <w:rsid w:val="0007584A"/>
    <w:rsid w:val="00076B75"/>
    <w:rsid w:val="00076D77"/>
    <w:rsid w:val="00077989"/>
    <w:rsid w:val="000800CF"/>
    <w:rsid w:val="00080211"/>
    <w:rsid w:val="00080A05"/>
    <w:rsid w:val="00081372"/>
    <w:rsid w:val="000820B8"/>
    <w:rsid w:val="000831B5"/>
    <w:rsid w:val="00083B0D"/>
    <w:rsid w:val="00083D29"/>
    <w:rsid w:val="00085629"/>
    <w:rsid w:val="0008613C"/>
    <w:rsid w:val="00086FEA"/>
    <w:rsid w:val="0008761D"/>
    <w:rsid w:val="00087861"/>
    <w:rsid w:val="000918C3"/>
    <w:rsid w:val="00092A08"/>
    <w:rsid w:val="000937CD"/>
    <w:rsid w:val="00093BA6"/>
    <w:rsid w:val="00094C61"/>
    <w:rsid w:val="000957B8"/>
    <w:rsid w:val="00095BB1"/>
    <w:rsid w:val="00096412"/>
    <w:rsid w:val="00096DAA"/>
    <w:rsid w:val="00097BE5"/>
    <w:rsid w:val="000A176A"/>
    <w:rsid w:val="000A2340"/>
    <w:rsid w:val="000A2A5F"/>
    <w:rsid w:val="000A2AEE"/>
    <w:rsid w:val="000A2BFD"/>
    <w:rsid w:val="000A312E"/>
    <w:rsid w:val="000A414D"/>
    <w:rsid w:val="000A69D0"/>
    <w:rsid w:val="000A6A32"/>
    <w:rsid w:val="000A7CA9"/>
    <w:rsid w:val="000B0930"/>
    <w:rsid w:val="000B1E0E"/>
    <w:rsid w:val="000B2030"/>
    <w:rsid w:val="000B2345"/>
    <w:rsid w:val="000B2F36"/>
    <w:rsid w:val="000B2F7C"/>
    <w:rsid w:val="000B34C1"/>
    <w:rsid w:val="000B3522"/>
    <w:rsid w:val="000B3C1E"/>
    <w:rsid w:val="000B43F7"/>
    <w:rsid w:val="000B4CFC"/>
    <w:rsid w:val="000B50F9"/>
    <w:rsid w:val="000B53B7"/>
    <w:rsid w:val="000B58F7"/>
    <w:rsid w:val="000B6E07"/>
    <w:rsid w:val="000B72B6"/>
    <w:rsid w:val="000C11F1"/>
    <w:rsid w:val="000C1595"/>
    <w:rsid w:val="000C2A98"/>
    <w:rsid w:val="000C462A"/>
    <w:rsid w:val="000C4925"/>
    <w:rsid w:val="000C5C48"/>
    <w:rsid w:val="000C5C8B"/>
    <w:rsid w:val="000D031A"/>
    <w:rsid w:val="000D086C"/>
    <w:rsid w:val="000D0CBC"/>
    <w:rsid w:val="000D27B5"/>
    <w:rsid w:val="000D331C"/>
    <w:rsid w:val="000D3929"/>
    <w:rsid w:val="000D4606"/>
    <w:rsid w:val="000E04CD"/>
    <w:rsid w:val="000E06FB"/>
    <w:rsid w:val="000E092C"/>
    <w:rsid w:val="000E10F6"/>
    <w:rsid w:val="000E19E7"/>
    <w:rsid w:val="000E2870"/>
    <w:rsid w:val="000E2C79"/>
    <w:rsid w:val="000E4197"/>
    <w:rsid w:val="000E5B42"/>
    <w:rsid w:val="000E6BFB"/>
    <w:rsid w:val="000E7CAF"/>
    <w:rsid w:val="000F03BB"/>
    <w:rsid w:val="000F0711"/>
    <w:rsid w:val="000F0A35"/>
    <w:rsid w:val="000F3326"/>
    <w:rsid w:val="000F3ED1"/>
    <w:rsid w:val="000F471F"/>
    <w:rsid w:val="000F5E8E"/>
    <w:rsid w:val="000F696D"/>
    <w:rsid w:val="000F7069"/>
    <w:rsid w:val="000F7FDA"/>
    <w:rsid w:val="00100343"/>
    <w:rsid w:val="0010085B"/>
    <w:rsid w:val="001008B9"/>
    <w:rsid w:val="001015EB"/>
    <w:rsid w:val="00101941"/>
    <w:rsid w:val="00103186"/>
    <w:rsid w:val="00103390"/>
    <w:rsid w:val="0010418A"/>
    <w:rsid w:val="00105C1E"/>
    <w:rsid w:val="0010750F"/>
    <w:rsid w:val="0010775D"/>
    <w:rsid w:val="00110693"/>
    <w:rsid w:val="001111C4"/>
    <w:rsid w:val="0011260A"/>
    <w:rsid w:val="00112C01"/>
    <w:rsid w:val="00113935"/>
    <w:rsid w:val="00113FED"/>
    <w:rsid w:val="00114341"/>
    <w:rsid w:val="001162BA"/>
    <w:rsid w:val="001166D4"/>
    <w:rsid w:val="00116B13"/>
    <w:rsid w:val="00117BA8"/>
    <w:rsid w:val="00117F80"/>
    <w:rsid w:val="00120674"/>
    <w:rsid w:val="00120D81"/>
    <w:rsid w:val="00121133"/>
    <w:rsid w:val="00121682"/>
    <w:rsid w:val="001225F6"/>
    <w:rsid w:val="001242DE"/>
    <w:rsid w:val="0012483D"/>
    <w:rsid w:val="001256D0"/>
    <w:rsid w:val="00126A8C"/>
    <w:rsid w:val="00127F55"/>
    <w:rsid w:val="00130664"/>
    <w:rsid w:val="00130A2D"/>
    <w:rsid w:val="00131C3D"/>
    <w:rsid w:val="00131EBE"/>
    <w:rsid w:val="00132017"/>
    <w:rsid w:val="00132D2C"/>
    <w:rsid w:val="00134C4D"/>
    <w:rsid w:val="001351BB"/>
    <w:rsid w:val="00135F6D"/>
    <w:rsid w:val="00137CA8"/>
    <w:rsid w:val="0014147B"/>
    <w:rsid w:val="0014289D"/>
    <w:rsid w:val="0014355B"/>
    <w:rsid w:val="00143BFF"/>
    <w:rsid w:val="00144BB9"/>
    <w:rsid w:val="001453BB"/>
    <w:rsid w:val="00145D7C"/>
    <w:rsid w:val="00146B26"/>
    <w:rsid w:val="00146BFF"/>
    <w:rsid w:val="0015122D"/>
    <w:rsid w:val="00151F3F"/>
    <w:rsid w:val="00152EFA"/>
    <w:rsid w:val="00153010"/>
    <w:rsid w:val="001568CE"/>
    <w:rsid w:val="00156A28"/>
    <w:rsid w:val="00156E7A"/>
    <w:rsid w:val="0016046F"/>
    <w:rsid w:val="00160A92"/>
    <w:rsid w:val="00161262"/>
    <w:rsid w:val="00164E98"/>
    <w:rsid w:val="00165260"/>
    <w:rsid w:val="00166E66"/>
    <w:rsid w:val="00166F35"/>
    <w:rsid w:val="001676B2"/>
    <w:rsid w:val="001702C5"/>
    <w:rsid w:val="001703F6"/>
    <w:rsid w:val="00170818"/>
    <w:rsid w:val="0017105B"/>
    <w:rsid w:val="00173713"/>
    <w:rsid w:val="001738C1"/>
    <w:rsid w:val="00173C4B"/>
    <w:rsid w:val="0017437B"/>
    <w:rsid w:val="0017538B"/>
    <w:rsid w:val="0017556F"/>
    <w:rsid w:val="00175838"/>
    <w:rsid w:val="001766B3"/>
    <w:rsid w:val="00181423"/>
    <w:rsid w:val="001819EB"/>
    <w:rsid w:val="00182835"/>
    <w:rsid w:val="00183A95"/>
    <w:rsid w:val="00184534"/>
    <w:rsid w:val="00184953"/>
    <w:rsid w:val="0018609C"/>
    <w:rsid w:val="001863E1"/>
    <w:rsid w:val="001868AA"/>
    <w:rsid w:val="00187B1A"/>
    <w:rsid w:val="00191856"/>
    <w:rsid w:val="00192111"/>
    <w:rsid w:val="001922CC"/>
    <w:rsid w:val="001931D6"/>
    <w:rsid w:val="001933BB"/>
    <w:rsid w:val="001934BE"/>
    <w:rsid w:val="00193768"/>
    <w:rsid w:val="00193F8F"/>
    <w:rsid w:val="00195A8D"/>
    <w:rsid w:val="00196C41"/>
    <w:rsid w:val="001A14E7"/>
    <w:rsid w:val="001A1A4B"/>
    <w:rsid w:val="001A1BCD"/>
    <w:rsid w:val="001A2197"/>
    <w:rsid w:val="001A225A"/>
    <w:rsid w:val="001A26B5"/>
    <w:rsid w:val="001A5029"/>
    <w:rsid w:val="001A5909"/>
    <w:rsid w:val="001A5B62"/>
    <w:rsid w:val="001A74DC"/>
    <w:rsid w:val="001A7949"/>
    <w:rsid w:val="001A7D23"/>
    <w:rsid w:val="001B0D3B"/>
    <w:rsid w:val="001B0EB6"/>
    <w:rsid w:val="001B2279"/>
    <w:rsid w:val="001B4476"/>
    <w:rsid w:val="001B4715"/>
    <w:rsid w:val="001B4A14"/>
    <w:rsid w:val="001B4AAA"/>
    <w:rsid w:val="001B50FC"/>
    <w:rsid w:val="001B5739"/>
    <w:rsid w:val="001B579D"/>
    <w:rsid w:val="001B7024"/>
    <w:rsid w:val="001B79F9"/>
    <w:rsid w:val="001C045D"/>
    <w:rsid w:val="001C10EE"/>
    <w:rsid w:val="001C12E9"/>
    <w:rsid w:val="001C1422"/>
    <w:rsid w:val="001C33E1"/>
    <w:rsid w:val="001C35F9"/>
    <w:rsid w:val="001C4B48"/>
    <w:rsid w:val="001C52F7"/>
    <w:rsid w:val="001C7069"/>
    <w:rsid w:val="001C7076"/>
    <w:rsid w:val="001C7318"/>
    <w:rsid w:val="001D10C8"/>
    <w:rsid w:val="001D197C"/>
    <w:rsid w:val="001D2E2D"/>
    <w:rsid w:val="001D356C"/>
    <w:rsid w:val="001D358B"/>
    <w:rsid w:val="001D3CD2"/>
    <w:rsid w:val="001D6424"/>
    <w:rsid w:val="001D6DD4"/>
    <w:rsid w:val="001D6E7A"/>
    <w:rsid w:val="001D760D"/>
    <w:rsid w:val="001E0693"/>
    <w:rsid w:val="001E1D59"/>
    <w:rsid w:val="001E215A"/>
    <w:rsid w:val="001E29BE"/>
    <w:rsid w:val="001E324B"/>
    <w:rsid w:val="001E36A4"/>
    <w:rsid w:val="001E4049"/>
    <w:rsid w:val="001E4261"/>
    <w:rsid w:val="001E4762"/>
    <w:rsid w:val="001E4A1F"/>
    <w:rsid w:val="001E525F"/>
    <w:rsid w:val="001E5470"/>
    <w:rsid w:val="001E61DB"/>
    <w:rsid w:val="001E6388"/>
    <w:rsid w:val="001E7E5C"/>
    <w:rsid w:val="001F0272"/>
    <w:rsid w:val="001F1EA3"/>
    <w:rsid w:val="001F238B"/>
    <w:rsid w:val="001F2EF5"/>
    <w:rsid w:val="001F3E2E"/>
    <w:rsid w:val="001F4611"/>
    <w:rsid w:val="001F6DA8"/>
    <w:rsid w:val="001F7081"/>
    <w:rsid w:val="00201259"/>
    <w:rsid w:val="00201575"/>
    <w:rsid w:val="0020166C"/>
    <w:rsid w:val="00202634"/>
    <w:rsid w:val="00202F2D"/>
    <w:rsid w:val="002033F8"/>
    <w:rsid w:val="002036E2"/>
    <w:rsid w:val="00203AE7"/>
    <w:rsid w:val="0020514F"/>
    <w:rsid w:val="00205CFA"/>
    <w:rsid w:val="00206BD0"/>
    <w:rsid w:val="00210089"/>
    <w:rsid w:val="002110DA"/>
    <w:rsid w:val="002112E9"/>
    <w:rsid w:val="0021236B"/>
    <w:rsid w:val="0021325C"/>
    <w:rsid w:val="00213371"/>
    <w:rsid w:val="00213EE1"/>
    <w:rsid w:val="00214751"/>
    <w:rsid w:val="00215FF5"/>
    <w:rsid w:val="00216A9D"/>
    <w:rsid w:val="0022147A"/>
    <w:rsid w:val="002216EE"/>
    <w:rsid w:val="00221F87"/>
    <w:rsid w:val="002223BF"/>
    <w:rsid w:val="00224533"/>
    <w:rsid w:val="00224C52"/>
    <w:rsid w:val="00224E36"/>
    <w:rsid w:val="0022509C"/>
    <w:rsid w:val="00225F74"/>
    <w:rsid w:val="002275DD"/>
    <w:rsid w:val="00227E0B"/>
    <w:rsid w:val="00230300"/>
    <w:rsid w:val="00230B3A"/>
    <w:rsid w:val="00233106"/>
    <w:rsid w:val="00233114"/>
    <w:rsid w:val="00233ADA"/>
    <w:rsid w:val="00233B4B"/>
    <w:rsid w:val="00233DA5"/>
    <w:rsid w:val="00235938"/>
    <w:rsid w:val="00235A0D"/>
    <w:rsid w:val="00235E6D"/>
    <w:rsid w:val="00236372"/>
    <w:rsid w:val="00237985"/>
    <w:rsid w:val="00237F5F"/>
    <w:rsid w:val="0024066B"/>
    <w:rsid w:val="0024242D"/>
    <w:rsid w:val="0024249A"/>
    <w:rsid w:val="00242C55"/>
    <w:rsid w:val="00242E86"/>
    <w:rsid w:val="00243BBB"/>
    <w:rsid w:val="00244342"/>
    <w:rsid w:val="00244AAD"/>
    <w:rsid w:val="00246568"/>
    <w:rsid w:val="00246743"/>
    <w:rsid w:val="00251D25"/>
    <w:rsid w:val="00252F03"/>
    <w:rsid w:val="002532D5"/>
    <w:rsid w:val="002536A9"/>
    <w:rsid w:val="00254170"/>
    <w:rsid w:val="00254D34"/>
    <w:rsid w:val="00254F07"/>
    <w:rsid w:val="00255465"/>
    <w:rsid w:val="00256B62"/>
    <w:rsid w:val="00256E57"/>
    <w:rsid w:val="00257461"/>
    <w:rsid w:val="00257A44"/>
    <w:rsid w:val="00260CEC"/>
    <w:rsid w:val="00261A99"/>
    <w:rsid w:val="00262A7A"/>
    <w:rsid w:val="00263A16"/>
    <w:rsid w:val="002642C9"/>
    <w:rsid w:val="002653D6"/>
    <w:rsid w:val="002657F3"/>
    <w:rsid w:val="00266CB2"/>
    <w:rsid w:val="0026781F"/>
    <w:rsid w:val="00267B47"/>
    <w:rsid w:val="00267CCA"/>
    <w:rsid w:val="00270A23"/>
    <w:rsid w:val="00270D67"/>
    <w:rsid w:val="00271837"/>
    <w:rsid w:val="00272B22"/>
    <w:rsid w:val="0027313D"/>
    <w:rsid w:val="002742D3"/>
    <w:rsid w:val="00274E7D"/>
    <w:rsid w:val="00274FBF"/>
    <w:rsid w:val="00276B74"/>
    <w:rsid w:val="00277023"/>
    <w:rsid w:val="00277CEB"/>
    <w:rsid w:val="00280D05"/>
    <w:rsid w:val="00282532"/>
    <w:rsid w:val="0028277C"/>
    <w:rsid w:val="00282AC2"/>
    <w:rsid w:val="00283274"/>
    <w:rsid w:val="00285482"/>
    <w:rsid w:val="002857D1"/>
    <w:rsid w:val="00285A1D"/>
    <w:rsid w:val="00290169"/>
    <w:rsid w:val="0029074C"/>
    <w:rsid w:val="00290C3E"/>
    <w:rsid w:val="00290F9A"/>
    <w:rsid w:val="002910A6"/>
    <w:rsid w:val="002913A8"/>
    <w:rsid w:val="002913B0"/>
    <w:rsid w:val="002917B1"/>
    <w:rsid w:val="00291C06"/>
    <w:rsid w:val="00291EAD"/>
    <w:rsid w:val="002938AF"/>
    <w:rsid w:val="00293BFF"/>
    <w:rsid w:val="0029672E"/>
    <w:rsid w:val="002967F2"/>
    <w:rsid w:val="00297EB8"/>
    <w:rsid w:val="002A0101"/>
    <w:rsid w:val="002A1627"/>
    <w:rsid w:val="002A1F3C"/>
    <w:rsid w:val="002A1FC5"/>
    <w:rsid w:val="002A2909"/>
    <w:rsid w:val="002A344D"/>
    <w:rsid w:val="002A456E"/>
    <w:rsid w:val="002A5B06"/>
    <w:rsid w:val="002A6FF0"/>
    <w:rsid w:val="002A76B1"/>
    <w:rsid w:val="002A7B32"/>
    <w:rsid w:val="002A7B5C"/>
    <w:rsid w:val="002B0ABE"/>
    <w:rsid w:val="002B18FC"/>
    <w:rsid w:val="002B1A4B"/>
    <w:rsid w:val="002B305F"/>
    <w:rsid w:val="002B3E90"/>
    <w:rsid w:val="002B474E"/>
    <w:rsid w:val="002B518B"/>
    <w:rsid w:val="002B7251"/>
    <w:rsid w:val="002C04F8"/>
    <w:rsid w:val="002C0EBE"/>
    <w:rsid w:val="002C0EFA"/>
    <w:rsid w:val="002C0FD9"/>
    <w:rsid w:val="002C177D"/>
    <w:rsid w:val="002C1CB0"/>
    <w:rsid w:val="002C2EE7"/>
    <w:rsid w:val="002C4002"/>
    <w:rsid w:val="002C496C"/>
    <w:rsid w:val="002C5C09"/>
    <w:rsid w:val="002C5C2E"/>
    <w:rsid w:val="002C6046"/>
    <w:rsid w:val="002C6EF7"/>
    <w:rsid w:val="002D2A47"/>
    <w:rsid w:val="002D2AE9"/>
    <w:rsid w:val="002D2B00"/>
    <w:rsid w:val="002D3E17"/>
    <w:rsid w:val="002D46E1"/>
    <w:rsid w:val="002D55C4"/>
    <w:rsid w:val="002D584C"/>
    <w:rsid w:val="002D6615"/>
    <w:rsid w:val="002D798F"/>
    <w:rsid w:val="002D7BF9"/>
    <w:rsid w:val="002E03AA"/>
    <w:rsid w:val="002E082D"/>
    <w:rsid w:val="002E0C94"/>
    <w:rsid w:val="002E2150"/>
    <w:rsid w:val="002E45AA"/>
    <w:rsid w:val="002E678C"/>
    <w:rsid w:val="002E7ABE"/>
    <w:rsid w:val="002E7C6A"/>
    <w:rsid w:val="002E7F6C"/>
    <w:rsid w:val="002F0186"/>
    <w:rsid w:val="002F09CA"/>
    <w:rsid w:val="002F1430"/>
    <w:rsid w:val="002F1F22"/>
    <w:rsid w:val="002F2400"/>
    <w:rsid w:val="002F295C"/>
    <w:rsid w:val="002F37F6"/>
    <w:rsid w:val="002F610B"/>
    <w:rsid w:val="002F61F7"/>
    <w:rsid w:val="002F68E8"/>
    <w:rsid w:val="002F698A"/>
    <w:rsid w:val="002F7880"/>
    <w:rsid w:val="002F789B"/>
    <w:rsid w:val="00300509"/>
    <w:rsid w:val="00300634"/>
    <w:rsid w:val="0030066F"/>
    <w:rsid w:val="00302CFD"/>
    <w:rsid w:val="00303054"/>
    <w:rsid w:val="00303774"/>
    <w:rsid w:val="00305935"/>
    <w:rsid w:val="00310E0D"/>
    <w:rsid w:val="003116DF"/>
    <w:rsid w:val="00311F24"/>
    <w:rsid w:val="00314465"/>
    <w:rsid w:val="00317A08"/>
    <w:rsid w:val="00321B03"/>
    <w:rsid w:val="00322999"/>
    <w:rsid w:val="003237A2"/>
    <w:rsid w:val="003251F3"/>
    <w:rsid w:val="00325EDE"/>
    <w:rsid w:val="00331304"/>
    <w:rsid w:val="0033209B"/>
    <w:rsid w:val="00332256"/>
    <w:rsid w:val="00332AA4"/>
    <w:rsid w:val="00332AC2"/>
    <w:rsid w:val="00333B6E"/>
    <w:rsid w:val="00334664"/>
    <w:rsid w:val="0033552D"/>
    <w:rsid w:val="00336370"/>
    <w:rsid w:val="003363D4"/>
    <w:rsid w:val="00336819"/>
    <w:rsid w:val="00336907"/>
    <w:rsid w:val="00336F91"/>
    <w:rsid w:val="00336FF2"/>
    <w:rsid w:val="00337DAE"/>
    <w:rsid w:val="00341097"/>
    <w:rsid w:val="003436C6"/>
    <w:rsid w:val="00343EBE"/>
    <w:rsid w:val="00343F63"/>
    <w:rsid w:val="003462A2"/>
    <w:rsid w:val="00346380"/>
    <w:rsid w:val="0034657E"/>
    <w:rsid w:val="00346D53"/>
    <w:rsid w:val="00347DD8"/>
    <w:rsid w:val="00350685"/>
    <w:rsid w:val="00351602"/>
    <w:rsid w:val="00352835"/>
    <w:rsid w:val="0035453E"/>
    <w:rsid w:val="00356682"/>
    <w:rsid w:val="003566D1"/>
    <w:rsid w:val="00361464"/>
    <w:rsid w:val="00362C6B"/>
    <w:rsid w:val="00363839"/>
    <w:rsid w:val="0036483D"/>
    <w:rsid w:val="00364F76"/>
    <w:rsid w:val="00367336"/>
    <w:rsid w:val="00367786"/>
    <w:rsid w:val="00367FEF"/>
    <w:rsid w:val="00370363"/>
    <w:rsid w:val="00371628"/>
    <w:rsid w:val="00371C21"/>
    <w:rsid w:val="00373BAA"/>
    <w:rsid w:val="00373E71"/>
    <w:rsid w:val="00374DDD"/>
    <w:rsid w:val="003753FC"/>
    <w:rsid w:val="0037560E"/>
    <w:rsid w:val="00377D64"/>
    <w:rsid w:val="003800FB"/>
    <w:rsid w:val="0038153A"/>
    <w:rsid w:val="00381699"/>
    <w:rsid w:val="003817AA"/>
    <w:rsid w:val="00382EDE"/>
    <w:rsid w:val="00383D3A"/>
    <w:rsid w:val="003843F0"/>
    <w:rsid w:val="00385375"/>
    <w:rsid w:val="00386137"/>
    <w:rsid w:val="00387F6D"/>
    <w:rsid w:val="003904BB"/>
    <w:rsid w:val="003906A5"/>
    <w:rsid w:val="0039199D"/>
    <w:rsid w:val="00391EAF"/>
    <w:rsid w:val="00392000"/>
    <w:rsid w:val="0039463B"/>
    <w:rsid w:val="00396F85"/>
    <w:rsid w:val="003A3403"/>
    <w:rsid w:val="003A4358"/>
    <w:rsid w:val="003A4454"/>
    <w:rsid w:val="003A4BA4"/>
    <w:rsid w:val="003A5271"/>
    <w:rsid w:val="003A779C"/>
    <w:rsid w:val="003A7AFF"/>
    <w:rsid w:val="003B2539"/>
    <w:rsid w:val="003B2642"/>
    <w:rsid w:val="003B5FA6"/>
    <w:rsid w:val="003B63E3"/>
    <w:rsid w:val="003B68D1"/>
    <w:rsid w:val="003B7973"/>
    <w:rsid w:val="003B7A34"/>
    <w:rsid w:val="003B7D13"/>
    <w:rsid w:val="003C04C5"/>
    <w:rsid w:val="003C1F67"/>
    <w:rsid w:val="003C2705"/>
    <w:rsid w:val="003C4986"/>
    <w:rsid w:val="003C53BE"/>
    <w:rsid w:val="003C545A"/>
    <w:rsid w:val="003C56D7"/>
    <w:rsid w:val="003C5BA3"/>
    <w:rsid w:val="003C756A"/>
    <w:rsid w:val="003C7632"/>
    <w:rsid w:val="003D0444"/>
    <w:rsid w:val="003D0B84"/>
    <w:rsid w:val="003D1894"/>
    <w:rsid w:val="003D2593"/>
    <w:rsid w:val="003D591D"/>
    <w:rsid w:val="003D6E3C"/>
    <w:rsid w:val="003D7E13"/>
    <w:rsid w:val="003E00F7"/>
    <w:rsid w:val="003E1249"/>
    <w:rsid w:val="003E5467"/>
    <w:rsid w:val="003E5D49"/>
    <w:rsid w:val="003E5E06"/>
    <w:rsid w:val="003E79D6"/>
    <w:rsid w:val="003F0A18"/>
    <w:rsid w:val="003F1143"/>
    <w:rsid w:val="003F1D8A"/>
    <w:rsid w:val="003F1DF5"/>
    <w:rsid w:val="003F210A"/>
    <w:rsid w:val="003F3A40"/>
    <w:rsid w:val="003F3BB3"/>
    <w:rsid w:val="003F44CC"/>
    <w:rsid w:val="003F4585"/>
    <w:rsid w:val="003F471B"/>
    <w:rsid w:val="003F5922"/>
    <w:rsid w:val="003F5C22"/>
    <w:rsid w:val="003F71EB"/>
    <w:rsid w:val="003F7BC8"/>
    <w:rsid w:val="0040015E"/>
    <w:rsid w:val="00400F5D"/>
    <w:rsid w:val="0040115F"/>
    <w:rsid w:val="00402F42"/>
    <w:rsid w:val="00403170"/>
    <w:rsid w:val="004036BE"/>
    <w:rsid w:val="00404EC2"/>
    <w:rsid w:val="00405438"/>
    <w:rsid w:val="004056A0"/>
    <w:rsid w:val="004060DF"/>
    <w:rsid w:val="00406953"/>
    <w:rsid w:val="00406BBA"/>
    <w:rsid w:val="00407B51"/>
    <w:rsid w:val="00411766"/>
    <w:rsid w:val="00414739"/>
    <w:rsid w:val="00415E89"/>
    <w:rsid w:val="00416D4A"/>
    <w:rsid w:val="00417142"/>
    <w:rsid w:val="004179F9"/>
    <w:rsid w:val="0042078C"/>
    <w:rsid w:val="00422728"/>
    <w:rsid w:val="00422B4E"/>
    <w:rsid w:val="00422FCE"/>
    <w:rsid w:val="004233E3"/>
    <w:rsid w:val="00423A7B"/>
    <w:rsid w:val="00427C2D"/>
    <w:rsid w:val="00427E21"/>
    <w:rsid w:val="00431492"/>
    <w:rsid w:val="00433121"/>
    <w:rsid w:val="004343B9"/>
    <w:rsid w:val="00434597"/>
    <w:rsid w:val="004346E3"/>
    <w:rsid w:val="00435FB2"/>
    <w:rsid w:val="004363A2"/>
    <w:rsid w:val="004365B1"/>
    <w:rsid w:val="00437EDE"/>
    <w:rsid w:val="004403C8"/>
    <w:rsid w:val="0044048D"/>
    <w:rsid w:val="00440757"/>
    <w:rsid w:val="00440D90"/>
    <w:rsid w:val="00441AF4"/>
    <w:rsid w:val="004439BF"/>
    <w:rsid w:val="00444E84"/>
    <w:rsid w:val="00445F58"/>
    <w:rsid w:val="00446EA4"/>
    <w:rsid w:val="00450440"/>
    <w:rsid w:val="004514B3"/>
    <w:rsid w:val="00451E2B"/>
    <w:rsid w:val="00451E83"/>
    <w:rsid w:val="00452560"/>
    <w:rsid w:val="00453E22"/>
    <w:rsid w:val="004540E0"/>
    <w:rsid w:val="004549E2"/>
    <w:rsid w:val="00454B75"/>
    <w:rsid w:val="00456EA9"/>
    <w:rsid w:val="0045704B"/>
    <w:rsid w:val="004572BE"/>
    <w:rsid w:val="00457301"/>
    <w:rsid w:val="00457764"/>
    <w:rsid w:val="00457B5D"/>
    <w:rsid w:val="00461392"/>
    <w:rsid w:val="0046144B"/>
    <w:rsid w:val="00461847"/>
    <w:rsid w:val="00461C23"/>
    <w:rsid w:val="004629A2"/>
    <w:rsid w:val="004635F4"/>
    <w:rsid w:val="00463E43"/>
    <w:rsid w:val="00464015"/>
    <w:rsid w:val="004640E9"/>
    <w:rsid w:val="004640EC"/>
    <w:rsid w:val="004643E4"/>
    <w:rsid w:val="00465465"/>
    <w:rsid w:val="0046754E"/>
    <w:rsid w:val="0046790E"/>
    <w:rsid w:val="00467A99"/>
    <w:rsid w:val="00467E3E"/>
    <w:rsid w:val="00470DCF"/>
    <w:rsid w:val="00471E28"/>
    <w:rsid w:val="00471E30"/>
    <w:rsid w:val="00471FE3"/>
    <w:rsid w:val="00472EC2"/>
    <w:rsid w:val="0047330D"/>
    <w:rsid w:val="00474ACD"/>
    <w:rsid w:val="00474EEA"/>
    <w:rsid w:val="004752E2"/>
    <w:rsid w:val="004771CC"/>
    <w:rsid w:val="004775C2"/>
    <w:rsid w:val="004808B0"/>
    <w:rsid w:val="00481AC5"/>
    <w:rsid w:val="00482A7C"/>
    <w:rsid w:val="00482AEE"/>
    <w:rsid w:val="00485633"/>
    <w:rsid w:val="00486F79"/>
    <w:rsid w:val="004872C8"/>
    <w:rsid w:val="00487EEB"/>
    <w:rsid w:val="00491A04"/>
    <w:rsid w:val="0049272E"/>
    <w:rsid w:val="00493B12"/>
    <w:rsid w:val="004943EA"/>
    <w:rsid w:val="004971A7"/>
    <w:rsid w:val="0049737B"/>
    <w:rsid w:val="004A07E0"/>
    <w:rsid w:val="004A0C9E"/>
    <w:rsid w:val="004A12C7"/>
    <w:rsid w:val="004A1D9B"/>
    <w:rsid w:val="004A268B"/>
    <w:rsid w:val="004A3D42"/>
    <w:rsid w:val="004A4047"/>
    <w:rsid w:val="004A426A"/>
    <w:rsid w:val="004A42CC"/>
    <w:rsid w:val="004A492A"/>
    <w:rsid w:val="004A4CD0"/>
    <w:rsid w:val="004A5619"/>
    <w:rsid w:val="004A69AC"/>
    <w:rsid w:val="004A780E"/>
    <w:rsid w:val="004B0245"/>
    <w:rsid w:val="004B05CA"/>
    <w:rsid w:val="004B2474"/>
    <w:rsid w:val="004B2704"/>
    <w:rsid w:val="004B3948"/>
    <w:rsid w:val="004B3DD8"/>
    <w:rsid w:val="004B3F87"/>
    <w:rsid w:val="004B5646"/>
    <w:rsid w:val="004B64FC"/>
    <w:rsid w:val="004B6AAC"/>
    <w:rsid w:val="004B6FA2"/>
    <w:rsid w:val="004B7187"/>
    <w:rsid w:val="004B7684"/>
    <w:rsid w:val="004C0193"/>
    <w:rsid w:val="004C0684"/>
    <w:rsid w:val="004C1055"/>
    <w:rsid w:val="004C12C5"/>
    <w:rsid w:val="004C31AC"/>
    <w:rsid w:val="004C377D"/>
    <w:rsid w:val="004D09B6"/>
    <w:rsid w:val="004D2AB8"/>
    <w:rsid w:val="004D3C7B"/>
    <w:rsid w:val="004D401E"/>
    <w:rsid w:val="004D4755"/>
    <w:rsid w:val="004D4BCC"/>
    <w:rsid w:val="004D5303"/>
    <w:rsid w:val="004D5560"/>
    <w:rsid w:val="004D5FBD"/>
    <w:rsid w:val="004D6943"/>
    <w:rsid w:val="004D7C51"/>
    <w:rsid w:val="004E0424"/>
    <w:rsid w:val="004E0785"/>
    <w:rsid w:val="004E1649"/>
    <w:rsid w:val="004E2595"/>
    <w:rsid w:val="004E5657"/>
    <w:rsid w:val="004E59C5"/>
    <w:rsid w:val="004E5AB6"/>
    <w:rsid w:val="004E5BBC"/>
    <w:rsid w:val="004E6999"/>
    <w:rsid w:val="004E78E2"/>
    <w:rsid w:val="004F02FE"/>
    <w:rsid w:val="004F0369"/>
    <w:rsid w:val="004F1229"/>
    <w:rsid w:val="004F1401"/>
    <w:rsid w:val="004F1ED0"/>
    <w:rsid w:val="004F33C3"/>
    <w:rsid w:val="004F3A87"/>
    <w:rsid w:val="004F434A"/>
    <w:rsid w:val="004F4630"/>
    <w:rsid w:val="004F5226"/>
    <w:rsid w:val="004F5737"/>
    <w:rsid w:val="004F5750"/>
    <w:rsid w:val="004F57D1"/>
    <w:rsid w:val="004F5F26"/>
    <w:rsid w:val="004F6080"/>
    <w:rsid w:val="004F67B8"/>
    <w:rsid w:val="004F6E81"/>
    <w:rsid w:val="004F6EAD"/>
    <w:rsid w:val="004F7C60"/>
    <w:rsid w:val="00500DBC"/>
    <w:rsid w:val="00501B6D"/>
    <w:rsid w:val="00501D94"/>
    <w:rsid w:val="005021C0"/>
    <w:rsid w:val="00503121"/>
    <w:rsid w:val="00503A26"/>
    <w:rsid w:val="0050684A"/>
    <w:rsid w:val="00506C0A"/>
    <w:rsid w:val="0050709B"/>
    <w:rsid w:val="005073E1"/>
    <w:rsid w:val="00507D01"/>
    <w:rsid w:val="00507F5D"/>
    <w:rsid w:val="00510375"/>
    <w:rsid w:val="00510555"/>
    <w:rsid w:val="00512D55"/>
    <w:rsid w:val="00512EE0"/>
    <w:rsid w:val="005133BF"/>
    <w:rsid w:val="00513443"/>
    <w:rsid w:val="005139B9"/>
    <w:rsid w:val="0051570C"/>
    <w:rsid w:val="00516CDA"/>
    <w:rsid w:val="005176BD"/>
    <w:rsid w:val="00517AD3"/>
    <w:rsid w:val="00517C95"/>
    <w:rsid w:val="00517CC3"/>
    <w:rsid w:val="00517CC6"/>
    <w:rsid w:val="0052233B"/>
    <w:rsid w:val="0052308A"/>
    <w:rsid w:val="00523AEA"/>
    <w:rsid w:val="0052411E"/>
    <w:rsid w:val="00524451"/>
    <w:rsid w:val="0052532C"/>
    <w:rsid w:val="005253E2"/>
    <w:rsid w:val="00525727"/>
    <w:rsid w:val="005260A9"/>
    <w:rsid w:val="00526DB5"/>
    <w:rsid w:val="005305ED"/>
    <w:rsid w:val="00530951"/>
    <w:rsid w:val="005309B0"/>
    <w:rsid w:val="005318A8"/>
    <w:rsid w:val="005318C6"/>
    <w:rsid w:val="00531EBA"/>
    <w:rsid w:val="00532DC1"/>
    <w:rsid w:val="00533007"/>
    <w:rsid w:val="00533CEF"/>
    <w:rsid w:val="00533ED0"/>
    <w:rsid w:val="0053449D"/>
    <w:rsid w:val="00534B78"/>
    <w:rsid w:val="00535FEC"/>
    <w:rsid w:val="00537810"/>
    <w:rsid w:val="00540291"/>
    <w:rsid w:val="0054060E"/>
    <w:rsid w:val="00540977"/>
    <w:rsid w:val="005409C3"/>
    <w:rsid w:val="00541125"/>
    <w:rsid w:val="00543BDB"/>
    <w:rsid w:val="00544B9F"/>
    <w:rsid w:val="0054576A"/>
    <w:rsid w:val="005459C7"/>
    <w:rsid w:val="00547240"/>
    <w:rsid w:val="00547E13"/>
    <w:rsid w:val="005505D5"/>
    <w:rsid w:val="00550613"/>
    <w:rsid w:val="00550DFE"/>
    <w:rsid w:val="00552B25"/>
    <w:rsid w:val="00553D47"/>
    <w:rsid w:val="00554A30"/>
    <w:rsid w:val="005555C0"/>
    <w:rsid w:val="00555AEF"/>
    <w:rsid w:val="00556771"/>
    <w:rsid w:val="00556A46"/>
    <w:rsid w:val="00556C06"/>
    <w:rsid w:val="00557612"/>
    <w:rsid w:val="00560BA7"/>
    <w:rsid w:val="00564530"/>
    <w:rsid w:val="00565836"/>
    <w:rsid w:val="0056654D"/>
    <w:rsid w:val="00567C59"/>
    <w:rsid w:val="00571BB8"/>
    <w:rsid w:val="005737F7"/>
    <w:rsid w:val="00574A58"/>
    <w:rsid w:val="00574B1B"/>
    <w:rsid w:val="00575679"/>
    <w:rsid w:val="005759CB"/>
    <w:rsid w:val="00576BCF"/>
    <w:rsid w:val="00577CEE"/>
    <w:rsid w:val="00580016"/>
    <w:rsid w:val="00580176"/>
    <w:rsid w:val="00580620"/>
    <w:rsid w:val="00581123"/>
    <w:rsid w:val="00581EFA"/>
    <w:rsid w:val="005857D1"/>
    <w:rsid w:val="00585F8F"/>
    <w:rsid w:val="00586A05"/>
    <w:rsid w:val="00586A06"/>
    <w:rsid w:val="00587226"/>
    <w:rsid w:val="00587895"/>
    <w:rsid w:val="005912CF"/>
    <w:rsid w:val="00592F09"/>
    <w:rsid w:val="005932DC"/>
    <w:rsid w:val="00593D3D"/>
    <w:rsid w:val="00594140"/>
    <w:rsid w:val="00594143"/>
    <w:rsid w:val="00594223"/>
    <w:rsid w:val="00594C04"/>
    <w:rsid w:val="00595744"/>
    <w:rsid w:val="005957B7"/>
    <w:rsid w:val="0059769B"/>
    <w:rsid w:val="005A0476"/>
    <w:rsid w:val="005A1050"/>
    <w:rsid w:val="005A1138"/>
    <w:rsid w:val="005A1EAF"/>
    <w:rsid w:val="005A2F48"/>
    <w:rsid w:val="005A427A"/>
    <w:rsid w:val="005A6448"/>
    <w:rsid w:val="005A7CF6"/>
    <w:rsid w:val="005B01F5"/>
    <w:rsid w:val="005B36EC"/>
    <w:rsid w:val="005B4BC7"/>
    <w:rsid w:val="005B58D7"/>
    <w:rsid w:val="005B6312"/>
    <w:rsid w:val="005B7B20"/>
    <w:rsid w:val="005C0136"/>
    <w:rsid w:val="005C067C"/>
    <w:rsid w:val="005C1265"/>
    <w:rsid w:val="005C2841"/>
    <w:rsid w:val="005C2E69"/>
    <w:rsid w:val="005C3310"/>
    <w:rsid w:val="005C3491"/>
    <w:rsid w:val="005C3A38"/>
    <w:rsid w:val="005C3A96"/>
    <w:rsid w:val="005C4D30"/>
    <w:rsid w:val="005C65B2"/>
    <w:rsid w:val="005C7119"/>
    <w:rsid w:val="005D0B92"/>
    <w:rsid w:val="005D13FB"/>
    <w:rsid w:val="005D1A6D"/>
    <w:rsid w:val="005D1DD9"/>
    <w:rsid w:val="005D33BE"/>
    <w:rsid w:val="005D3420"/>
    <w:rsid w:val="005D4BA7"/>
    <w:rsid w:val="005D4C1B"/>
    <w:rsid w:val="005D7666"/>
    <w:rsid w:val="005E1964"/>
    <w:rsid w:val="005E2A7E"/>
    <w:rsid w:val="005E355A"/>
    <w:rsid w:val="005E43F4"/>
    <w:rsid w:val="005E4D8D"/>
    <w:rsid w:val="005E657E"/>
    <w:rsid w:val="005E7F30"/>
    <w:rsid w:val="005F0176"/>
    <w:rsid w:val="005F036A"/>
    <w:rsid w:val="005F0BF1"/>
    <w:rsid w:val="005F1900"/>
    <w:rsid w:val="005F20A7"/>
    <w:rsid w:val="005F2152"/>
    <w:rsid w:val="005F2E37"/>
    <w:rsid w:val="005F3984"/>
    <w:rsid w:val="005F4094"/>
    <w:rsid w:val="005F45A9"/>
    <w:rsid w:val="005F4ED0"/>
    <w:rsid w:val="005F610F"/>
    <w:rsid w:val="005F6A63"/>
    <w:rsid w:val="005F71B4"/>
    <w:rsid w:val="00600B44"/>
    <w:rsid w:val="0060180E"/>
    <w:rsid w:val="006029EB"/>
    <w:rsid w:val="006029FE"/>
    <w:rsid w:val="00603935"/>
    <w:rsid w:val="00605011"/>
    <w:rsid w:val="00606BFB"/>
    <w:rsid w:val="006103A4"/>
    <w:rsid w:val="00610C73"/>
    <w:rsid w:val="00611A3F"/>
    <w:rsid w:val="00611B12"/>
    <w:rsid w:val="00613763"/>
    <w:rsid w:val="0061392B"/>
    <w:rsid w:val="00613BE9"/>
    <w:rsid w:val="00613F4B"/>
    <w:rsid w:val="006146DC"/>
    <w:rsid w:val="00616193"/>
    <w:rsid w:val="006168EE"/>
    <w:rsid w:val="00616AA1"/>
    <w:rsid w:val="00617B8B"/>
    <w:rsid w:val="00621C5A"/>
    <w:rsid w:val="00622838"/>
    <w:rsid w:val="00623FC8"/>
    <w:rsid w:val="006240E9"/>
    <w:rsid w:val="0062719F"/>
    <w:rsid w:val="00627557"/>
    <w:rsid w:val="00630A2F"/>
    <w:rsid w:val="0063111E"/>
    <w:rsid w:val="006325D1"/>
    <w:rsid w:val="006329A2"/>
    <w:rsid w:val="00632A15"/>
    <w:rsid w:val="00632B31"/>
    <w:rsid w:val="006336A0"/>
    <w:rsid w:val="006351BE"/>
    <w:rsid w:val="00635892"/>
    <w:rsid w:val="00635F99"/>
    <w:rsid w:val="00637894"/>
    <w:rsid w:val="0064073D"/>
    <w:rsid w:val="00640BE9"/>
    <w:rsid w:val="00641569"/>
    <w:rsid w:val="0064349E"/>
    <w:rsid w:val="00643AC5"/>
    <w:rsid w:val="00643B79"/>
    <w:rsid w:val="00645453"/>
    <w:rsid w:val="0064625F"/>
    <w:rsid w:val="006463EF"/>
    <w:rsid w:val="00647E83"/>
    <w:rsid w:val="006502E5"/>
    <w:rsid w:val="00651501"/>
    <w:rsid w:val="006528BB"/>
    <w:rsid w:val="006533BE"/>
    <w:rsid w:val="00653A59"/>
    <w:rsid w:val="00653F82"/>
    <w:rsid w:val="00654149"/>
    <w:rsid w:val="006544BF"/>
    <w:rsid w:val="00654CD8"/>
    <w:rsid w:val="00655E65"/>
    <w:rsid w:val="006572C5"/>
    <w:rsid w:val="00657941"/>
    <w:rsid w:val="0066064A"/>
    <w:rsid w:val="00660709"/>
    <w:rsid w:val="00660DC5"/>
    <w:rsid w:val="006612E9"/>
    <w:rsid w:val="006613E4"/>
    <w:rsid w:val="00661774"/>
    <w:rsid w:val="006623AE"/>
    <w:rsid w:val="00663378"/>
    <w:rsid w:val="006633B8"/>
    <w:rsid w:val="00664746"/>
    <w:rsid w:val="006655B5"/>
    <w:rsid w:val="00665629"/>
    <w:rsid w:val="00666EAF"/>
    <w:rsid w:val="006671ED"/>
    <w:rsid w:val="00667BAA"/>
    <w:rsid w:val="006706A1"/>
    <w:rsid w:val="00671BEF"/>
    <w:rsid w:val="006724AF"/>
    <w:rsid w:val="00672761"/>
    <w:rsid w:val="006730F8"/>
    <w:rsid w:val="00675AC5"/>
    <w:rsid w:val="00675D41"/>
    <w:rsid w:val="00676F58"/>
    <w:rsid w:val="00677143"/>
    <w:rsid w:val="006778E8"/>
    <w:rsid w:val="006779FE"/>
    <w:rsid w:val="0068015D"/>
    <w:rsid w:val="00680237"/>
    <w:rsid w:val="00680622"/>
    <w:rsid w:val="00680C04"/>
    <w:rsid w:val="0068171C"/>
    <w:rsid w:val="006823AC"/>
    <w:rsid w:val="00683DBB"/>
    <w:rsid w:val="00683F22"/>
    <w:rsid w:val="00685FDA"/>
    <w:rsid w:val="00686BDE"/>
    <w:rsid w:val="006872F0"/>
    <w:rsid w:val="0068771E"/>
    <w:rsid w:val="00687BA2"/>
    <w:rsid w:val="00687DBA"/>
    <w:rsid w:val="006906A5"/>
    <w:rsid w:val="00690918"/>
    <w:rsid w:val="00692B98"/>
    <w:rsid w:val="00693BB5"/>
    <w:rsid w:val="00694148"/>
    <w:rsid w:val="00694592"/>
    <w:rsid w:val="006960FE"/>
    <w:rsid w:val="0069722C"/>
    <w:rsid w:val="006974DA"/>
    <w:rsid w:val="006979C3"/>
    <w:rsid w:val="00697BE1"/>
    <w:rsid w:val="006A1193"/>
    <w:rsid w:val="006A1417"/>
    <w:rsid w:val="006A1B79"/>
    <w:rsid w:val="006A2F71"/>
    <w:rsid w:val="006A3520"/>
    <w:rsid w:val="006A37DA"/>
    <w:rsid w:val="006A5195"/>
    <w:rsid w:val="006A5951"/>
    <w:rsid w:val="006A5C06"/>
    <w:rsid w:val="006B041C"/>
    <w:rsid w:val="006B1122"/>
    <w:rsid w:val="006B2F9F"/>
    <w:rsid w:val="006B2FF7"/>
    <w:rsid w:val="006B3556"/>
    <w:rsid w:val="006B4019"/>
    <w:rsid w:val="006B42B8"/>
    <w:rsid w:val="006B5DA6"/>
    <w:rsid w:val="006B650A"/>
    <w:rsid w:val="006B72C8"/>
    <w:rsid w:val="006B7AB1"/>
    <w:rsid w:val="006C002A"/>
    <w:rsid w:val="006C1769"/>
    <w:rsid w:val="006C1CB2"/>
    <w:rsid w:val="006C2965"/>
    <w:rsid w:val="006C2A0B"/>
    <w:rsid w:val="006C2C3F"/>
    <w:rsid w:val="006C41A2"/>
    <w:rsid w:val="006C4513"/>
    <w:rsid w:val="006C4DDD"/>
    <w:rsid w:val="006C534C"/>
    <w:rsid w:val="006C5BA7"/>
    <w:rsid w:val="006C6AFB"/>
    <w:rsid w:val="006C6C74"/>
    <w:rsid w:val="006C6D7D"/>
    <w:rsid w:val="006C6E71"/>
    <w:rsid w:val="006C7015"/>
    <w:rsid w:val="006D078E"/>
    <w:rsid w:val="006D0956"/>
    <w:rsid w:val="006D195D"/>
    <w:rsid w:val="006D21D8"/>
    <w:rsid w:val="006D3BDD"/>
    <w:rsid w:val="006D6359"/>
    <w:rsid w:val="006D6847"/>
    <w:rsid w:val="006D719B"/>
    <w:rsid w:val="006E01DA"/>
    <w:rsid w:val="006E12A2"/>
    <w:rsid w:val="006E13CE"/>
    <w:rsid w:val="006E16C0"/>
    <w:rsid w:val="006E3710"/>
    <w:rsid w:val="006E38BF"/>
    <w:rsid w:val="006E41B3"/>
    <w:rsid w:val="006E6443"/>
    <w:rsid w:val="006E645B"/>
    <w:rsid w:val="006E65B8"/>
    <w:rsid w:val="006F0817"/>
    <w:rsid w:val="006F0E3D"/>
    <w:rsid w:val="006F1016"/>
    <w:rsid w:val="006F172E"/>
    <w:rsid w:val="006F1A44"/>
    <w:rsid w:val="006F23D6"/>
    <w:rsid w:val="006F32FE"/>
    <w:rsid w:val="006F4785"/>
    <w:rsid w:val="006F545F"/>
    <w:rsid w:val="006F720C"/>
    <w:rsid w:val="00701F84"/>
    <w:rsid w:val="00702B93"/>
    <w:rsid w:val="007048C8"/>
    <w:rsid w:val="0070774B"/>
    <w:rsid w:val="00707E7D"/>
    <w:rsid w:val="00707FA3"/>
    <w:rsid w:val="007107B7"/>
    <w:rsid w:val="00710E8F"/>
    <w:rsid w:val="00711C14"/>
    <w:rsid w:val="00713659"/>
    <w:rsid w:val="00713C68"/>
    <w:rsid w:val="00713DD1"/>
    <w:rsid w:val="007140E3"/>
    <w:rsid w:val="00714E68"/>
    <w:rsid w:val="00716FB4"/>
    <w:rsid w:val="00717F5D"/>
    <w:rsid w:val="00720160"/>
    <w:rsid w:val="00722EE7"/>
    <w:rsid w:val="00723FC9"/>
    <w:rsid w:val="007247AE"/>
    <w:rsid w:val="0072596E"/>
    <w:rsid w:val="00725A7A"/>
    <w:rsid w:val="007324EE"/>
    <w:rsid w:val="007326AA"/>
    <w:rsid w:val="0073351E"/>
    <w:rsid w:val="0073460A"/>
    <w:rsid w:val="00734B8B"/>
    <w:rsid w:val="00736E97"/>
    <w:rsid w:val="00737109"/>
    <w:rsid w:val="0074046C"/>
    <w:rsid w:val="007404D6"/>
    <w:rsid w:val="00740A97"/>
    <w:rsid w:val="0074100A"/>
    <w:rsid w:val="0074148A"/>
    <w:rsid w:val="00741FFA"/>
    <w:rsid w:val="0074211D"/>
    <w:rsid w:val="00742401"/>
    <w:rsid w:val="00743A26"/>
    <w:rsid w:val="00744DEC"/>
    <w:rsid w:val="00745295"/>
    <w:rsid w:val="0074583F"/>
    <w:rsid w:val="00745895"/>
    <w:rsid w:val="007470FC"/>
    <w:rsid w:val="00747A0D"/>
    <w:rsid w:val="00750A59"/>
    <w:rsid w:val="00750D95"/>
    <w:rsid w:val="00751387"/>
    <w:rsid w:val="00751F5E"/>
    <w:rsid w:val="0075230C"/>
    <w:rsid w:val="00752874"/>
    <w:rsid w:val="0075288F"/>
    <w:rsid w:val="00752D94"/>
    <w:rsid w:val="00753C30"/>
    <w:rsid w:val="00753D35"/>
    <w:rsid w:val="00753FB2"/>
    <w:rsid w:val="00755137"/>
    <w:rsid w:val="0075580E"/>
    <w:rsid w:val="00755972"/>
    <w:rsid w:val="00756827"/>
    <w:rsid w:val="0075741F"/>
    <w:rsid w:val="00760104"/>
    <w:rsid w:val="00760C82"/>
    <w:rsid w:val="00760D02"/>
    <w:rsid w:val="007630F2"/>
    <w:rsid w:val="00763186"/>
    <w:rsid w:val="00763ADA"/>
    <w:rsid w:val="00763EC4"/>
    <w:rsid w:val="00765B5B"/>
    <w:rsid w:val="00766935"/>
    <w:rsid w:val="007672C1"/>
    <w:rsid w:val="0076785D"/>
    <w:rsid w:val="00770751"/>
    <w:rsid w:val="00770DCC"/>
    <w:rsid w:val="007711A9"/>
    <w:rsid w:val="00771689"/>
    <w:rsid w:val="00771D48"/>
    <w:rsid w:val="00772115"/>
    <w:rsid w:val="00773477"/>
    <w:rsid w:val="00774438"/>
    <w:rsid w:val="00774F3D"/>
    <w:rsid w:val="00775283"/>
    <w:rsid w:val="00775E80"/>
    <w:rsid w:val="00775F80"/>
    <w:rsid w:val="00776BC8"/>
    <w:rsid w:val="007774EF"/>
    <w:rsid w:val="007806CF"/>
    <w:rsid w:val="00782CBE"/>
    <w:rsid w:val="007844A7"/>
    <w:rsid w:val="007854B2"/>
    <w:rsid w:val="007860FE"/>
    <w:rsid w:val="0078697D"/>
    <w:rsid w:val="007873A0"/>
    <w:rsid w:val="00791BD9"/>
    <w:rsid w:val="00791E53"/>
    <w:rsid w:val="007931B4"/>
    <w:rsid w:val="0079350F"/>
    <w:rsid w:val="00793510"/>
    <w:rsid w:val="00793560"/>
    <w:rsid w:val="0079362F"/>
    <w:rsid w:val="00793B06"/>
    <w:rsid w:val="00793E25"/>
    <w:rsid w:val="00794E2F"/>
    <w:rsid w:val="00795432"/>
    <w:rsid w:val="00797F04"/>
    <w:rsid w:val="007A0079"/>
    <w:rsid w:val="007A01A3"/>
    <w:rsid w:val="007A0A8D"/>
    <w:rsid w:val="007A1461"/>
    <w:rsid w:val="007A2834"/>
    <w:rsid w:val="007A366A"/>
    <w:rsid w:val="007A4E7E"/>
    <w:rsid w:val="007A4FB2"/>
    <w:rsid w:val="007A5468"/>
    <w:rsid w:val="007A6CED"/>
    <w:rsid w:val="007A74A5"/>
    <w:rsid w:val="007B0275"/>
    <w:rsid w:val="007B0A75"/>
    <w:rsid w:val="007B1F16"/>
    <w:rsid w:val="007B44F7"/>
    <w:rsid w:val="007B4CCB"/>
    <w:rsid w:val="007B63FD"/>
    <w:rsid w:val="007B7091"/>
    <w:rsid w:val="007B72FE"/>
    <w:rsid w:val="007C046A"/>
    <w:rsid w:val="007C049B"/>
    <w:rsid w:val="007C0B7B"/>
    <w:rsid w:val="007C0E03"/>
    <w:rsid w:val="007C26F6"/>
    <w:rsid w:val="007C2D5B"/>
    <w:rsid w:val="007C3110"/>
    <w:rsid w:val="007C3888"/>
    <w:rsid w:val="007C3F77"/>
    <w:rsid w:val="007C439E"/>
    <w:rsid w:val="007C4A3A"/>
    <w:rsid w:val="007C5E7C"/>
    <w:rsid w:val="007C6B54"/>
    <w:rsid w:val="007C6DE8"/>
    <w:rsid w:val="007C77E2"/>
    <w:rsid w:val="007C7BAB"/>
    <w:rsid w:val="007C7EF7"/>
    <w:rsid w:val="007D0270"/>
    <w:rsid w:val="007D0563"/>
    <w:rsid w:val="007D06AB"/>
    <w:rsid w:val="007D20E3"/>
    <w:rsid w:val="007D25C6"/>
    <w:rsid w:val="007D3103"/>
    <w:rsid w:val="007D4403"/>
    <w:rsid w:val="007D4EAB"/>
    <w:rsid w:val="007D5634"/>
    <w:rsid w:val="007D58E3"/>
    <w:rsid w:val="007D651E"/>
    <w:rsid w:val="007E04E3"/>
    <w:rsid w:val="007E056A"/>
    <w:rsid w:val="007E19B1"/>
    <w:rsid w:val="007E19E8"/>
    <w:rsid w:val="007E23B7"/>
    <w:rsid w:val="007E31CC"/>
    <w:rsid w:val="007E350E"/>
    <w:rsid w:val="007E493A"/>
    <w:rsid w:val="007E7F46"/>
    <w:rsid w:val="007F2B43"/>
    <w:rsid w:val="007F3D2E"/>
    <w:rsid w:val="007F4EA5"/>
    <w:rsid w:val="007F516E"/>
    <w:rsid w:val="007F7DEA"/>
    <w:rsid w:val="0080057B"/>
    <w:rsid w:val="00800855"/>
    <w:rsid w:val="00801A53"/>
    <w:rsid w:val="0080246B"/>
    <w:rsid w:val="008025E3"/>
    <w:rsid w:val="00803416"/>
    <w:rsid w:val="00803C32"/>
    <w:rsid w:val="00804F38"/>
    <w:rsid w:val="00805103"/>
    <w:rsid w:val="00810BB1"/>
    <w:rsid w:val="00810E39"/>
    <w:rsid w:val="008112D4"/>
    <w:rsid w:val="008117EE"/>
    <w:rsid w:val="00811FBA"/>
    <w:rsid w:val="00812FC6"/>
    <w:rsid w:val="0081318B"/>
    <w:rsid w:val="00813354"/>
    <w:rsid w:val="0081368A"/>
    <w:rsid w:val="00814756"/>
    <w:rsid w:val="00815E8D"/>
    <w:rsid w:val="008165FB"/>
    <w:rsid w:val="00817AAD"/>
    <w:rsid w:val="0082126E"/>
    <w:rsid w:val="0082188D"/>
    <w:rsid w:val="00823074"/>
    <w:rsid w:val="008231E4"/>
    <w:rsid w:val="008231FE"/>
    <w:rsid w:val="008237C7"/>
    <w:rsid w:val="0082529B"/>
    <w:rsid w:val="00830274"/>
    <w:rsid w:val="0083216C"/>
    <w:rsid w:val="008331CA"/>
    <w:rsid w:val="00834183"/>
    <w:rsid w:val="00834728"/>
    <w:rsid w:val="00834C58"/>
    <w:rsid w:val="008350D3"/>
    <w:rsid w:val="008355D3"/>
    <w:rsid w:val="0083614C"/>
    <w:rsid w:val="008370E7"/>
    <w:rsid w:val="008406A6"/>
    <w:rsid w:val="00840AFA"/>
    <w:rsid w:val="008410C2"/>
    <w:rsid w:val="00841107"/>
    <w:rsid w:val="008426AF"/>
    <w:rsid w:val="008431D8"/>
    <w:rsid w:val="00843339"/>
    <w:rsid w:val="00844FB4"/>
    <w:rsid w:val="00845CBD"/>
    <w:rsid w:val="008461ED"/>
    <w:rsid w:val="00846680"/>
    <w:rsid w:val="00847BBA"/>
    <w:rsid w:val="00847ED2"/>
    <w:rsid w:val="00850C16"/>
    <w:rsid w:val="00850E9D"/>
    <w:rsid w:val="00851127"/>
    <w:rsid w:val="008511BF"/>
    <w:rsid w:val="00852042"/>
    <w:rsid w:val="0085296D"/>
    <w:rsid w:val="00853765"/>
    <w:rsid w:val="00853978"/>
    <w:rsid w:val="00853A79"/>
    <w:rsid w:val="00854A5C"/>
    <w:rsid w:val="00855359"/>
    <w:rsid w:val="008553BA"/>
    <w:rsid w:val="00855B1F"/>
    <w:rsid w:val="00856363"/>
    <w:rsid w:val="00857B11"/>
    <w:rsid w:val="0086199C"/>
    <w:rsid w:val="0086219F"/>
    <w:rsid w:val="00862204"/>
    <w:rsid w:val="00862218"/>
    <w:rsid w:val="008634B5"/>
    <w:rsid w:val="00863E29"/>
    <w:rsid w:val="008640D2"/>
    <w:rsid w:val="0086417E"/>
    <w:rsid w:val="0086423C"/>
    <w:rsid w:val="00864757"/>
    <w:rsid w:val="00864B1F"/>
    <w:rsid w:val="008663C3"/>
    <w:rsid w:val="0086658E"/>
    <w:rsid w:val="0086677D"/>
    <w:rsid w:val="00867381"/>
    <w:rsid w:val="0086745B"/>
    <w:rsid w:val="00867CE1"/>
    <w:rsid w:val="00870942"/>
    <w:rsid w:val="008722A0"/>
    <w:rsid w:val="00872B48"/>
    <w:rsid w:val="00872D58"/>
    <w:rsid w:val="00874D23"/>
    <w:rsid w:val="0087617A"/>
    <w:rsid w:val="00877287"/>
    <w:rsid w:val="00877D20"/>
    <w:rsid w:val="00880133"/>
    <w:rsid w:val="008806CF"/>
    <w:rsid w:val="00881C6F"/>
    <w:rsid w:val="00882950"/>
    <w:rsid w:val="008829AB"/>
    <w:rsid w:val="0088326C"/>
    <w:rsid w:val="0088364E"/>
    <w:rsid w:val="00885138"/>
    <w:rsid w:val="0088666B"/>
    <w:rsid w:val="00886B9B"/>
    <w:rsid w:val="00887279"/>
    <w:rsid w:val="00887433"/>
    <w:rsid w:val="00887CAD"/>
    <w:rsid w:val="00892AB8"/>
    <w:rsid w:val="008A0762"/>
    <w:rsid w:val="008A0C10"/>
    <w:rsid w:val="008A263E"/>
    <w:rsid w:val="008A2B58"/>
    <w:rsid w:val="008A3B05"/>
    <w:rsid w:val="008A3F80"/>
    <w:rsid w:val="008A6254"/>
    <w:rsid w:val="008A6773"/>
    <w:rsid w:val="008A6D84"/>
    <w:rsid w:val="008A70FB"/>
    <w:rsid w:val="008B0A3F"/>
    <w:rsid w:val="008B0C67"/>
    <w:rsid w:val="008B2E41"/>
    <w:rsid w:val="008B3DF5"/>
    <w:rsid w:val="008B3F3C"/>
    <w:rsid w:val="008B4891"/>
    <w:rsid w:val="008B530B"/>
    <w:rsid w:val="008B6CAD"/>
    <w:rsid w:val="008B751A"/>
    <w:rsid w:val="008B7878"/>
    <w:rsid w:val="008B7AA4"/>
    <w:rsid w:val="008B7BF4"/>
    <w:rsid w:val="008C0B1E"/>
    <w:rsid w:val="008C196A"/>
    <w:rsid w:val="008C2C8B"/>
    <w:rsid w:val="008C2FBB"/>
    <w:rsid w:val="008C3BBA"/>
    <w:rsid w:val="008C6D9A"/>
    <w:rsid w:val="008C79B9"/>
    <w:rsid w:val="008D02FA"/>
    <w:rsid w:val="008D1444"/>
    <w:rsid w:val="008D3099"/>
    <w:rsid w:val="008D38D3"/>
    <w:rsid w:val="008D504B"/>
    <w:rsid w:val="008D5968"/>
    <w:rsid w:val="008E0445"/>
    <w:rsid w:val="008E071F"/>
    <w:rsid w:val="008E0E6A"/>
    <w:rsid w:val="008E11B8"/>
    <w:rsid w:val="008E1409"/>
    <w:rsid w:val="008E23C9"/>
    <w:rsid w:val="008E45E7"/>
    <w:rsid w:val="008E517E"/>
    <w:rsid w:val="008E5E44"/>
    <w:rsid w:val="008E60F0"/>
    <w:rsid w:val="008E6E73"/>
    <w:rsid w:val="008F041B"/>
    <w:rsid w:val="008F0F12"/>
    <w:rsid w:val="008F30FB"/>
    <w:rsid w:val="008F361D"/>
    <w:rsid w:val="008F6AD2"/>
    <w:rsid w:val="008F73DA"/>
    <w:rsid w:val="008F7B4C"/>
    <w:rsid w:val="0090007B"/>
    <w:rsid w:val="0090097D"/>
    <w:rsid w:val="00900AC2"/>
    <w:rsid w:val="0090219F"/>
    <w:rsid w:val="00902366"/>
    <w:rsid w:val="00902B62"/>
    <w:rsid w:val="00904040"/>
    <w:rsid w:val="00904B02"/>
    <w:rsid w:val="009050DF"/>
    <w:rsid w:val="009053C5"/>
    <w:rsid w:val="00906CA3"/>
    <w:rsid w:val="00907A5A"/>
    <w:rsid w:val="009100A0"/>
    <w:rsid w:val="00910655"/>
    <w:rsid w:val="009109CC"/>
    <w:rsid w:val="009129ED"/>
    <w:rsid w:val="00915146"/>
    <w:rsid w:val="00917109"/>
    <w:rsid w:val="00917454"/>
    <w:rsid w:val="00917C64"/>
    <w:rsid w:val="00920320"/>
    <w:rsid w:val="0092089D"/>
    <w:rsid w:val="00920CDF"/>
    <w:rsid w:val="00920D92"/>
    <w:rsid w:val="00920F6A"/>
    <w:rsid w:val="009212BC"/>
    <w:rsid w:val="0092180C"/>
    <w:rsid w:val="009219CE"/>
    <w:rsid w:val="009236D2"/>
    <w:rsid w:val="009238FB"/>
    <w:rsid w:val="00925BF4"/>
    <w:rsid w:val="009261FC"/>
    <w:rsid w:val="00926313"/>
    <w:rsid w:val="009264C1"/>
    <w:rsid w:val="00927954"/>
    <w:rsid w:val="00930CB5"/>
    <w:rsid w:val="00930EA1"/>
    <w:rsid w:val="00931702"/>
    <w:rsid w:val="00932972"/>
    <w:rsid w:val="0093301B"/>
    <w:rsid w:val="009346B1"/>
    <w:rsid w:val="009357EE"/>
    <w:rsid w:val="00936501"/>
    <w:rsid w:val="0093656E"/>
    <w:rsid w:val="00936784"/>
    <w:rsid w:val="00937EC2"/>
    <w:rsid w:val="009401CD"/>
    <w:rsid w:val="00940A55"/>
    <w:rsid w:val="00940F38"/>
    <w:rsid w:val="00940FEA"/>
    <w:rsid w:val="009411DB"/>
    <w:rsid w:val="00942977"/>
    <w:rsid w:val="00942CBC"/>
    <w:rsid w:val="00943219"/>
    <w:rsid w:val="009439AF"/>
    <w:rsid w:val="0094425D"/>
    <w:rsid w:val="00944AFE"/>
    <w:rsid w:val="009457EE"/>
    <w:rsid w:val="00946820"/>
    <w:rsid w:val="00946E7C"/>
    <w:rsid w:val="009472EC"/>
    <w:rsid w:val="00950100"/>
    <w:rsid w:val="00950B3B"/>
    <w:rsid w:val="009512D4"/>
    <w:rsid w:val="009520F3"/>
    <w:rsid w:val="00952E7C"/>
    <w:rsid w:val="00953FFE"/>
    <w:rsid w:val="00955FAF"/>
    <w:rsid w:val="00957356"/>
    <w:rsid w:val="0096000D"/>
    <w:rsid w:val="0096094C"/>
    <w:rsid w:val="00961D7D"/>
    <w:rsid w:val="00961EBD"/>
    <w:rsid w:val="00961F7F"/>
    <w:rsid w:val="009643B7"/>
    <w:rsid w:val="009643E1"/>
    <w:rsid w:val="0096467B"/>
    <w:rsid w:val="0096487B"/>
    <w:rsid w:val="00964A07"/>
    <w:rsid w:val="00964A44"/>
    <w:rsid w:val="00966172"/>
    <w:rsid w:val="0096646D"/>
    <w:rsid w:val="00967385"/>
    <w:rsid w:val="009700F8"/>
    <w:rsid w:val="0097060C"/>
    <w:rsid w:val="00971716"/>
    <w:rsid w:val="0097446C"/>
    <w:rsid w:val="0097447F"/>
    <w:rsid w:val="00974C73"/>
    <w:rsid w:val="00975EBF"/>
    <w:rsid w:val="00976B10"/>
    <w:rsid w:val="00977371"/>
    <w:rsid w:val="009801E4"/>
    <w:rsid w:val="009815CD"/>
    <w:rsid w:val="00981E7F"/>
    <w:rsid w:val="009820CE"/>
    <w:rsid w:val="0098215E"/>
    <w:rsid w:val="00982DE6"/>
    <w:rsid w:val="00983E95"/>
    <w:rsid w:val="00987046"/>
    <w:rsid w:val="0098797F"/>
    <w:rsid w:val="00987B7E"/>
    <w:rsid w:val="0099009E"/>
    <w:rsid w:val="009904A1"/>
    <w:rsid w:val="0099066B"/>
    <w:rsid w:val="009908F5"/>
    <w:rsid w:val="009909AE"/>
    <w:rsid w:val="00991FC7"/>
    <w:rsid w:val="00993674"/>
    <w:rsid w:val="0099368F"/>
    <w:rsid w:val="00993E8F"/>
    <w:rsid w:val="009951FD"/>
    <w:rsid w:val="00995671"/>
    <w:rsid w:val="0099570C"/>
    <w:rsid w:val="00995A82"/>
    <w:rsid w:val="00996895"/>
    <w:rsid w:val="00997042"/>
    <w:rsid w:val="009A03B7"/>
    <w:rsid w:val="009A0D8F"/>
    <w:rsid w:val="009A3057"/>
    <w:rsid w:val="009A3D31"/>
    <w:rsid w:val="009A419F"/>
    <w:rsid w:val="009A4E6A"/>
    <w:rsid w:val="009A5BCF"/>
    <w:rsid w:val="009A5C76"/>
    <w:rsid w:val="009A6942"/>
    <w:rsid w:val="009A6E9F"/>
    <w:rsid w:val="009A70D5"/>
    <w:rsid w:val="009A7F08"/>
    <w:rsid w:val="009B00DB"/>
    <w:rsid w:val="009B0748"/>
    <w:rsid w:val="009B0D7B"/>
    <w:rsid w:val="009B0DCF"/>
    <w:rsid w:val="009B1B21"/>
    <w:rsid w:val="009B3506"/>
    <w:rsid w:val="009B47B1"/>
    <w:rsid w:val="009B5A9D"/>
    <w:rsid w:val="009B7686"/>
    <w:rsid w:val="009B7D7D"/>
    <w:rsid w:val="009C1FE5"/>
    <w:rsid w:val="009C326D"/>
    <w:rsid w:val="009C44F3"/>
    <w:rsid w:val="009C4699"/>
    <w:rsid w:val="009C5854"/>
    <w:rsid w:val="009D019B"/>
    <w:rsid w:val="009D02A0"/>
    <w:rsid w:val="009D09A1"/>
    <w:rsid w:val="009D1ADC"/>
    <w:rsid w:val="009D1D5E"/>
    <w:rsid w:val="009D254E"/>
    <w:rsid w:val="009D26C8"/>
    <w:rsid w:val="009D3833"/>
    <w:rsid w:val="009D3A57"/>
    <w:rsid w:val="009D3D25"/>
    <w:rsid w:val="009D4934"/>
    <w:rsid w:val="009D4C0D"/>
    <w:rsid w:val="009D4EA9"/>
    <w:rsid w:val="009D566B"/>
    <w:rsid w:val="009D6732"/>
    <w:rsid w:val="009D6B37"/>
    <w:rsid w:val="009D7606"/>
    <w:rsid w:val="009E0963"/>
    <w:rsid w:val="009E12F4"/>
    <w:rsid w:val="009E16C9"/>
    <w:rsid w:val="009E1D08"/>
    <w:rsid w:val="009E1E18"/>
    <w:rsid w:val="009E1E48"/>
    <w:rsid w:val="009E2D81"/>
    <w:rsid w:val="009E3162"/>
    <w:rsid w:val="009E519C"/>
    <w:rsid w:val="009E5770"/>
    <w:rsid w:val="009E5F7C"/>
    <w:rsid w:val="009E6B5B"/>
    <w:rsid w:val="009E6CBE"/>
    <w:rsid w:val="009E7191"/>
    <w:rsid w:val="009E7D05"/>
    <w:rsid w:val="009F07C3"/>
    <w:rsid w:val="009F1DB5"/>
    <w:rsid w:val="009F22C6"/>
    <w:rsid w:val="009F3033"/>
    <w:rsid w:val="009F42E3"/>
    <w:rsid w:val="009F5EFF"/>
    <w:rsid w:val="009F70AD"/>
    <w:rsid w:val="009F726C"/>
    <w:rsid w:val="009F7A24"/>
    <w:rsid w:val="00A00B87"/>
    <w:rsid w:val="00A00BCB"/>
    <w:rsid w:val="00A03E01"/>
    <w:rsid w:val="00A04093"/>
    <w:rsid w:val="00A059E1"/>
    <w:rsid w:val="00A05C59"/>
    <w:rsid w:val="00A071E8"/>
    <w:rsid w:val="00A078C3"/>
    <w:rsid w:val="00A108C4"/>
    <w:rsid w:val="00A11B7A"/>
    <w:rsid w:val="00A123CD"/>
    <w:rsid w:val="00A127DA"/>
    <w:rsid w:val="00A142EF"/>
    <w:rsid w:val="00A1445E"/>
    <w:rsid w:val="00A155B3"/>
    <w:rsid w:val="00A16B0B"/>
    <w:rsid w:val="00A201E5"/>
    <w:rsid w:val="00A210BC"/>
    <w:rsid w:val="00A216B4"/>
    <w:rsid w:val="00A217C0"/>
    <w:rsid w:val="00A22131"/>
    <w:rsid w:val="00A24161"/>
    <w:rsid w:val="00A245F7"/>
    <w:rsid w:val="00A24E14"/>
    <w:rsid w:val="00A250B2"/>
    <w:rsid w:val="00A2583D"/>
    <w:rsid w:val="00A259D5"/>
    <w:rsid w:val="00A262D8"/>
    <w:rsid w:val="00A26DA0"/>
    <w:rsid w:val="00A3089E"/>
    <w:rsid w:val="00A3169F"/>
    <w:rsid w:val="00A31F54"/>
    <w:rsid w:val="00A334C9"/>
    <w:rsid w:val="00A33A56"/>
    <w:rsid w:val="00A347DA"/>
    <w:rsid w:val="00A34B1B"/>
    <w:rsid w:val="00A3537F"/>
    <w:rsid w:val="00A3557A"/>
    <w:rsid w:val="00A37163"/>
    <w:rsid w:val="00A377C2"/>
    <w:rsid w:val="00A4002B"/>
    <w:rsid w:val="00A40893"/>
    <w:rsid w:val="00A41511"/>
    <w:rsid w:val="00A415DD"/>
    <w:rsid w:val="00A41F3E"/>
    <w:rsid w:val="00A46870"/>
    <w:rsid w:val="00A468E0"/>
    <w:rsid w:val="00A470DD"/>
    <w:rsid w:val="00A52848"/>
    <w:rsid w:val="00A52DDB"/>
    <w:rsid w:val="00A53601"/>
    <w:rsid w:val="00A537F7"/>
    <w:rsid w:val="00A53AE4"/>
    <w:rsid w:val="00A540D0"/>
    <w:rsid w:val="00A5491D"/>
    <w:rsid w:val="00A54CAF"/>
    <w:rsid w:val="00A55112"/>
    <w:rsid w:val="00A55E2D"/>
    <w:rsid w:val="00A5604A"/>
    <w:rsid w:val="00A56668"/>
    <w:rsid w:val="00A56AAB"/>
    <w:rsid w:val="00A57DFC"/>
    <w:rsid w:val="00A607E1"/>
    <w:rsid w:val="00A60F77"/>
    <w:rsid w:val="00A61606"/>
    <w:rsid w:val="00A61F23"/>
    <w:rsid w:val="00A6236E"/>
    <w:rsid w:val="00A6268B"/>
    <w:rsid w:val="00A632A8"/>
    <w:rsid w:val="00A6426D"/>
    <w:rsid w:val="00A64675"/>
    <w:rsid w:val="00A65B7F"/>
    <w:rsid w:val="00A70486"/>
    <w:rsid w:val="00A70B8A"/>
    <w:rsid w:val="00A71122"/>
    <w:rsid w:val="00A72691"/>
    <w:rsid w:val="00A72E80"/>
    <w:rsid w:val="00A75103"/>
    <w:rsid w:val="00A764E7"/>
    <w:rsid w:val="00A76572"/>
    <w:rsid w:val="00A77A33"/>
    <w:rsid w:val="00A77E4E"/>
    <w:rsid w:val="00A80732"/>
    <w:rsid w:val="00A80B1D"/>
    <w:rsid w:val="00A80B64"/>
    <w:rsid w:val="00A81E00"/>
    <w:rsid w:val="00A8248D"/>
    <w:rsid w:val="00A84497"/>
    <w:rsid w:val="00A846B3"/>
    <w:rsid w:val="00A84EFD"/>
    <w:rsid w:val="00A85364"/>
    <w:rsid w:val="00A85C16"/>
    <w:rsid w:val="00A86344"/>
    <w:rsid w:val="00A868CE"/>
    <w:rsid w:val="00A87B50"/>
    <w:rsid w:val="00A90B82"/>
    <w:rsid w:val="00A922E9"/>
    <w:rsid w:val="00A93F98"/>
    <w:rsid w:val="00A94148"/>
    <w:rsid w:val="00A94218"/>
    <w:rsid w:val="00A95FAD"/>
    <w:rsid w:val="00A96AF2"/>
    <w:rsid w:val="00A97340"/>
    <w:rsid w:val="00A97AFB"/>
    <w:rsid w:val="00AA0512"/>
    <w:rsid w:val="00AA0577"/>
    <w:rsid w:val="00AA0B29"/>
    <w:rsid w:val="00AA0FB3"/>
    <w:rsid w:val="00AA2468"/>
    <w:rsid w:val="00AA312A"/>
    <w:rsid w:val="00AA4744"/>
    <w:rsid w:val="00AA4968"/>
    <w:rsid w:val="00AA6202"/>
    <w:rsid w:val="00AA67AB"/>
    <w:rsid w:val="00AA777F"/>
    <w:rsid w:val="00AB1140"/>
    <w:rsid w:val="00AB2427"/>
    <w:rsid w:val="00AB5B1B"/>
    <w:rsid w:val="00AB6827"/>
    <w:rsid w:val="00AB7061"/>
    <w:rsid w:val="00AB76F0"/>
    <w:rsid w:val="00AC01BE"/>
    <w:rsid w:val="00AC0592"/>
    <w:rsid w:val="00AC08E6"/>
    <w:rsid w:val="00AC0F10"/>
    <w:rsid w:val="00AC379E"/>
    <w:rsid w:val="00AC4BE7"/>
    <w:rsid w:val="00AC5E52"/>
    <w:rsid w:val="00AD0502"/>
    <w:rsid w:val="00AD113F"/>
    <w:rsid w:val="00AD30E9"/>
    <w:rsid w:val="00AD3721"/>
    <w:rsid w:val="00AD3A01"/>
    <w:rsid w:val="00AD3C4E"/>
    <w:rsid w:val="00AD4D83"/>
    <w:rsid w:val="00AD4E84"/>
    <w:rsid w:val="00AD5781"/>
    <w:rsid w:val="00AD5882"/>
    <w:rsid w:val="00AD5B07"/>
    <w:rsid w:val="00AD7B39"/>
    <w:rsid w:val="00AE042E"/>
    <w:rsid w:val="00AE0E6D"/>
    <w:rsid w:val="00AE1B37"/>
    <w:rsid w:val="00AE23D8"/>
    <w:rsid w:val="00AE4202"/>
    <w:rsid w:val="00AF2110"/>
    <w:rsid w:val="00AF24E2"/>
    <w:rsid w:val="00B00037"/>
    <w:rsid w:val="00B0058F"/>
    <w:rsid w:val="00B00633"/>
    <w:rsid w:val="00B00A23"/>
    <w:rsid w:val="00B011C8"/>
    <w:rsid w:val="00B013B5"/>
    <w:rsid w:val="00B015CD"/>
    <w:rsid w:val="00B02305"/>
    <w:rsid w:val="00B03EDF"/>
    <w:rsid w:val="00B05F40"/>
    <w:rsid w:val="00B0643C"/>
    <w:rsid w:val="00B069AD"/>
    <w:rsid w:val="00B07CDE"/>
    <w:rsid w:val="00B10E0F"/>
    <w:rsid w:val="00B1169E"/>
    <w:rsid w:val="00B122BF"/>
    <w:rsid w:val="00B139A6"/>
    <w:rsid w:val="00B1514C"/>
    <w:rsid w:val="00B162D6"/>
    <w:rsid w:val="00B17EAE"/>
    <w:rsid w:val="00B20174"/>
    <w:rsid w:val="00B201CD"/>
    <w:rsid w:val="00B20B97"/>
    <w:rsid w:val="00B228B1"/>
    <w:rsid w:val="00B23CF6"/>
    <w:rsid w:val="00B23F91"/>
    <w:rsid w:val="00B247E9"/>
    <w:rsid w:val="00B24E8F"/>
    <w:rsid w:val="00B24EBE"/>
    <w:rsid w:val="00B25C9B"/>
    <w:rsid w:val="00B26FE4"/>
    <w:rsid w:val="00B2700E"/>
    <w:rsid w:val="00B27C8F"/>
    <w:rsid w:val="00B27EEE"/>
    <w:rsid w:val="00B30C76"/>
    <w:rsid w:val="00B31465"/>
    <w:rsid w:val="00B34EB5"/>
    <w:rsid w:val="00B3537E"/>
    <w:rsid w:val="00B358AA"/>
    <w:rsid w:val="00B36C32"/>
    <w:rsid w:val="00B36C8A"/>
    <w:rsid w:val="00B4059E"/>
    <w:rsid w:val="00B4090B"/>
    <w:rsid w:val="00B40E9A"/>
    <w:rsid w:val="00B41248"/>
    <w:rsid w:val="00B41F8F"/>
    <w:rsid w:val="00B4228B"/>
    <w:rsid w:val="00B44474"/>
    <w:rsid w:val="00B44BF5"/>
    <w:rsid w:val="00B45168"/>
    <w:rsid w:val="00B465DE"/>
    <w:rsid w:val="00B466C3"/>
    <w:rsid w:val="00B46D81"/>
    <w:rsid w:val="00B50E6A"/>
    <w:rsid w:val="00B517B2"/>
    <w:rsid w:val="00B5221B"/>
    <w:rsid w:val="00B523F3"/>
    <w:rsid w:val="00B532C8"/>
    <w:rsid w:val="00B53627"/>
    <w:rsid w:val="00B54FAD"/>
    <w:rsid w:val="00B553DF"/>
    <w:rsid w:val="00B55542"/>
    <w:rsid w:val="00B56D23"/>
    <w:rsid w:val="00B604A8"/>
    <w:rsid w:val="00B608C4"/>
    <w:rsid w:val="00B61445"/>
    <w:rsid w:val="00B61591"/>
    <w:rsid w:val="00B62E5C"/>
    <w:rsid w:val="00B63101"/>
    <w:rsid w:val="00B63EFE"/>
    <w:rsid w:val="00B64716"/>
    <w:rsid w:val="00B65034"/>
    <w:rsid w:val="00B65041"/>
    <w:rsid w:val="00B6600A"/>
    <w:rsid w:val="00B663A3"/>
    <w:rsid w:val="00B66A60"/>
    <w:rsid w:val="00B671A4"/>
    <w:rsid w:val="00B675BF"/>
    <w:rsid w:val="00B67ECA"/>
    <w:rsid w:val="00B712AF"/>
    <w:rsid w:val="00B7159C"/>
    <w:rsid w:val="00B71A82"/>
    <w:rsid w:val="00B727B6"/>
    <w:rsid w:val="00B727FC"/>
    <w:rsid w:val="00B72E0F"/>
    <w:rsid w:val="00B73D49"/>
    <w:rsid w:val="00B743F8"/>
    <w:rsid w:val="00B74B6E"/>
    <w:rsid w:val="00B7628C"/>
    <w:rsid w:val="00B76AB6"/>
    <w:rsid w:val="00B80255"/>
    <w:rsid w:val="00B851BE"/>
    <w:rsid w:val="00B85873"/>
    <w:rsid w:val="00B85D55"/>
    <w:rsid w:val="00B86A90"/>
    <w:rsid w:val="00B86A93"/>
    <w:rsid w:val="00B86AC3"/>
    <w:rsid w:val="00B86DC8"/>
    <w:rsid w:val="00B91530"/>
    <w:rsid w:val="00B91676"/>
    <w:rsid w:val="00B931C9"/>
    <w:rsid w:val="00B93B76"/>
    <w:rsid w:val="00B943A0"/>
    <w:rsid w:val="00B94A38"/>
    <w:rsid w:val="00B9536C"/>
    <w:rsid w:val="00B95453"/>
    <w:rsid w:val="00BA0D62"/>
    <w:rsid w:val="00BA2238"/>
    <w:rsid w:val="00BA2446"/>
    <w:rsid w:val="00BA2547"/>
    <w:rsid w:val="00BA3D64"/>
    <w:rsid w:val="00BA406E"/>
    <w:rsid w:val="00BA5939"/>
    <w:rsid w:val="00BA6428"/>
    <w:rsid w:val="00BA6775"/>
    <w:rsid w:val="00BA74CC"/>
    <w:rsid w:val="00BB14C0"/>
    <w:rsid w:val="00BB3834"/>
    <w:rsid w:val="00BB497B"/>
    <w:rsid w:val="00BB537D"/>
    <w:rsid w:val="00BB5BD4"/>
    <w:rsid w:val="00BB7C80"/>
    <w:rsid w:val="00BC0C5E"/>
    <w:rsid w:val="00BC105A"/>
    <w:rsid w:val="00BC1C2A"/>
    <w:rsid w:val="00BC1FB4"/>
    <w:rsid w:val="00BC264C"/>
    <w:rsid w:val="00BC2BE2"/>
    <w:rsid w:val="00BC2F67"/>
    <w:rsid w:val="00BC3786"/>
    <w:rsid w:val="00BC44AB"/>
    <w:rsid w:val="00BC6054"/>
    <w:rsid w:val="00BC6728"/>
    <w:rsid w:val="00BC6987"/>
    <w:rsid w:val="00BD0F3B"/>
    <w:rsid w:val="00BD1546"/>
    <w:rsid w:val="00BD1FC0"/>
    <w:rsid w:val="00BD2B3F"/>
    <w:rsid w:val="00BD4664"/>
    <w:rsid w:val="00BD4F87"/>
    <w:rsid w:val="00BE00CC"/>
    <w:rsid w:val="00BE2354"/>
    <w:rsid w:val="00BE25BC"/>
    <w:rsid w:val="00BE2EA9"/>
    <w:rsid w:val="00BE3DBF"/>
    <w:rsid w:val="00BE4E31"/>
    <w:rsid w:val="00BE4F02"/>
    <w:rsid w:val="00BE5108"/>
    <w:rsid w:val="00BE52EE"/>
    <w:rsid w:val="00BE6846"/>
    <w:rsid w:val="00BE68AA"/>
    <w:rsid w:val="00BE69F2"/>
    <w:rsid w:val="00BE706C"/>
    <w:rsid w:val="00BF004E"/>
    <w:rsid w:val="00BF042E"/>
    <w:rsid w:val="00BF0430"/>
    <w:rsid w:val="00BF142B"/>
    <w:rsid w:val="00BF20E4"/>
    <w:rsid w:val="00BF27C1"/>
    <w:rsid w:val="00BF2ECC"/>
    <w:rsid w:val="00BF3DC4"/>
    <w:rsid w:val="00BF43AB"/>
    <w:rsid w:val="00BF461A"/>
    <w:rsid w:val="00BF5166"/>
    <w:rsid w:val="00BF610E"/>
    <w:rsid w:val="00BF634E"/>
    <w:rsid w:val="00BF64FC"/>
    <w:rsid w:val="00BF73D1"/>
    <w:rsid w:val="00BF7F76"/>
    <w:rsid w:val="00C0221F"/>
    <w:rsid w:val="00C03012"/>
    <w:rsid w:val="00C05119"/>
    <w:rsid w:val="00C0568D"/>
    <w:rsid w:val="00C05A27"/>
    <w:rsid w:val="00C06187"/>
    <w:rsid w:val="00C10E13"/>
    <w:rsid w:val="00C1177E"/>
    <w:rsid w:val="00C11C49"/>
    <w:rsid w:val="00C12420"/>
    <w:rsid w:val="00C135AC"/>
    <w:rsid w:val="00C15421"/>
    <w:rsid w:val="00C16875"/>
    <w:rsid w:val="00C211EE"/>
    <w:rsid w:val="00C2278F"/>
    <w:rsid w:val="00C23362"/>
    <w:rsid w:val="00C235B4"/>
    <w:rsid w:val="00C2394E"/>
    <w:rsid w:val="00C24773"/>
    <w:rsid w:val="00C248EE"/>
    <w:rsid w:val="00C256AA"/>
    <w:rsid w:val="00C257AB"/>
    <w:rsid w:val="00C26035"/>
    <w:rsid w:val="00C27493"/>
    <w:rsid w:val="00C27B64"/>
    <w:rsid w:val="00C306CD"/>
    <w:rsid w:val="00C30F64"/>
    <w:rsid w:val="00C3253A"/>
    <w:rsid w:val="00C32D37"/>
    <w:rsid w:val="00C33378"/>
    <w:rsid w:val="00C364E0"/>
    <w:rsid w:val="00C36DB6"/>
    <w:rsid w:val="00C40A0E"/>
    <w:rsid w:val="00C40FB9"/>
    <w:rsid w:val="00C420C7"/>
    <w:rsid w:val="00C422F8"/>
    <w:rsid w:val="00C426CB"/>
    <w:rsid w:val="00C44B9A"/>
    <w:rsid w:val="00C46BB4"/>
    <w:rsid w:val="00C472E9"/>
    <w:rsid w:val="00C51789"/>
    <w:rsid w:val="00C5259B"/>
    <w:rsid w:val="00C52EDB"/>
    <w:rsid w:val="00C5402A"/>
    <w:rsid w:val="00C54242"/>
    <w:rsid w:val="00C5509B"/>
    <w:rsid w:val="00C557BD"/>
    <w:rsid w:val="00C610C7"/>
    <w:rsid w:val="00C611E4"/>
    <w:rsid w:val="00C61DEF"/>
    <w:rsid w:val="00C64BCB"/>
    <w:rsid w:val="00C65743"/>
    <w:rsid w:val="00C661AD"/>
    <w:rsid w:val="00C66D59"/>
    <w:rsid w:val="00C678FC"/>
    <w:rsid w:val="00C67C65"/>
    <w:rsid w:val="00C70D36"/>
    <w:rsid w:val="00C71AEA"/>
    <w:rsid w:val="00C71CBD"/>
    <w:rsid w:val="00C723F5"/>
    <w:rsid w:val="00C73782"/>
    <w:rsid w:val="00C74032"/>
    <w:rsid w:val="00C74457"/>
    <w:rsid w:val="00C75813"/>
    <w:rsid w:val="00C76310"/>
    <w:rsid w:val="00C76405"/>
    <w:rsid w:val="00C77893"/>
    <w:rsid w:val="00C81682"/>
    <w:rsid w:val="00C81BFA"/>
    <w:rsid w:val="00C820EF"/>
    <w:rsid w:val="00C829E5"/>
    <w:rsid w:val="00C83620"/>
    <w:rsid w:val="00C84EC6"/>
    <w:rsid w:val="00C8552D"/>
    <w:rsid w:val="00C85848"/>
    <w:rsid w:val="00C85B5A"/>
    <w:rsid w:val="00C86146"/>
    <w:rsid w:val="00C878D3"/>
    <w:rsid w:val="00C902F9"/>
    <w:rsid w:val="00C90782"/>
    <w:rsid w:val="00C9090B"/>
    <w:rsid w:val="00C9111F"/>
    <w:rsid w:val="00C91E17"/>
    <w:rsid w:val="00C94060"/>
    <w:rsid w:val="00C95396"/>
    <w:rsid w:val="00C97A47"/>
    <w:rsid w:val="00CA0777"/>
    <w:rsid w:val="00CA0AF0"/>
    <w:rsid w:val="00CA2E1A"/>
    <w:rsid w:val="00CA4B0B"/>
    <w:rsid w:val="00CA574A"/>
    <w:rsid w:val="00CA6F02"/>
    <w:rsid w:val="00CA707C"/>
    <w:rsid w:val="00CA75FE"/>
    <w:rsid w:val="00CA7A2B"/>
    <w:rsid w:val="00CA7BE8"/>
    <w:rsid w:val="00CB1332"/>
    <w:rsid w:val="00CB22BA"/>
    <w:rsid w:val="00CB2DA0"/>
    <w:rsid w:val="00CB31A8"/>
    <w:rsid w:val="00CB4222"/>
    <w:rsid w:val="00CB4BBE"/>
    <w:rsid w:val="00CB4BD7"/>
    <w:rsid w:val="00CB5A2D"/>
    <w:rsid w:val="00CB643B"/>
    <w:rsid w:val="00CB653D"/>
    <w:rsid w:val="00CB69AC"/>
    <w:rsid w:val="00CB6A8A"/>
    <w:rsid w:val="00CB7C2B"/>
    <w:rsid w:val="00CB7CE6"/>
    <w:rsid w:val="00CC02EF"/>
    <w:rsid w:val="00CC0B08"/>
    <w:rsid w:val="00CC3E59"/>
    <w:rsid w:val="00CC44B4"/>
    <w:rsid w:val="00CC4D6D"/>
    <w:rsid w:val="00CC5422"/>
    <w:rsid w:val="00CC6555"/>
    <w:rsid w:val="00CC69B1"/>
    <w:rsid w:val="00CC69C9"/>
    <w:rsid w:val="00CC6CE8"/>
    <w:rsid w:val="00CC6DD4"/>
    <w:rsid w:val="00CC7B15"/>
    <w:rsid w:val="00CC7F67"/>
    <w:rsid w:val="00CD067B"/>
    <w:rsid w:val="00CD0A46"/>
    <w:rsid w:val="00CD1CB1"/>
    <w:rsid w:val="00CD3A9F"/>
    <w:rsid w:val="00CD3BED"/>
    <w:rsid w:val="00CD3C98"/>
    <w:rsid w:val="00CD5CDE"/>
    <w:rsid w:val="00CD6061"/>
    <w:rsid w:val="00CD6721"/>
    <w:rsid w:val="00CD74F1"/>
    <w:rsid w:val="00CD7D70"/>
    <w:rsid w:val="00CE07F2"/>
    <w:rsid w:val="00CE2E17"/>
    <w:rsid w:val="00CE38C4"/>
    <w:rsid w:val="00CE38F7"/>
    <w:rsid w:val="00CE3FBE"/>
    <w:rsid w:val="00CE4527"/>
    <w:rsid w:val="00CE4C8A"/>
    <w:rsid w:val="00CE4E82"/>
    <w:rsid w:val="00CE6DC6"/>
    <w:rsid w:val="00CF0162"/>
    <w:rsid w:val="00CF0620"/>
    <w:rsid w:val="00CF0FA7"/>
    <w:rsid w:val="00CF2213"/>
    <w:rsid w:val="00CF311F"/>
    <w:rsid w:val="00CF34DD"/>
    <w:rsid w:val="00CF4D5C"/>
    <w:rsid w:val="00CF5B96"/>
    <w:rsid w:val="00CF6309"/>
    <w:rsid w:val="00CF6F93"/>
    <w:rsid w:val="00D00FCB"/>
    <w:rsid w:val="00D02114"/>
    <w:rsid w:val="00D02397"/>
    <w:rsid w:val="00D02BA9"/>
    <w:rsid w:val="00D03A03"/>
    <w:rsid w:val="00D03D59"/>
    <w:rsid w:val="00D043FE"/>
    <w:rsid w:val="00D04A01"/>
    <w:rsid w:val="00D04DC6"/>
    <w:rsid w:val="00D056B2"/>
    <w:rsid w:val="00D05755"/>
    <w:rsid w:val="00D075EC"/>
    <w:rsid w:val="00D1030D"/>
    <w:rsid w:val="00D10947"/>
    <w:rsid w:val="00D11CB9"/>
    <w:rsid w:val="00D16C73"/>
    <w:rsid w:val="00D16DA0"/>
    <w:rsid w:val="00D170F4"/>
    <w:rsid w:val="00D1740D"/>
    <w:rsid w:val="00D2080B"/>
    <w:rsid w:val="00D20F70"/>
    <w:rsid w:val="00D21111"/>
    <w:rsid w:val="00D218F7"/>
    <w:rsid w:val="00D21BDF"/>
    <w:rsid w:val="00D224A5"/>
    <w:rsid w:val="00D23928"/>
    <w:rsid w:val="00D2540D"/>
    <w:rsid w:val="00D306E7"/>
    <w:rsid w:val="00D33A4D"/>
    <w:rsid w:val="00D33BA8"/>
    <w:rsid w:val="00D33CB4"/>
    <w:rsid w:val="00D33FF1"/>
    <w:rsid w:val="00D372AB"/>
    <w:rsid w:val="00D40112"/>
    <w:rsid w:val="00D404DE"/>
    <w:rsid w:val="00D40DAC"/>
    <w:rsid w:val="00D41870"/>
    <w:rsid w:val="00D443BE"/>
    <w:rsid w:val="00D46E99"/>
    <w:rsid w:val="00D47153"/>
    <w:rsid w:val="00D47569"/>
    <w:rsid w:val="00D47D85"/>
    <w:rsid w:val="00D50257"/>
    <w:rsid w:val="00D506AF"/>
    <w:rsid w:val="00D51290"/>
    <w:rsid w:val="00D51886"/>
    <w:rsid w:val="00D519CF"/>
    <w:rsid w:val="00D51E87"/>
    <w:rsid w:val="00D52B47"/>
    <w:rsid w:val="00D52CD1"/>
    <w:rsid w:val="00D53E5F"/>
    <w:rsid w:val="00D5459C"/>
    <w:rsid w:val="00D54B13"/>
    <w:rsid w:val="00D63501"/>
    <w:rsid w:val="00D636D8"/>
    <w:rsid w:val="00D63E7C"/>
    <w:rsid w:val="00D64995"/>
    <w:rsid w:val="00D66DDE"/>
    <w:rsid w:val="00D675B4"/>
    <w:rsid w:val="00D67B25"/>
    <w:rsid w:val="00D705F9"/>
    <w:rsid w:val="00D70F34"/>
    <w:rsid w:val="00D711AA"/>
    <w:rsid w:val="00D71B50"/>
    <w:rsid w:val="00D71C1A"/>
    <w:rsid w:val="00D71DE5"/>
    <w:rsid w:val="00D72078"/>
    <w:rsid w:val="00D72342"/>
    <w:rsid w:val="00D732D0"/>
    <w:rsid w:val="00D73836"/>
    <w:rsid w:val="00D74010"/>
    <w:rsid w:val="00D7472F"/>
    <w:rsid w:val="00D74A39"/>
    <w:rsid w:val="00D76A5F"/>
    <w:rsid w:val="00D77707"/>
    <w:rsid w:val="00D7793E"/>
    <w:rsid w:val="00D800D5"/>
    <w:rsid w:val="00D80CD3"/>
    <w:rsid w:val="00D81550"/>
    <w:rsid w:val="00D81D6B"/>
    <w:rsid w:val="00D8363C"/>
    <w:rsid w:val="00D83D01"/>
    <w:rsid w:val="00D84C05"/>
    <w:rsid w:val="00D869A9"/>
    <w:rsid w:val="00D86BEE"/>
    <w:rsid w:val="00D875C3"/>
    <w:rsid w:val="00D92F46"/>
    <w:rsid w:val="00D93317"/>
    <w:rsid w:val="00D93F1F"/>
    <w:rsid w:val="00D94000"/>
    <w:rsid w:val="00D9407A"/>
    <w:rsid w:val="00D94395"/>
    <w:rsid w:val="00D945FE"/>
    <w:rsid w:val="00D94923"/>
    <w:rsid w:val="00D94DE7"/>
    <w:rsid w:val="00D952DA"/>
    <w:rsid w:val="00D97A69"/>
    <w:rsid w:val="00DA030E"/>
    <w:rsid w:val="00DA062B"/>
    <w:rsid w:val="00DA074C"/>
    <w:rsid w:val="00DA1F3B"/>
    <w:rsid w:val="00DA27BD"/>
    <w:rsid w:val="00DA3631"/>
    <w:rsid w:val="00DA4246"/>
    <w:rsid w:val="00DA579C"/>
    <w:rsid w:val="00DA61DC"/>
    <w:rsid w:val="00DB0566"/>
    <w:rsid w:val="00DB175E"/>
    <w:rsid w:val="00DB2AC4"/>
    <w:rsid w:val="00DB3D14"/>
    <w:rsid w:val="00DB4103"/>
    <w:rsid w:val="00DB441A"/>
    <w:rsid w:val="00DB5A3B"/>
    <w:rsid w:val="00DB5B13"/>
    <w:rsid w:val="00DB5F68"/>
    <w:rsid w:val="00DB6036"/>
    <w:rsid w:val="00DB74EA"/>
    <w:rsid w:val="00DC3C22"/>
    <w:rsid w:val="00DC3DBB"/>
    <w:rsid w:val="00DC40AE"/>
    <w:rsid w:val="00DC4D50"/>
    <w:rsid w:val="00DC50A4"/>
    <w:rsid w:val="00DC5793"/>
    <w:rsid w:val="00DC5DB2"/>
    <w:rsid w:val="00DC6CE6"/>
    <w:rsid w:val="00DC6E9C"/>
    <w:rsid w:val="00DC73CA"/>
    <w:rsid w:val="00DD02F3"/>
    <w:rsid w:val="00DD0316"/>
    <w:rsid w:val="00DD0818"/>
    <w:rsid w:val="00DD123E"/>
    <w:rsid w:val="00DD243C"/>
    <w:rsid w:val="00DD27E3"/>
    <w:rsid w:val="00DD282D"/>
    <w:rsid w:val="00DD2832"/>
    <w:rsid w:val="00DD2A00"/>
    <w:rsid w:val="00DD3221"/>
    <w:rsid w:val="00DD33F0"/>
    <w:rsid w:val="00DD4DC6"/>
    <w:rsid w:val="00DD52B8"/>
    <w:rsid w:val="00DD56FB"/>
    <w:rsid w:val="00DD6386"/>
    <w:rsid w:val="00DD65FC"/>
    <w:rsid w:val="00DD7BEA"/>
    <w:rsid w:val="00DD7D78"/>
    <w:rsid w:val="00DD7DCB"/>
    <w:rsid w:val="00DE0BAF"/>
    <w:rsid w:val="00DE0C10"/>
    <w:rsid w:val="00DE176C"/>
    <w:rsid w:val="00DE1B5E"/>
    <w:rsid w:val="00DE3E50"/>
    <w:rsid w:val="00DE5A53"/>
    <w:rsid w:val="00DF21C9"/>
    <w:rsid w:val="00DF3224"/>
    <w:rsid w:val="00DF5489"/>
    <w:rsid w:val="00DF6760"/>
    <w:rsid w:val="00DF6E90"/>
    <w:rsid w:val="00DF7519"/>
    <w:rsid w:val="00DF7B69"/>
    <w:rsid w:val="00E00CA2"/>
    <w:rsid w:val="00E01AB4"/>
    <w:rsid w:val="00E025C1"/>
    <w:rsid w:val="00E0351B"/>
    <w:rsid w:val="00E04969"/>
    <w:rsid w:val="00E05AC9"/>
    <w:rsid w:val="00E06684"/>
    <w:rsid w:val="00E07215"/>
    <w:rsid w:val="00E07691"/>
    <w:rsid w:val="00E07773"/>
    <w:rsid w:val="00E101FF"/>
    <w:rsid w:val="00E103D3"/>
    <w:rsid w:val="00E10F6C"/>
    <w:rsid w:val="00E11414"/>
    <w:rsid w:val="00E11D86"/>
    <w:rsid w:val="00E12509"/>
    <w:rsid w:val="00E1268F"/>
    <w:rsid w:val="00E13137"/>
    <w:rsid w:val="00E13BF1"/>
    <w:rsid w:val="00E14409"/>
    <w:rsid w:val="00E14C76"/>
    <w:rsid w:val="00E155C1"/>
    <w:rsid w:val="00E15747"/>
    <w:rsid w:val="00E15C15"/>
    <w:rsid w:val="00E161E9"/>
    <w:rsid w:val="00E1657E"/>
    <w:rsid w:val="00E16DBC"/>
    <w:rsid w:val="00E17DCE"/>
    <w:rsid w:val="00E21815"/>
    <w:rsid w:val="00E23199"/>
    <w:rsid w:val="00E2338F"/>
    <w:rsid w:val="00E2357B"/>
    <w:rsid w:val="00E25A34"/>
    <w:rsid w:val="00E26B0E"/>
    <w:rsid w:val="00E274A9"/>
    <w:rsid w:val="00E274EC"/>
    <w:rsid w:val="00E27983"/>
    <w:rsid w:val="00E302FD"/>
    <w:rsid w:val="00E30CC9"/>
    <w:rsid w:val="00E32A80"/>
    <w:rsid w:val="00E33640"/>
    <w:rsid w:val="00E33927"/>
    <w:rsid w:val="00E353C3"/>
    <w:rsid w:val="00E35456"/>
    <w:rsid w:val="00E35B01"/>
    <w:rsid w:val="00E37D89"/>
    <w:rsid w:val="00E37E6B"/>
    <w:rsid w:val="00E426BA"/>
    <w:rsid w:val="00E43FC5"/>
    <w:rsid w:val="00E4522C"/>
    <w:rsid w:val="00E471AE"/>
    <w:rsid w:val="00E50103"/>
    <w:rsid w:val="00E504D7"/>
    <w:rsid w:val="00E51C95"/>
    <w:rsid w:val="00E51CB3"/>
    <w:rsid w:val="00E53CDE"/>
    <w:rsid w:val="00E549C3"/>
    <w:rsid w:val="00E55052"/>
    <w:rsid w:val="00E557E8"/>
    <w:rsid w:val="00E55CF2"/>
    <w:rsid w:val="00E618EA"/>
    <w:rsid w:val="00E65536"/>
    <w:rsid w:val="00E65929"/>
    <w:rsid w:val="00E65A34"/>
    <w:rsid w:val="00E65FE7"/>
    <w:rsid w:val="00E6737E"/>
    <w:rsid w:val="00E7041F"/>
    <w:rsid w:val="00E70E4B"/>
    <w:rsid w:val="00E72399"/>
    <w:rsid w:val="00E72410"/>
    <w:rsid w:val="00E729B0"/>
    <w:rsid w:val="00E72EF0"/>
    <w:rsid w:val="00E73228"/>
    <w:rsid w:val="00E74AA7"/>
    <w:rsid w:val="00E7652B"/>
    <w:rsid w:val="00E802E0"/>
    <w:rsid w:val="00E80965"/>
    <w:rsid w:val="00E80B69"/>
    <w:rsid w:val="00E82297"/>
    <w:rsid w:val="00E82E13"/>
    <w:rsid w:val="00E8349F"/>
    <w:rsid w:val="00E85E26"/>
    <w:rsid w:val="00E918BB"/>
    <w:rsid w:val="00E91CE9"/>
    <w:rsid w:val="00E926C1"/>
    <w:rsid w:val="00E95CB2"/>
    <w:rsid w:val="00E97E28"/>
    <w:rsid w:val="00E97F05"/>
    <w:rsid w:val="00EA2A4E"/>
    <w:rsid w:val="00EA452C"/>
    <w:rsid w:val="00EA50BD"/>
    <w:rsid w:val="00EA518C"/>
    <w:rsid w:val="00EA55EB"/>
    <w:rsid w:val="00EA7EC6"/>
    <w:rsid w:val="00EB075E"/>
    <w:rsid w:val="00EB2FD5"/>
    <w:rsid w:val="00EB327E"/>
    <w:rsid w:val="00EB60CF"/>
    <w:rsid w:val="00EB676C"/>
    <w:rsid w:val="00EC0159"/>
    <w:rsid w:val="00EC0B78"/>
    <w:rsid w:val="00EC0F1D"/>
    <w:rsid w:val="00EC1569"/>
    <w:rsid w:val="00EC2C58"/>
    <w:rsid w:val="00EC3A18"/>
    <w:rsid w:val="00EC3D87"/>
    <w:rsid w:val="00EC4316"/>
    <w:rsid w:val="00EC4F02"/>
    <w:rsid w:val="00EC5DE6"/>
    <w:rsid w:val="00EC5F7C"/>
    <w:rsid w:val="00ED03CB"/>
    <w:rsid w:val="00ED2CD1"/>
    <w:rsid w:val="00ED31EE"/>
    <w:rsid w:val="00ED4E55"/>
    <w:rsid w:val="00ED4EB8"/>
    <w:rsid w:val="00ED51E9"/>
    <w:rsid w:val="00ED58EE"/>
    <w:rsid w:val="00ED7B95"/>
    <w:rsid w:val="00EE01C1"/>
    <w:rsid w:val="00EE1588"/>
    <w:rsid w:val="00EE2763"/>
    <w:rsid w:val="00EE314C"/>
    <w:rsid w:val="00EE3964"/>
    <w:rsid w:val="00EE3C90"/>
    <w:rsid w:val="00EE4A53"/>
    <w:rsid w:val="00EE593B"/>
    <w:rsid w:val="00EE65C9"/>
    <w:rsid w:val="00EF1891"/>
    <w:rsid w:val="00EF1B0C"/>
    <w:rsid w:val="00EF2BF4"/>
    <w:rsid w:val="00EF4051"/>
    <w:rsid w:val="00EF4362"/>
    <w:rsid w:val="00EF5DED"/>
    <w:rsid w:val="00EF60C7"/>
    <w:rsid w:val="00EF6182"/>
    <w:rsid w:val="00EF68DC"/>
    <w:rsid w:val="00F0048F"/>
    <w:rsid w:val="00F01098"/>
    <w:rsid w:val="00F010AD"/>
    <w:rsid w:val="00F03563"/>
    <w:rsid w:val="00F03837"/>
    <w:rsid w:val="00F05813"/>
    <w:rsid w:val="00F06149"/>
    <w:rsid w:val="00F10782"/>
    <w:rsid w:val="00F10EB1"/>
    <w:rsid w:val="00F138AB"/>
    <w:rsid w:val="00F13F3B"/>
    <w:rsid w:val="00F13F76"/>
    <w:rsid w:val="00F14BA7"/>
    <w:rsid w:val="00F1509C"/>
    <w:rsid w:val="00F16975"/>
    <w:rsid w:val="00F169CA"/>
    <w:rsid w:val="00F17226"/>
    <w:rsid w:val="00F219CF"/>
    <w:rsid w:val="00F22604"/>
    <w:rsid w:val="00F23671"/>
    <w:rsid w:val="00F25597"/>
    <w:rsid w:val="00F260E6"/>
    <w:rsid w:val="00F265C6"/>
    <w:rsid w:val="00F26700"/>
    <w:rsid w:val="00F27DC9"/>
    <w:rsid w:val="00F3140D"/>
    <w:rsid w:val="00F319A5"/>
    <w:rsid w:val="00F31AA4"/>
    <w:rsid w:val="00F31B8B"/>
    <w:rsid w:val="00F323D5"/>
    <w:rsid w:val="00F32781"/>
    <w:rsid w:val="00F3314E"/>
    <w:rsid w:val="00F3342F"/>
    <w:rsid w:val="00F34FF5"/>
    <w:rsid w:val="00F3535E"/>
    <w:rsid w:val="00F35428"/>
    <w:rsid w:val="00F35610"/>
    <w:rsid w:val="00F35ED8"/>
    <w:rsid w:val="00F36087"/>
    <w:rsid w:val="00F36449"/>
    <w:rsid w:val="00F36C06"/>
    <w:rsid w:val="00F36FD3"/>
    <w:rsid w:val="00F37A24"/>
    <w:rsid w:val="00F37BDE"/>
    <w:rsid w:val="00F37E13"/>
    <w:rsid w:val="00F4192F"/>
    <w:rsid w:val="00F41E4E"/>
    <w:rsid w:val="00F42552"/>
    <w:rsid w:val="00F42A3B"/>
    <w:rsid w:val="00F42A60"/>
    <w:rsid w:val="00F42F60"/>
    <w:rsid w:val="00F448C7"/>
    <w:rsid w:val="00F45DDB"/>
    <w:rsid w:val="00F46256"/>
    <w:rsid w:val="00F4639F"/>
    <w:rsid w:val="00F465DE"/>
    <w:rsid w:val="00F4743F"/>
    <w:rsid w:val="00F47D79"/>
    <w:rsid w:val="00F5075E"/>
    <w:rsid w:val="00F5267B"/>
    <w:rsid w:val="00F526F4"/>
    <w:rsid w:val="00F53801"/>
    <w:rsid w:val="00F53F6D"/>
    <w:rsid w:val="00F54613"/>
    <w:rsid w:val="00F5466E"/>
    <w:rsid w:val="00F552EB"/>
    <w:rsid w:val="00F56E07"/>
    <w:rsid w:val="00F618E5"/>
    <w:rsid w:val="00F61A0A"/>
    <w:rsid w:val="00F62311"/>
    <w:rsid w:val="00F62F9A"/>
    <w:rsid w:val="00F633AC"/>
    <w:rsid w:val="00F651D5"/>
    <w:rsid w:val="00F65ABC"/>
    <w:rsid w:val="00F65B3B"/>
    <w:rsid w:val="00F65BA4"/>
    <w:rsid w:val="00F65E4F"/>
    <w:rsid w:val="00F66481"/>
    <w:rsid w:val="00F700E1"/>
    <w:rsid w:val="00F711D6"/>
    <w:rsid w:val="00F731EC"/>
    <w:rsid w:val="00F7555C"/>
    <w:rsid w:val="00F75E34"/>
    <w:rsid w:val="00F774D5"/>
    <w:rsid w:val="00F77E63"/>
    <w:rsid w:val="00F80F4F"/>
    <w:rsid w:val="00F815BF"/>
    <w:rsid w:val="00F84CE4"/>
    <w:rsid w:val="00F84FC9"/>
    <w:rsid w:val="00F85882"/>
    <w:rsid w:val="00F85B83"/>
    <w:rsid w:val="00F86305"/>
    <w:rsid w:val="00F875E1"/>
    <w:rsid w:val="00F90AE6"/>
    <w:rsid w:val="00F90AF0"/>
    <w:rsid w:val="00F916D3"/>
    <w:rsid w:val="00F92420"/>
    <w:rsid w:val="00F924C4"/>
    <w:rsid w:val="00F93C1B"/>
    <w:rsid w:val="00F93FC1"/>
    <w:rsid w:val="00F94B21"/>
    <w:rsid w:val="00F94C54"/>
    <w:rsid w:val="00F96551"/>
    <w:rsid w:val="00F968C9"/>
    <w:rsid w:val="00FA0282"/>
    <w:rsid w:val="00FA0AF5"/>
    <w:rsid w:val="00FA0DE4"/>
    <w:rsid w:val="00FA1AC3"/>
    <w:rsid w:val="00FA27AF"/>
    <w:rsid w:val="00FA3434"/>
    <w:rsid w:val="00FA4275"/>
    <w:rsid w:val="00FA4461"/>
    <w:rsid w:val="00FA4BF2"/>
    <w:rsid w:val="00FA743D"/>
    <w:rsid w:val="00FA7F59"/>
    <w:rsid w:val="00FB0BD8"/>
    <w:rsid w:val="00FB183D"/>
    <w:rsid w:val="00FB1FA5"/>
    <w:rsid w:val="00FB1FEF"/>
    <w:rsid w:val="00FB208B"/>
    <w:rsid w:val="00FB27F2"/>
    <w:rsid w:val="00FB410C"/>
    <w:rsid w:val="00FB472A"/>
    <w:rsid w:val="00FB5E5A"/>
    <w:rsid w:val="00FB6DB9"/>
    <w:rsid w:val="00FB705E"/>
    <w:rsid w:val="00FB789C"/>
    <w:rsid w:val="00FC09FB"/>
    <w:rsid w:val="00FC1A4F"/>
    <w:rsid w:val="00FC1AE4"/>
    <w:rsid w:val="00FC297E"/>
    <w:rsid w:val="00FC434C"/>
    <w:rsid w:val="00FC46B3"/>
    <w:rsid w:val="00FC5017"/>
    <w:rsid w:val="00FC6202"/>
    <w:rsid w:val="00FC675A"/>
    <w:rsid w:val="00FC6C6F"/>
    <w:rsid w:val="00FC71BE"/>
    <w:rsid w:val="00FC7A82"/>
    <w:rsid w:val="00FD1871"/>
    <w:rsid w:val="00FD2ECC"/>
    <w:rsid w:val="00FD31C4"/>
    <w:rsid w:val="00FD35D4"/>
    <w:rsid w:val="00FD43EE"/>
    <w:rsid w:val="00FD45A0"/>
    <w:rsid w:val="00FD52E6"/>
    <w:rsid w:val="00FD7BBA"/>
    <w:rsid w:val="00FD7C49"/>
    <w:rsid w:val="00FE1807"/>
    <w:rsid w:val="00FE209C"/>
    <w:rsid w:val="00FE2BB9"/>
    <w:rsid w:val="00FE54CA"/>
    <w:rsid w:val="00FE56F8"/>
    <w:rsid w:val="00FE59E8"/>
    <w:rsid w:val="00FE7323"/>
    <w:rsid w:val="00FE7F00"/>
    <w:rsid w:val="00FE7FB9"/>
    <w:rsid w:val="00FF06D4"/>
    <w:rsid w:val="00FF0CDC"/>
    <w:rsid w:val="00FF13AB"/>
    <w:rsid w:val="00FF3A99"/>
    <w:rsid w:val="00FF4162"/>
    <w:rsid w:val="00FF4864"/>
    <w:rsid w:val="00FF5861"/>
    <w:rsid w:val="00FF6D4B"/>
    <w:rsid w:val="1E0F455D"/>
    <w:rsid w:val="209B796C"/>
    <w:rsid w:val="3B3C4C63"/>
    <w:rsid w:val="3E2D3491"/>
    <w:rsid w:val="61347F78"/>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1" w:name="heading 7"/>
    <w:lsdException w:qFormat="1" w:uiPriority="1" w:name="heading 8"/>
    <w:lsdException w:qFormat="1" w:uiPriority="1"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qFormat="1" w:uiPriority="99" w:name="Body Text First Indent 2"/>
    <w:lsdException w:uiPriority="99" w:name="Note Heading"/>
    <w:lsdException w:uiPriority="99" w:name="Body Text 2"/>
    <w:lsdException w:uiPriority="99" w:name="Body Text 3"/>
    <w:lsdException w:qFormat="1"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86"/>
    <w:qFormat/>
    <w:uiPriority w:val="9"/>
    <w:pPr>
      <w:keepNext/>
      <w:keepLines/>
      <w:spacing w:before="340" w:after="330" w:line="578" w:lineRule="auto"/>
      <w:outlineLvl w:val="0"/>
    </w:pPr>
    <w:rPr>
      <w:rFonts w:cstheme="minorBidi"/>
      <w:b/>
      <w:bCs/>
      <w:kern w:val="44"/>
      <w:sz w:val="32"/>
      <w:szCs w:val="44"/>
    </w:rPr>
  </w:style>
  <w:style w:type="paragraph" w:styleId="3">
    <w:name w:val="heading 2"/>
    <w:basedOn w:val="1"/>
    <w:next w:val="1"/>
    <w:link w:val="87"/>
    <w:unhideWhenUsed/>
    <w:qFormat/>
    <w:uiPriority w:val="9"/>
    <w:pPr>
      <w:keepNext/>
      <w:keepLines/>
      <w:spacing w:before="260" w:after="260" w:line="416" w:lineRule="auto"/>
      <w:outlineLvl w:val="1"/>
    </w:pPr>
    <w:rPr>
      <w:b/>
      <w:bCs/>
      <w:sz w:val="30"/>
      <w:szCs w:val="32"/>
    </w:rPr>
  </w:style>
  <w:style w:type="paragraph" w:styleId="4">
    <w:name w:val="heading 3"/>
    <w:basedOn w:val="1"/>
    <w:next w:val="1"/>
    <w:link w:val="88"/>
    <w:semiHidden/>
    <w:unhideWhenUsed/>
    <w:qFormat/>
    <w:uiPriority w:val="9"/>
    <w:pPr>
      <w:keepNext/>
      <w:keepLines/>
      <w:spacing w:before="260" w:after="260" w:line="416" w:lineRule="auto"/>
      <w:outlineLvl w:val="2"/>
    </w:pPr>
    <w:rPr>
      <w:rFonts w:cstheme="minorBidi"/>
      <w:b/>
      <w:bCs/>
      <w:sz w:val="28"/>
      <w:szCs w:val="32"/>
    </w:rPr>
  </w:style>
  <w:style w:type="paragraph" w:styleId="5">
    <w:name w:val="heading 4"/>
    <w:basedOn w:val="1"/>
    <w:next w:val="1"/>
    <w:link w:val="89"/>
    <w:semiHidden/>
    <w:unhideWhenUsed/>
    <w:qFormat/>
    <w:uiPriority w:val="9"/>
    <w:pPr>
      <w:keepNext/>
      <w:keepLines/>
      <w:spacing w:before="280" w:after="290" w:line="376" w:lineRule="auto"/>
      <w:outlineLvl w:val="3"/>
    </w:pPr>
    <w:rPr>
      <w:b/>
      <w:bCs/>
      <w:sz w:val="28"/>
      <w:szCs w:val="28"/>
    </w:rPr>
  </w:style>
  <w:style w:type="paragraph" w:styleId="6">
    <w:name w:val="heading 5"/>
    <w:basedOn w:val="1"/>
    <w:next w:val="1"/>
    <w:link w:val="90"/>
    <w:semiHidden/>
    <w:unhideWhenUsed/>
    <w:qFormat/>
    <w:uiPriority w:val="9"/>
    <w:pPr>
      <w:keepNext/>
      <w:keepLines/>
      <w:spacing w:before="280" w:after="290" w:line="376" w:lineRule="auto"/>
      <w:outlineLvl w:val="4"/>
    </w:pPr>
    <w:rPr>
      <w:rFonts w:cstheme="minorBidi"/>
      <w:b/>
      <w:bCs/>
      <w:sz w:val="24"/>
      <w:szCs w:val="28"/>
    </w:rPr>
  </w:style>
  <w:style w:type="paragraph" w:styleId="7">
    <w:name w:val="heading 6"/>
    <w:basedOn w:val="1"/>
    <w:next w:val="1"/>
    <w:link w:val="91"/>
    <w:semiHidden/>
    <w:unhideWhenUsed/>
    <w:qFormat/>
    <w:uiPriority w:val="9"/>
    <w:pPr>
      <w:keepNext/>
      <w:keepLines/>
      <w:spacing w:before="240" w:after="64" w:line="320" w:lineRule="auto"/>
      <w:outlineLvl w:val="5"/>
    </w:pPr>
    <w:rPr>
      <w:rFonts w:ascii="宋体" w:hAnsi="宋体" w:cstheme="minorBidi"/>
      <w:sz w:val="41"/>
      <w:szCs w:val="41"/>
      <w:lang w:eastAsia="en-US"/>
    </w:rPr>
  </w:style>
  <w:style w:type="paragraph" w:styleId="8">
    <w:name w:val="heading 7"/>
    <w:basedOn w:val="1"/>
    <w:next w:val="1"/>
    <w:link w:val="92"/>
    <w:semiHidden/>
    <w:unhideWhenUsed/>
    <w:qFormat/>
    <w:uiPriority w:val="1"/>
    <w:pPr>
      <w:keepNext/>
      <w:keepLines/>
      <w:spacing w:before="240" w:after="64" w:line="320" w:lineRule="auto"/>
      <w:outlineLvl w:val="6"/>
    </w:pPr>
    <w:rPr>
      <w:rFonts w:ascii="宋体" w:hAnsi="宋体" w:cstheme="minorBidi"/>
      <w:sz w:val="40"/>
      <w:szCs w:val="40"/>
      <w:lang w:eastAsia="en-US"/>
    </w:rPr>
  </w:style>
  <w:style w:type="paragraph" w:styleId="9">
    <w:name w:val="heading 8"/>
    <w:basedOn w:val="1"/>
    <w:next w:val="1"/>
    <w:link w:val="93"/>
    <w:semiHidden/>
    <w:unhideWhenUsed/>
    <w:qFormat/>
    <w:uiPriority w:val="1"/>
    <w:pPr>
      <w:keepNext/>
      <w:keepLines/>
      <w:spacing w:before="240" w:after="64" w:line="320" w:lineRule="auto"/>
      <w:outlineLvl w:val="7"/>
    </w:pPr>
    <w:rPr>
      <w:rFonts w:ascii="宋体" w:hAnsi="宋体" w:cstheme="minorBidi"/>
      <w:sz w:val="39"/>
      <w:szCs w:val="39"/>
      <w:lang w:eastAsia="en-US"/>
    </w:rPr>
  </w:style>
  <w:style w:type="paragraph" w:styleId="10">
    <w:name w:val="heading 9"/>
    <w:basedOn w:val="1"/>
    <w:next w:val="1"/>
    <w:link w:val="94"/>
    <w:semiHidden/>
    <w:unhideWhenUsed/>
    <w:qFormat/>
    <w:uiPriority w:val="1"/>
    <w:pPr>
      <w:keepNext/>
      <w:keepLines/>
      <w:spacing w:before="240" w:after="64" w:line="320" w:lineRule="auto"/>
      <w:outlineLvl w:val="8"/>
    </w:pPr>
    <w:rPr>
      <w:rFonts w:ascii="宋体" w:hAnsi="宋体" w:cstheme="minorBidi"/>
      <w:sz w:val="38"/>
      <w:szCs w:val="38"/>
      <w:lang w:eastAsia="en-US"/>
    </w:rPr>
  </w:style>
  <w:style w:type="character" w:default="1" w:styleId="33">
    <w:name w:val="Default Paragraph Font"/>
    <w:semiHidden/>
    <w:unhideWhenUsed/>
    <w:qFormat/>
    <w:uiPriority w:val="1"/>
  </w:style>
  <w:style w:type="table" w:default="1" w:styleId="31">
    <w:name w:val="Normal Table"/>
    <w:semiHidden/>
    <w:unhideWhenUsed/>
    <w:qFormat/>
    <w:uiPriority w:val="99"/>
    <w:tblPr>
      <w:tblCellMar>
        <w:top w:w="0" w:type="dxa"/>
        <w:left w:w="108" w:type="dxa"/>
        <w:bottom w:w="0" w:type="dxa"/>
        <w:right w:w="108" w:type="dxa"/>
      </w:tblCellMar>
    </w:tblPr>
  </w:style>
  <w:style w:type="paragraph" w:styleId="11">
    <w:name w:val="Normal Indent"/>
    <w:basedOn w:val="1"/>
    <w:link w:val="52"/>
    <w:qFormat/>
    <w:uiPriority w:val="99"/>
    <w:pPr>
      <w:ind w:firstLine="420"/>
    </w:pPr>
    <w:rPr>
      <w:rFonts w:asciiTheme="minorHAnsi" w:hAnsiTheme="minorHAnsi" w:eastAsiaTheme="minorEastAsia" w:cstheme="minorBidi"/>
      <w:szCs w:val="22"/>
    </w:rPr>
  </w:style>
  <w:style w:type="paragraph" w:styleId="12">
    <w:name w:val="caption"/>
    <w:basedOn w:val="1"/>
    <w:next w:val="1"/>
    <w:link w:val="169"/>
    <w:qFormat/>
    <w:uiPriority w:val="35"/>
    <w:pPr>
      <w:adjustRightInd w:val="0"/>
      <w:snapToGrid w:val="0"/>
      <w:jc w:val="center"/>
    </w:pPr>
    <w:rPr>
      <w:rFonts w:ascii="Cambria" w:hAnsi="Cambria"/>
      <w:b/>
      <w:szCs w:val="20"/>
    </w:rPr>
  </w:style>
  <w:style w:type="paragraph" w:styleId="13">
    <w:name w:val="Document Map"/>
    <w:basedOn w:val="1"/>
    <w:link w:val="210"/>
    <w:semiHidden/>
    <w:unhideWhenUsed/>
    <w:qFormat/>
    <w:uiPriority w:val="99"/>
    <w:rPr>
      <w:rFonts w:ascii="Microsoft YaHei UI" w:eastAsia="Microsoft YaHei UI"/>
      <w:sz w:val="18"/>
      <w:szCs w:val="18"/>
    </w:rPr>
  </w:style>
  <w:style w:type="paragraph" w:styleId="14">
    <w:name w:val="annotation text"/>
    <w:basedOn w:val="1"/>
    <w:link w:val="53"/>
    <w:unhideWhenUsed/>
    <w:qFormat/>
    <w:uiPriority w:val="99"/>
    <w:pPr>
      <w:jc w:val="left"/>
    </w:pPr>
  </w:style>
  <w:style w:type="paragraph" w:styleId="15">
    <w:name w:val="Body Text"/>
    <w:basedOn w:val="1"/>
    <w:link w:val="50"/>
    <w:qFormat/>
    <w:uiPriority w:val="1"/>
    <w:pPr>
      <w:widowControl/>
      <w:snapToGrid w:val="0"/>
      <w:spacing w:before="60" w:after="160" w:line="259" w:lineRule="auto"/>
      <w:ind w:right="113"/>
    </w:pPr>
    <w:rPr>
      <w:rFonts w:asciiTheme="minorHAnsi" w:hAnsiTheme="minorHAnsi" w:eastAsiaTheme="minorEastAsia" w:cstheme="minorBidi"/>
      <w:sz w:val="18"/>
      <w:szCs w:val="22"/>
    </w:rPr>
  </w:style>
  <w:style w:type="paragraph" w:styleId="16">
    <w:name w:val="Body Text Indent"/>
    <w:basedOn w:val="1"/>
    <w:link w:val="60"/>
    <w:semiHidden/>
    <w:unhideWhenUsed/>
    <w:qFormat/>
    <w:uiPriority w:val="99"/>
    <w:pPr>
      <w:spacing w:after="120"/>
      <w:ind w:left="420" w:leftChars="200"/>
    </w:pPr>
  </w:style>
  <w:style w:type="paragraph" w:styleId="17">
    <w:name w:val="toc 3"/>
    <w:basedOn w:val="1"/>
    <w:next w:val="1"/>
    <w:autoRedefine/>
    <w:unhideWhenUsed/>
    <w:qFormat/>
    <w:uiPriority w:val="39"/>
    <w:pPr>
      <w:ind w:left="840" w:leftChars="400"/>
    </w:pPr>
  </w:style>
  <w:style w:type="paragraph" w:styleId="18">
    <w:name w:val="Plain Text"/>
    <w:basedOn w:val="1"/>
    <w:link w:val="61"/>
    <w:qFormat/>
    <w:uiPriority w:val="0"/>
    <w:rPr>
      <w:rFonts w:hint="eastAsia" w:ascii="宋体" w:hAnsi="Courier New" w:cs="Courier New"/>
      <w:szCs w:val="21"/>
    </w:rPr>
  </w:style>
  <w:style w:type="paragraph" w:styleId="19">
    <w:name w:val="Body Text Indent 2"/>
    <w:basedOn w:val="1"/>
    <w:link w:val="71"/>
    <w:semiHidden/>
    <w:unhideWhenUsed/>
    <w:qFormat/>
    <w:uiPriority w:val="99"/>
    <w:pPr>
      <w:spacing w:after="120" w:line="480" w:lineRule="auto"/>
      <w:ind w:left="420" w:leftChars="200"/>
    </w:pPr>
  </w:style>
  <w:style w:type="paragraph" w:styleId="20">
    <w:name w:val="Balloon Text"/>
    <w:basedOn w:val="1"/>
    <w:link w:val="211"/>
    <w:semiHidden/>
    <w:unhideWhenUsed/>
    <w:qFormat/>
    <w:uiPriority w:val="99"/>
    <w:rPr>
      <w:sz w:val="18"/>
      <w:szCs w:val="18"/>
    </w:rPr>
  </w:style>
  <w:style w:type="paragraph" w:styleId="21">
    <w:name w:val="footer"/>
    <w:basedOn w:val="1"/>
    <w:link w:val="40"/>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22">
    <w:name w:val="header"/>
    <w:basedOn w:val="1"/>
    <w:link w:val="39"/>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23">
    <w:name w:val="toc 1"/>
    <w:basedOn w:val="1"/>
    <w:next w:val="1"/>
    <w:autoRedefine/>
    <w:unhideWhenUsed/>
    <w:qFormat/>
    <w:uiPriority w:val="39"/>
  </w:style>
  <w:style w:type="paragraph" w:styleId="24">
    <w:name w:val="List"/>
    <w:basedOn w:val="1"/>
    <w:semiHidden/>
    <w:unhideWhenUsed/>
    <w:qFormat/>
    <w:uiPriority w:val="99"/>
    <w:pPr>
      <w:ind w:left="200" w:hanging="200" w:hangingChars="200"/>
      <w:contextualSpacing/>
    </w:pPr>
  </w:style>
  <w:style w:type="paragraph" w:styleId="25">
    <w:name w:val="toc 2"/>
    <w:basedOn w:val="1"/>
    <w:next w:val="1"/>
    <w:autoRedefine/>
    <w:unhideWhenUsed/>
    <w:qFormat/>
    <w:uiPriority w:val="39"/>
    <w:pPr>
      <w:ind w:left="420" w:leftChars="200"/>
    </w:pPr>
  </w:style>
  <w:style w:type="paragraph" w:styleId="26">
    <w:name w:val="Message Header"/>
    <w:basedOn w:val="1"/>
    <w:link w:val="212"/>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rPr>
  </w:style>
  <w:style w:type="paragraph" w:styleId="27">
    <w:name w:val="Normal (Web)"/>
    <w:basedOn w:val="1"/>
    <w:link w:val="42"/>
    <w:qFormat/>
    <w:uiPriority w:val="0"/>
    <w:pPr>
      <w:widowControl/>
      <w:spacing w:before="100" w:beforeAutospacing="1" w:after="100" w:afterAutospacing="1"/>
      <w:jc w:val="left"/>
    </w:pPr>
    <w:rPr>
      <w:rFonts w:ascii="宋体" w:hAnsi="宋体" w:cstheme="minorBidi"/>
      <w:sz w:val="24"/>
      <w:szCs w:val="22"/>
    </w:rPr>
  </w:style>
  <w:style w:type="paragraph" w:styleId="28">
    <w:name w:val="annotation subject"/>
    <w:basedOn w:val="14"/>
    <w:next w:val="14"/>
    <w:link w:val="54"/>
    <w:semiHidden/>
    <w:unhideWhenUsed/>
    <w:qFormat/>
    <w:uiPriority w:val="99"/>
    <w:rPr>
      <w:b/>
      <w:bCs/>
    </w:rPr>
  </w:style>
  <w:style w:type="paragraph" w:styleId="29">
    <w:name w:val="Body Text First Indent"/>
    <w:basedOn w:val="15"/>
    <w:link w:val="75"/>
    <w:semiHidden/>
    <w:unhideWhenUsed/>
    <w:qFormat/>
    <w:uiPriority w:val="99"/>
    <w:pPr>
      <w:widowControl w:val="0"/>
      <w:snapToGrid/>
      <w:spacing w:before="0" w:after="120" w:line="240" w:lineRule="auto"/>
      <w:ind w:right="0" w:firstLine="420" w:firstLineChars="100"/>
    </w:pPr>
    <w:rPr>
      <w:rFonts w:ascii="Times New Roman" w:hAnsi="Times New Roman" w:eastAsia="宋体" w:cs="Times New Roman"/>
      <w:sz w:val="21"/>
      <w:szCs w:val="24"/>
    </w:rPr>
  </w:style>
  <w:style w:type="paragraph" w:styleId="30">
    <w:name w:val="Body Text First Indent 2"/>
    <w:basedOn w:val="16"/>
    <w:link w:val="72"/>
    <w:semiHidden/>
    <w:unhideWhenUsed/>
    <w:qFormat/>
    <w:uiPriority w:val="99"/>
    <w:pPr>
      <w:ind w:firstLine="420" w:firstLineChars="200"/>
    </w:pPr>
  </w:style>
  <w:style w:type="table" w:styleId="32">
    <w:name w:val="Table Grid"/>
    <w:basedOn w:val="3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4">
    <w:name w:val="page number"/>
    <w:basedOn w:val="33"/>
    <w:qFormat/>
    <w:uiPriority w:val="0"/>
  </w:style>
  <w:style w:type="character" w:styleId="35">
    <w:name w:val="FollowedHyperlink"/>
    <w:basedOn w:val="33"/>
    <w:semiHidden/>
    <w:unhideWhenUsed/>
    <w:qFormat/>
    <w:uiPriority w:val="99"/>
    <w:rPr>
      <w:color w:val="800080"/>
      <w:u w:val="single"/>
    </w:rPr>
  </w:style>
  <w:style w:type="character" w:styleId="36">
    <w:name w:val="Emphasis"/>
    <w:basedOn w:val="33"/>
    <w:qFormat/>
    <w:uiPriority w:val="20"/>
    <w:rPr>
      <w:i/>
      <w:iCs/>
    </w:rPr>
  </w:style>
  <w:style w:type="character" w:styleId="37">
    <w:name w:val="Hyperlink"/>
    <w:basedOn w:val="33"/>
    <w:unhideWhenUsed/>
    <w:qFormat/>
    <w:uiPriority w:val="99"/>
    <w:rPr>
      <w:color w:val="0563C1" w:themeColor="hyperlink"/>
      <w:u w:val="single"/>
      <w14:textFill>
        <w14:solidFill>
          <w14:schemeClr w14:val="hlink"/>
        </w14:solidFill>
      </w14:textFill>
    </w:rPr>
  </w:style>
  <w:style w:type="character" w:styleId="38">
    <w:name w:val="annotation reference"/>
    <w:basedOn w:val="33"/>
    <w:unhideWhenUsed/>
    <w:qFormat/>
    <w:uiPriority w:val="99"/>
    <w:rPr>
      <w:sz w:val="21"/>
      <w:szCs w:val="21"/>
    </w:rPr>
  </w:style>
  <w:style w:type="character" w:customStyle="1" w:styleId="39">
    <w:name w:val="页眉 字符"/>
    <w:basedOn w:val="33"/>
    <w:link w:val="22"/>
    <w:qFormat/>
    <w:uiPriority w:val="99"/>
    <w:rPr>
      <w:sz w:val="18"/>
      <w:szCs w:val="18"/>
    </w:rPr>
  </w:style>
  <w:style w:type="character" w:customStyle="1" w:styleId="40">
    <w:name w:val="页脚 字符"/>
    <w:basedOn w:val="33"/>
    <w:link w:val="21"/>
    <w:qFormat/>
    <w:uiPriority w:val="99"/>
    <w:rPr>
      <w:sz w:val="18"/>
      <w:szCs w:val="18"/>
    </w:rPr>
  </w:style>
  <w:style w:type="character" w:customStyle="1" w:styleId="41">
    <w:name w:val="页脚 字符1"/>
    <w:qFormat/>
    <w:locked/>
    <w:uiPriority w:val="99"/>
    <w:rPr>
      <w:sz w:val="18"/>
    </w:rPr>
  </w:style>
  <w:style w:type="character" w:customStyle="1" w:styleId="42">
    <w:name w:val="普通(网站) 字符"/>
    <w:link w:val="27"/>
    <w:qFormat/>
    <w:locked/>
    <w:uiPriority w:val="0"/>
    <w:rPr>
      <w:rFonts w:ascii="宋体" w:hAnsi="宋体" w:eastAsia="宋体"/>
      <w:sz w:val="24"/>
    </w:rPr>
  </w:style>
  <w:style w:type="character" w:customStyle="1" w:styleId="43">
    <w:name w:val="表格 Char"/>
    <w:link w:val="44"/>
    <w:qFormat/>
    <w:locked/>
    <w:uiPriority w:val="0"/>
    <w:rPr>
      <w:rFonts w:ascii="宋体"/>
    </w:rPr>
  </w:style>
  <w:style w:type="paragraph" w:customStyle="1" w:styleId="44">
    <w:name w:val="表格"/>
    <w:basedOn w:val="1"/>
    <w:next w:val="1"/>
    <w:link w:val="43"/>
    <w:qFormat/>
    <w:uiPriority w:val="0"/>
    <w:pPr>
      <w:adjustRightInd w:val="0"/>
      <w:snapToGrid w:val="0"/>
      <w:spacing w:beforeLines="10" w:afterLines="10" w:line="259" w:lineRule="auto"/>
      <w:jc w:val="center"/>
    </w:pPr>
    <w:rPr>
      <w:rFonts w:ascii="宋体" w:hAnsiTheme="minorHAnsi" w:eastAsiaTheme="minorEastAsia" w:cstheme="minorBidi"/>
      <w:szCs w:val="22"/>
    </w:rPr>
  </w:style>
  <w:style w:type="paragraph" w:customStyle="1" w:styleId="45">
    <w:name w:val="ky正文一"/>
    <w:basedOn w:val="1"/>
    <w:link w:val="46"/>
    <w:qFormat/>
    <w:uiPriority w:val="0"/>
    <w:pPr>
      <w:spacing w:line="360" w:lineRule="auto"/>
      <w:ind w:firstLine="200" w:firstLineChars="200"/>
    </w:pPr>
  </w:style>
  <w:style w:type="character" w:customStyle="1" w:styleId="46">
    <w:name w:val="ky正文一 字符"/>
    <w:link w:val="45"/>
    <w:qFormat/>
    <w:uiPriority w:val="0"/>
    <w:rPr>
      <w:rFonts w:ascii="Times New Roman" w:hAnsi="Times New Roman" w:eastAsia="宋体" w:cs="Times New Roman"/>
      <w:szCs w:val="24"/>
    </w:rPr>
  </w:style>
  <w:style w:type="paragraph" w:customStyle="1" w:styleId="47">
    <w:name w:val="表内容"/>
    <w:basedOn w:val="1"/>
    <w:next w:val="1"/>
    <w:link w:val="48"/>
    <w:qFormat/>
    <w:uiPriority w:val="0"/>
    <w:pPr>
      <w:wordWrap w:val="0"/>
      <w:contextualSpacing/>
      <w:jc w:val="center"/>
    </w:pPr>
    <w:rPr>
      <w:rFonts w:ascii="宋体" w:hAnsi="宋体"/>
      <w:szCs w:val="21"/>
    </w:rPr>
  </w:style>
  <w:style w:type="character" w:customStyle="1" w:styleId="48">
    <w:name w:val="表内容 Char Char"/>
    <w:link w:val="47"/>
    <w:qFormat/>
    <w:uiPriority w:val="0"/>
    <w:rPr>
      <w:rFonts w:ascii="宋体" w:hAnsi="宋体" w:eastAsia="宋体" w:cs="Times New Roman"/>
      <w:szCs w:val="21"/>
    </w:rPr>
  </w:style>
  <w:style w:type="paragraph" w:customStyle="1" w:styleId="49">
    <w:name w:val="p0"/>
    <w:basedOn w:val="1"/>
    <w:qFormat/>
    <w:uiPriority w:val="0"/>
    <w:pPr>
      <w:widowControl/>
    </w:pPr>
    <w:rPr>
      <w:rFonts w:ascii="Calibri" w:hAnsi="Calibri" w:cs="宋体"/>
      <w:kern w:val="0"/>
      <w:szCs w:val="21"/>
    </w:rPr>
  </w:style>
  <w:style w:type="character" w:customStyle="1" w:styleId="50">
    <w:name w:val="正文文本 字符1"/>
    <w:link w:val="15"/>
    <w:qFormat/>
    <w:locked/>
    <w:uiPriority w:val="0"/>
    <w:rPr>
      <w:sz w:val="18"/>
    </w:rPr>
  </w:style>
  <w:style w:type="character" w:customStyle="1" w:styleId="51">
    <w:name w:val="正文文本 字符"/>
    <w:basedOn w:val="33"/>
    <w:semiHidden/>
    <w:qFormat/>
    <w:uiPriority w:val="1"/>
    <w:rPr>
      <w:rFonts w:ascii="Times New Roman" w:hAnsi="Times New Roman" w:eastAsia="宋体" w:cs="Times New Roman"/>
      <w:szCs w:val="24"/>
    </w:rPr>
  </w:style>
  <w:style w:type="character" w:customStyle="1" w:styleId="52">
    <w:name w:val="正文缩进 字符"/>
    <w:link w:val="11"/>
    <w:qFormat/>
    <w:uiPriority w:val="0"/>
  </w:style>
  <w:style w:type="character" w:customStyle="1" w:styleId="53">
    <w:name w:val="批注文字 字符"/>
    <w:basedOn w:val="33"/>
    <w:link w:val="14"/>
    <w:qFormat/>
    <w:uiPriority w:val="99"/>
    <w:rPr>
      <w:rFonts w:ascii="Times New Roman" w:hAnsi="Times New Roman" w:eastAsia="宋体" w:cs="Times New Roman"/>
      <w:szCs w:val="24"/>
    </w:rPr>
  </w:style>
  <w:style w:type="character" w:customStyle="1" w:styleId="54">
    <w:name w:val="批注主题 字符"/>
    <w:basedOn w:val="53"/>
    <w:link w:val="28"/>
    <w:semiHidden/>
    <w:qFormat/>
    <w:uiPriority w:val="99"/>
    <w:rPr>
      <w:rFonts w:ascii="Times New Roman" w:hAnsi="Times New Roman" w:eastAsia="宋体" w:cs="Times New Roman"/>
      <w:b/>
      <w:bCs/>
      <w:szCs w:val="24"/>
    </w:rPr>
  </w:style>
  <w:style w:type="paragraph" w:customStyle="1" w:styleId="55">
    <w:name w:val="列出段落1"/>
    <w:basedOn w:val="1"/>
    <w:qFormat/>
    <w:uiPriority w:val="0"/>
    <w:pPr>
      <w:ind w:firstLine="420" w:firstLineChars="200"/>
    </w:pPr>
  </w:style>
  <w:style w:type="paragraph" w:customStyle="1" w:styleId="56">
    <w:name w:val="ky-表内文字"/>
    <w:basedOn w:val="1"/>
    <w:next w:val="1"/>
    <w:qFormat/>
    <w:uiPriority w:val="0"/>
    <w:pPr>
      <w:adjustRightInd w:val="0"/>
      <w:snapToGrid w:val="0"/>
      <w:spacing w:line="240" w:lineRule="atLeast"/>
      <w:jc w:val="center"/>
    </w:pPr>
    <w:rPr>
      <w:sz w:val="18"/>
      <w:szCs w:val="20"/>
    </w:rPr>
  </w:style>
  <w:style w:type="character" w:customStyle="1" w:styleId="57">
    <w:name w:val="报告表样式 Char Char"/>
    <w:link w:val="58"/>
    <w:qFormat/>
    <w:uiPriority w:val="0"/>
    <w:rPr>
      <w:sz w:val="28"/>
      <w:szCs w:val="28"/>
    </w:rPr>
  </w:style>
  <w:style w:type="paragraph" w:customStyle="1" w:styleId="58">
    <w:name w:val="报告表样式"/>
    <w:basedOn w:val="1"/>
    <w:link w:val="57"/>
    <w:qFormat/>
    <w:uiPriority w:val="0"/>
    <w:pPr>
      <w:adjustRightInd w:val="0"/>
      <w:snapToGrid w:val="0"/>
      <w:spacing w:line="360" w:lineRule="auto"/>
      <w:ind w:firstLine="200" w:firstLineChars="200"/>
    </w:pPr>
    <w:rPr>
      <w:rFonts w:asciiTheme="minorHAnsi" w:hAnsiTheme="minorHAnsi" w:eastAsiaTheme="minorEastAsia" w:cstheme="minorBidi"/>
      <w:sz w:val="28"/>
      <w:szCs w:val="28"/>
    </w:rPr>
  </w:style>
  <w:style w:type="paragraph" w:customStyle="1" w:styleId="59">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60">
    <w:name w:val="正文文本缩进 字符"/>
    <w:basedOn w:val="33"/>
    <w:link w:val="16"/>
    <w:semiHidden/>
    <w:qFormat/>
    <w:uiPriority w:val="99"/>
    <w:rPr>
      <w:rFonts w:ascii="Times New Roman" w:hAnsi="Times New Roman" w:eastAsia="宋体" w:cs="Times New Roman"/>
      <w:szCs w:val="24"/>
    </w:rPr>
  </w:style>
  <w:style w:type="character" w:customStyle="1" w:styleId="61">
    <w:name w:val="纯文本 字符"/>
    <w:basedOn w:val="33"/>
    <w:link w:val="18"/>
    <w:qFormat/>
    <w:uiPriority w:val="0"/>
    <w:rPr>
      <w:rFonts w:ascii="宋体" w:hAnsi="Courier New" w:eastAsia="宋体" w:cs="Courier New"/>
      <w:szCs w:val="21"/>
    </w:rPr>
  </w:style>
  <w:style w:type="paragraph" w:customStyle="1" w:styleId="62">
    <w:name w:val="表内文字"/>
    <w:basedOn w:val="1"/>
    <w:link w:val="63"/>
    <w:qFormat/>
    <w:uiPriority w:val="0"/>
    <w:pPr>
      <w:jc w:val="center"/>
    </w:pPr>
    <w:rPr>
      <w:rFonts w:cstheme="minorBidi"/>
      <w:szCs w:val="22"/>
    </w:rPr>
  </w:style>
  <w:style w:type="character" w:customStyle="1" w:styleId="63">
    <w:name w:val="表内文字 字符"/>
    <w:basedOn w:val="33"/>
    <w:link w:val="62"/>
    <w:qFormat/>
    <w:uiPriority w:val="0"/>
    <w:rPr>
      <w:rFonts w:ascii="Times New Roman" w:hAnsi="Times New Roman" w:eastAsia="宋体"/>
    </w:rPr>
  </w:style>
  <w:style w:type="paragraph" w:styleId="64">
    <w:name w:val="List Paragraph"/>
    <w:basedOn w:val="1"/>
    <w:qFormat/>
    <w:uiPriority w:val="1"/>
    <w:pPr>
      <w:ind w:firstLine="420" w:firstLineChars="200"/>
    </w:pPr>
  </w:style>
  <w:style w:type="character" w:customStyle="1" w:styleId="65">
    <w:name w:val="【表中文字】 Char"/>
    <w:link w:val="66"/>
    <w:qFormat/>
    <w:uiPriority w:val="0"/>
    <w:rPr>
      <w:rFonts w:ascii="宋体"/>
      <w:sz w:val="28"/>
    </w:rPr>
  </w:style>
  <w:style w:type="paragraph" w:customStyle="1" w:styleId="66">
    <w:name w:val="【表中文字】"/>
    <w:basedOn w:val="1"/>
    <w:link w:val="65"/>
    <w:qFormat/>
    <w:uiPriority w:val="0"/>
    <w:pPr>
      <w:jc w:val="center"/>
    </w:pPr>
    <w:rPr>
      <w:rFonts w:ascii="宋体" w:hAnsiTheme="minorHAnsi" w:eastAsiaTheme="minorEastAsia" w:cstheme="minorBidi"/>
      <w:sz w:val="28"/>
      <w:szCs w:val="22"/>
    </w:rPr>
  </w:style>
  <w:style w:type="character" w:customStyle="1" w:styleId="67">
    <w:name w:val="未处理的提及1"/>
    <w:basedOn w:val="33"/>
    <w:semiHidden/>
    <w:unhideWhenUsed/>
    <w:qFormat/>
    <w:uiPriority w:val="99"/>
    <w:rPr>
      <w:color w:val="605E5C"/>
      <w:shd w:val="clear" w:color="auto" w:fill="E1DFDD"/>
    </w:rPr>
  </w:style>
  <w:style w:type="paragraph" w:customStyle="1" w:styleId="68">
    <w:name w:val="表头"/>
    <w:basedOn w:val="1"/>
    <w:link w:val="69"/>
    <w:qFormat/>
    <w:uiPriority w:val="0"/>
    <w:pPr>
      <w:jc w:val="center"/>
    </w:pPr>
    <w:rPr>
      <w:rFonts w:cstheme="minorBidi"/>
      <w:b/>
      <w:szCs w:val="22"/>
    </w:rPr>
  </w:style>
  <w:style w:type="character" w:customStyle="1" w:styleId="69">
    <w:name w:val="表头 字符"/>
    <w:basedOn w:val="33"/>
    <w:link w:val="68"/>
    <w:qFormat/>
    <w:uiPriority w:val="0"/>
    <w:rPr>
      <w:rFonts w:ascii="Times New Roman" w:hAnsi="Times New Roman" w:eastAsia="宋体"/>
      <w:b/>
    </w:rPr>
  </w:style>
  <w:style w:type="paragraph" w:customStyle="1" w:styleId="70">
    <w:name w:val="正文_4"/>
    <w:qFormat/>
    <w:uiPriority w:val="0"/>
    <w:pPr>
      <w:widowControl w:val="0"/>
      <w:jc w:val="both"/>
    </w:pPr>
    <w:rPr>
      <w:rFonts w:ascii="Calibri" w:hAnsi="Calibri" w:eastAsia="宋体" w:cs="Times New Roman"/>
      <w:kern w:val="2"/>
      <w:sz w:val="21"/>
      <w:lang w:val="en-US" w:eastAsia="zh-CN" w:bidi="ar-SA"/>
    </w:rPr>
  </w:style>
  <w:style w:type="character" w:customStyle="1" w:styleId="71">
    <w:name w:val="正文文本缩进 2 字符"/>
    <w:basedOn w:val="33"/>
    <w:link w:val="19"/>
    <w:semiHidden/>
    <w:qFormat/>
    <w:uiPriority w:val="99"/>
    <w:rPr>
      <w:rFonts w:ascii="Times New Roman" w:hAnsi="Times New Roman" w:eastAsia="宋体" w:cs="Times New Roman"/>
      <w:szCs w:val="24"/>
    </w:rPr>
  </w:style>
  <w:style w:type="character" w:customStyle="1" w:styleId="72">
    <w:name w:val="正文文本首行缩进 2 字符"/>
    <w:basedOn w:val="60"/>
    <w:link w:val="30"/>
    <w:semiHidden/>
    <w:qFormat/>
    <w:uiPriority w:val="99"/>
    <w:rPr>
      <w:rFonts w:ascii="Times New Roman" w:hAnsi="Times New Roman" w:eastAsia="宋体" w:cs="Times New Roman"/>
      <w:szCs w:val="24"/>
    </w:rPr>
  </w:style>
  <w:style w:type="paragraph" w:customStyle="1" w:styleId="73">
    <w:name w:val="表格文字"/>
    <w:basedOn w:val="18"/>
    <w:next w:val="1"/>
    <w:qFormat/>
    <w:uiPriority w:val="0"/>
    <w:pPr>
      <w:adjustRightInd w:val="0"/>
      <w:spacing w:before="50" w:beforeLines="50" w:after="50" w:afterLines="50" w:line="420" w:lineRule="atLeast"/>
      <w:ind w:firstLine="640" w:firstLineChars="200"/>
      <w:jc w:val="left"/>
      <w:textAlignment w:val="baseline"/>
    </w:pPr>
    <w:rPr>
      <w:rFonts w:hint="default" w:eastAsia="Calibri" w:cs="Times New Roman"/>
      <w:kern w:val="0"/>
      <w:sz w:val="28"/>
      <w:szCs w:val="20"/>
    </w:rPr>
  </w:style>
  <w:style w:type="paragraph" w:customStyle="1" w:styleId="74">
    <w:name w:val="环评列表"/>
    <w:basedOn w:val="24"/>
    <w:next w:val="1"/>
    <w:link w:val="175"/>
    <w:qFormat/>
    <w:uiPriority w:val="0"/>
    <w:pPr>
      <w:keepLines/>
      <w:ind w:left="0" w:firstLine="0" w:firstLineChars="0"/>
      <w:jc w:val="center"/>
    </w:pPr>
    <w:rPr>
      <w:rFonts w:ascii="Calibri" w:hAnsi="Calibri"/>
      <w:kern w:val="0"/>
      <w:szCs w:val="20"/>
    </w:rPr>
  </w:style>
  <w:style w:type="character" w:customStyle="1" w:styleId="75">
    <w:name w:val="正文文本首行缩进 字符"/>
    <w:basedOn w:val="50"/>
    <w:link w:val="29"/>
    <w:semiHidden/>
    <w:qFormat/>
    <w:uiPriority w:val="99"/>
    <w:rPr>
      <w:rFonts w:ascii="Times New Roman" w:hAnsi="Times New Roman" w:eastAsia="宋体" w:cs="Times New Roman"/>
      <w:sz w:val="18"/>
      <w:szCs w:val="24"/>
    </w:rPr>
  </w:style>
  <w:style w:type="character" w:customStyle="1" w:styleId="76">
    <w:name w:val="font41"/>
    <w:basedOn w:val="33"/>
    <w:qFormat/>
    <w:uiPriority w:val="0"/>
    <w:rPr>
      <w:rFonts w:hint="eastAsia" w:ascii="宋体" w:hAnsi="宋体" w:eastAsia="宋体" w:cs="宋体"/>
      <w:color w:val="000000"/>
      <w:sz w:val="24"/>
      <w:szCs w:val="24"/>
      <w:u w:val="none"/>
    </w:rPr>
  </w:style>
  <w:style w:type="paragraph" w:customStyle="1" w:styleId="77">
    <w:name w:val="标题 11"/>
    <w:basedOn w:val="1"/>
    <w:next w:val="1"/>
    <w:qFormat/>
    <w:uiPriority w:val="9"/>
    <w:pPr>
      <w:keepNext/>
      <w:keepLines/>
      <w:spacing w:line="360" w:lineRule="auto"/>
      <w:jc w:val="center"/>
      <w:outlineLvl w:val="0"/>
    </w:pPr>
    <w:rPr>
      <w:b/>
      <w:bCs/>
      <w:kern w:val="44"/>
      <w:sz w:val="32"/>
      <w:szCs w:val="44"/>
    </w:rPr>
  </w:style>
  <w:style w:type="paragraph" w:customStyle="1" w:styleId="78">
    <w:name w:val="标题 21"/>
    <w:basedOn w:val="1"/>
    <w:next w:val="1"/>
    <w:unhideWhenUsed/>
    <w:qFormat/>
    <w:uiPriority w:val="9"/>
    <w:pPr>
      <w:keepNext/>
      <w:keepLines/>
      <w:spacing w:line="360" w:lineRule="auto"/>
      <w:jc w:val="left"/>
      <w:outlineLvl w:val="1"/>
    </w:pPr>
    <w:rPr>
      <w:b/>
      <w:bCs/>
      <w:sz w:val="30"/>
      <w:szCs w:val="32"/>
    </w:rPr>
  </w:style>
  <w:style w:type="paragraph" w:customStyle="1" w:styleId="79">
    <w:name w:val="标题 31"/>
    <w:basedOn w:val="1"/>
    <w:next w:val="1"/>
    <w:unhideWhenUsed/>
    <w:qFormat/>
    <w:uiPriority w:val="9"/>
    <w:pPr>
      <w:keepNext/>
      <w:keepLines/>
      <w:adjustRightInd w:val="0"/>
      <w:snapToGrid w:val="0"/>
      <w:spacing w:line="360" w:lineRule="auto"/>
      <w:jc w:val="left"/>
      <w:outlineLvl w:val="2"/>
    </w:pPr>
    <w:rPr>
      <w:b/>
      <w:bCs/>
      <w:sz w:val="28"/>
      <w:szCs w:val="32"/>
    </w:rPr>
  </w:style>
  <w:style w:type="paragraph" w:customStyle="1" w:styleId="80">
    <w:name w:val="标题 41"/>
    <w:basedOn w:val="1"/>
    <w:next w:val="1"/>
    <w:unhideWhenUsed/>
    <w:qFormat/>
    <w:uiPriority w:val="9"/>
    <w:pPr>
      <w:keepNext/>
      <w:keepLines/>
      <w:spacing w:line="360" w:lineRule="auto"/>
      <w:outlineLvl w:val="3"/>
    </w:pPr>
    <w:rPr>
      <w:b/>
      <w:bCs/>
      <w:sz w:val="28"/>
      <w:szCs w:val="28"/>
    </w:rPr>
  </w:style>
  <w:style w:type="paragraph" w:customStyle="1" w:styleId="81">
    <w:name w:val="标题 51"/>
    <w:basedOn w:val="1"/>
    <w:next w:val="1"/>
    <w:unhideWhenUsed/>
    <w:qFormat/>
    <w:uiPriority w:val="9"/>
    <w:pPr>
      <w:keepNext/>
      <w:keepLines/>
      <w:spacing w:line="360" w:lineRule="auto"/>
      <w:outlineLvl w:val="4"/>
    </w:pPr>
    <w:rPr>
      <w:b/>
      <w:bCs/>
      <w:sz w:val="24"/>
      <w:szCs w:val="28"/>
    </w:rPr>
  </w:style>
  <w:style w:type="paragraph" w:customStyle="1" w:styleId="82">
    <w:name w:val="标题 61"/>
    <w:basedOn w:val="1"/>
    <w:next w:val="1"/>
    <w:qFormat/>
    <w:uiPriority w:val="9"/>
    <w:pPr>
      <w:jc w:val="left"/>
      <w:outlineLvl w:val="5"/>
    </w:pPr>
    <w:rPr>
      <w:rFonts w:ascii="宋体" w:hAnsi="宋体"/>
      <w:kern w:val="0"/>
      <w:sz w:val="41"/>
      <w:szCs w:val="41"/>
      <w:lang w:eastAsia="en-US"/>
    </w:rPr>
  </w:style>
  <w:style w:type="paragraph" w:customStyle="1" w:styleId="83">
    <w:name w:val="标题 71"/>
    <w:basedOn w:val="1"/>
    <w:next w:val="1"/>
    <w:qFormat/>
    <w:uiPriority w:val="1"/>
    <w:pPr>
      <w:ind w:left="20"/>
      <w:jc w:val="left"/>
      <w:outlineLvl w:val="6"/>
    </w:pPr>
    <w:rPr>
      <w:rFonts w:ascii="宋体" w:hAnsi="宋体"/>
      <w:kern w:val="0"/>
      <w:sz w:val="40"/>
      <w:szCs w:val="40"/>
      <w:lang w:eastAsia="en-US"/>
    </w:rPr>
  </w:style>
  <w:style w:type="paragraph" w:customStyle="1" w:styleId="84">
    <w:name w:val="标题 81"/>
    <w:basedOn w:val="1"/>
    <w:next w:val="1"/>
    <w:qFormat/>
    <w:uiPriority w:val="1"/>
    <w:pPr>
      <w:ind w:left="284"/>
      <w:jc w:val="left"/>
      <w:outlineLvl w:val="7"/>
    </w:pPr>
    <w:rPr>
      <w:rFonts w:ascii="宋体" w:hAnsi="宋体"/>
      <w:kern w:val="0"/>
      <w:sz w:val="39"/>
      <w:szCs w:val="39"/>
      <w:lang w:eastAsia="en-US"/>
    </w:rPr>
  </w:style>
  <w:style w:type="paragraph" w:customStyle="1" w:styleId="85">
    <w:name w:val="标题 91"/>
    <w:basedOn w:val="1"/>
    <w:next w:val="1"/>
    <w:qFormat/>
    <w:uiPriority w:val="1"/>
    <w:pPr>
      <w:jc w:val="left"/>
      <w:outlineLvl w:val="8"/>
    </w:pPr>
    <w:rPr>
      <w:rFonts w:ascii="宋体" w:hAnsi="宋体"/>
      <w:kern w:val="0"/>
      <w:sz w:val="38"/>
      <w:szCs w:val="38"/>
      <w:lang w:eastAsia="en-US"/>
    </w:rPr>
  </w:style>
  <w:style w:type="character" w:customStyle="1" w:styleId="86">
    <w:name w:val="标题 1 字符"/>
    <w:basedOn w:val="33"/>
    <w:link w:val="2"/>
    <w:qFormat/>
    <w:uiPriority w:val="9"/>
    <w:rPr>
      <w:rFonts w:ascii="Times New Roman" w:hAnsi="Times New Roman" w:eastAsia="宋体"/>
      <w:b/>
      <w:bCs/>
      <w:kern w:val="44"/>
      <w:sz w:val="32"/>
      <w:szCs w:val="44"/>
    </w:rPr>
  </w:style>
  <w:style w:type="character" w:customStyle="1" w:styleId="87">
    <w:name w:val="标题 2 字符"/>
    <w:basedOn w:val="33"/>
    <w:link w:val="3"/>
    <w:qFormat/>
    <w:uiPriority w:val="9"/>
    <w:rPr>
      <w:rFonts w:ascii="Times New Roman" w:hAnsi="Times New Roman" w:eastAsia="宋体" w:cs="Times New Roman"/>
      <w:b/>
      <w:bCs/>
      <w:kern w:val="2"/>
      <w:sz w:val="30"/>
      <w:szCs w:val="32"/>
    </w:rPr>
  </w:style>
  <w:style w:type="character" w:customStyle="1" w:styleId="88">
    <w:name w:val="标题 3 字符"/>
    <w:basedOn w:val="33"/>
    <w:link w:val="4"/>
    <w:qFormat/>
    <w:uiPriority w:val="9"/>
    <w:rPr>
      <w:rFonts w:ascii="Times New Roman" w:hAnsi="Times New Roman" w:eastAsia="宋体"/>
      <w:b/>
      <w:bCs/>
      <w:kern w:val="2"/>
      <w:sz w:val="28"/>
      <w:szCs w:val="32"/>
    </w:rPr>
  </w:style>
  <w:style w:type="character" w:customStyle="1" w:styleId="89">
    <w:name w:val="标题 4 字符"/>
    <w:basedOn w:val="33"/>
    <w:link w:val="5"/>
    <w:qFormat/>
    <w:uiPriority w:val="9"/>
    <w:rPr>
      <w:rFonts w:ascii="Times New Roman" w:hAnsi="Times New Roman" w:eastAsia="宋体" w:cs="Times New Roman"/>
      <w:b/>
      <w:bCs/>
      <w:kern w:val="2"/>
      <w:sz w:val="28"/>
      <w:szCs w:val="28"/>
    </w:rPr>
  </w:style>
  <w:style w:type="character" w:customStyle="1" w:styleId="90">
    <w:name w:val="标题 5 字符"/>
    <w:basedOn w:val="33"/>
    <w:link w:val="6"/>
    <w:qFormat/>
    <w:uiPriority w:val="9"/>
    <w:rPr>
      <w:rFonts w:ascii="Times New Roman" w:hAnsi="Times New Roman" w:eastAsia="宋体"/>
      <w:b/>
      <w:bCs/>
      <w:kern w:val="2"/>
      <w:sz w:val="24"/>
      <w:szCs w:val="28"/>
    </w:rPr>
  </w:style>
  <w:style w:type="character" w:customStyle="1" w:styleId="91">
    <w:name w:val="标题 6 字符"/>
    <w:basedOn w:val="33"/>
    <w:link w:val="7"/>
    <w:qFormat/>
    <w:uiPriority w:val="9"/>
    <w:rPr>
      <w:rFonts w:ascii="宋体" w:hAnsi="宋体" w:eastAsia="宋体"/>
      <w:sz w:val="41"/>
      <w:szCs w:val="41"/>
      <w:lang w:eastAsia="en-US"/>
    </w:rPr>
  </w:style>
  <w:style w:type="character" w:customStyle="1" w:styleId="92">
    <w:name w:val="标题 7 字符"/>
    <w:basedOn w:val="33"/>
    <w:link w:val="8"/>
    <w:qFormat/>
    <w:uiPriority w:val="1"/>
    <w:rPr>
      <w:rFonts w:ascii="宋体" w:hAnsi="宋体" w:eastAsia="宋体"/>
      <w:sz w:val="40"/>
      <w:szCs w:val="40"/>
      <w:lang w:eastAsia="en-US"/>
    </w:rPr>
  </w:style>
  <w:style w:type="character" w:customStyle="1" w:styleId="93">
    <w:name w:val="标题 8 字符"/>
    <w:basedOn w:val="33"/>
    <w:link w:val="9"/>
    <w:qFormat/>
    <w:uiPriority w:val="1"/>
    <w:rPr>
      <w:rFonts w:ascii="宋体" w:hAnsi="宋体" w:eastAsia="宋体"/>
      <w:sz w:val="39"/>
      <w:szCs w:val="39"/>
      <w:lang w:eastAsia="en-US"/>
    </w:rPr>
  </w:style>
  <w:style w:type="character" w:customStyle="1" w:styleId="94">
    <w:name w:val="标题 9 字符"/>
    <w:basedOn w:val="33"/>
    <w:link w:val="10"/>
    <w:qFormat/>
    <w:uiPriority w:val="1"/>
    <w:rPr>
      <w:rFonts w:ascii="宋体" w:hAnsi="宋体" w:eastAsia="宋体"/>
      <w:sz w:val="38"/>
      <w:szCs w:val="38"/>
      <w:lang w:eastAsia="en-US"/>
    </w:rPr>
  </w:style>
  <w:style w:type="paragraph" w:customStyle="1" w:styleId="95">
    <w:name w:val="TOC 71"/>
    <w:basedOn w:val="1"/>
    <w:next w:val="1"/>
    <w:unhideWhenUsed/>
    <w:qFormat/>
    <w:uiPriority w:val="39"/>
    <w:pPr>
      <w:ind w:left="2520" w:leftChars="1200"/>
    </w:pPr>
    <w:rPr>
      <w:rFonts w:ascii="Calibri" w:hAnsi="Calibri"/>
      <w:szCs w:val="22"/>
    </w:rPr>
  </w:style>
  <w:style w:type="paragraph" w:customStyle="1" w:styleId="96">
    <w:name w:val="文档结构图1"/>
    <w:basedOn w:val="1"/>
    <w:next w:val="13"/>
    <w:link w:val="97"/>
    <w:semiHidden/>
    <w:unhideWhenUsed/>
    <w:qFormat/>
    <w:uiPriority w:val="99"/>
    <w:pPr>
      <w:spacing w:line="360" w:lineRule="auto"/>
      <w:ind w:firstLine="200" w:firstLineChars="200"/>
    </w:pPr>
    <w:rPr>
      <w:rFonts w:ascii="宋体" w:cstheme="minorBidi"/>
      <w:sz w:val="18"/>
      <w:szCs w:val="18"/>
    </w:rPr>
  </w:style>
  <w:style w:type="character" w:customStyle="1" w:styleId="97">
    <w:name w:val="文档结构图 字符"/>
    <w:basedOn w:val="33"/>
    <w:link w:val="96"/>
    <w:semiHidden/>
    <w:qFormat/>
    <w:uiPriority w:val="99"/>
    <w:rPr>
      <w:rFonts w:ascii="宋体" w:hAnsi="Times New Roman" w:eastAsia="宋体"/>
      <w:kern w:val="2"/>
      <w:sz w:val="18"/>
      <w:szCs w:val="18"/>
    </w:rPr>
  </w:style>
  <w:style w:type="paragraph" w:customStyle="1" w:styleId="98">
    <w:name w:val="TOC 51"/>
    <w:basedOn w:val="1"/>
    <w:next w:val="1"/>
    <w:unhideWhenUsed/>
    <w:qFormat/>
    <w:uiPriority w:val="39"/>
    <w:pPr>
      <w:ind w:left="1680" w:leftChars="800"/>
    </w:pPr>
    <w:rPr>
      <w:rFonts w:ascii="Calibri" w:hAnsi="Calibri"/>
      <w:szCs w:val="22"/>
    </w:rPr>
  </w:style>
  <w:style w:type="paragraph" w:customStyle="1" w:styleId="99">
    <w:name w:val="TOC 31"/>
    <w:basedOn w:val="1"/>
    <w:next w:val="1"/>
    <w:unhideWhenUsed/>
    <w:qFormat/>
    <w:uiPriority w:val="39"/>
    <w:pPr>
      <w:spacing w:line="360" w:lineRule="auto"/>
      <w:ind w:left="840" w:leftChars="400" w:firstLine="200" w:firstLineChars="200"/>
    </w:pPr>
    <w:rPr>
      <w:sz w:val="24"/>
      <w:szCs w:val="22"/>
    </w:rPr>
  </w:style>
  <w:style w:type="paragraph" w:customStyle="1" w:styleId="100">
    <w:name w:val="TOC 81"/>
    <w:basedOn w:val="1"/>
    <w:next w:val="1"/>
    <w:unhideWhenUsed/>
    <w:qFormat/>
    <w:uiPriority w:val="39"/>
    <w:pPr>
      <w:ind w:left="2940" w:leftChars="1400"/>
    </w:pPr>
    <w:rPr>
      <w:rFonts w:ascii="Calibri" w:hAnsi="Calibri"/>
      <w:szCs w:val="22"/>
    </w:rPr>
  </w:style>
  <w:style w:type="paragraph" w:customStyle="1" w:styleId="101">
    <w:name w:val="批注框文本1"/>
    <w:basedOn w:val="1"/>
    <w:next w:val="20"/>
    <w:link w:val="102"/>
    <w:semiHidden/>
    <w:unhideWhenUsed/>
    <w:qFormat/>
    <w:uiPriority w:val="99"/>
    <w:pPr>
      <w:ind w:firstLine="200" w:firstLineChars="200"/>
    </w:pPr>
    <w:rPr>
      <w:rFonts w:cstheme="minorBidi"/>
      <w:sz w:val="18"/>
      <w:szCs w:val="18"/>
    </w:rPr>
  </w:style>
  <w:style w:type="character" w:customStyle="1" w:styleId="102">
    <w:name w:val="批注框文本 字符"/>
    <w:basedOn w:val="33"/>
    <w:link w:val="101"/>
    <w:semiHidden/>
    <w:qFormat/>
    <w:uiPriority w:val="99"/>
    <w:rPr>
      <w:rFonts w:ascii="Times New Roman" w:hAnsi="Times New Roman" w:eastAsia="宋体"/>
      <w:kern w:val="2"/>
      <w:sz w:val="18"/>
      <w:szCs w:val="18"/>
    </w:rPr>
  </w:style>
  <w:style w:type="paragraph" w:customStyle="1" w:styleId="103">
    <w:name w:val="TOC 11"/>
    <w:basedOn w:val="1"/>
    <w:next w:val="1"/>
    <w:unhideWhenUsed/>
    <w:qFormat/>
    <w:uiPriority w:val="39"/>
    <w:pPr>
      <w:spacing w:line="360" w:lineRule="auto"/>
      <w:ind w:firstLine="200" w:firstLineChars="200"/>
    </w:pPr>
    <w:rPr>
      <w:sz w:val="24"/>
      <w:szCs w:val="22"/>
    </w:rPr>
  </w:style>
  <w:style w:type="paragraph" w:customStyle="1" w:styleId="104">
    <w:name w:val="TOC 41"/>
    <w:basedOn w:val="1"/>
    <w:next w:val="1"/>
    <w:unhideWhenUsed/>
    <w:qFormat/>
    <w:uiPriority w:val="39"/>
    <w:pPr>
      <w:ind w:left="1260" w:leftChars="600"/>
    </w:pPr>
    <w:rPr>
      <w:rFonts w:ascii="Calibri" w:hAnsi="Calibri"/>
      <w:szCs w:val="22"/>
    </w:rPr>
  </w:style>
  <w:style w:type="paragraph" w:customStyle="1" w:styleId="105">
    <w:name w:val="TOC 61"/>
    <w:basedOn w:val="1"/>
    <w:next w:val="1"/>
    <w:unhideWhenUsed/>
    <w:qFormat/>
    <w:uiPriority w:val="39"/>
    <w:pPr>
      <w:ind w:left="2100" w:leftChars="1000"/>
    </w:pPr>
    <w:rPr>
      <w:rFonts w:ascii="Calibri" w:hAnsi="Calibri"/>
      <w:szCs w:val="22"/>
    </w:rPr>
  </w:style>
  <w:style w:type="paragraph" w:customStyle="1" w:styleId="106">
    <w:name w:val="TOC 21"/>
    <w:basedOn w:val="1"/>
    <w:next w:val="1"/>
    <w:unhideWhenUsed/>
    <w:qFormat/>
    <w:uiPriority w:val="39"/>
    <w:pPr>
      <w:spacing w:line="360" w:lineRule="auto"/>
      <w:ind w:left="420" w:leftChars="200" w:firstLine="200" w:firstLineChars="200"/>
    </w:pPr>
    <w:rPr>
      <w:sz w:val="24"/>
      <w:szCs w:val="22"/>
    </w:rPr>
  </w:style>
  <w:style w:type="paragraph" w:customStyle="1" w:styleId="107">
    <w:name w:val="TOC 91"/>
    <w:basedOn w:val="1"/>
    <w:next w:val="1"/>
    <w:unhideWhenUsed/>
    <w:qFormat/>
    <w:uiPriority w:val="39"/>
    <w:pPr>
      <w:ind w:left="3360" w:leftChars="1600"/>
    </w:pPr>
    <w:rPr>
      <w:rFonts w:ascii="Calibri" w:hAnsi="Calibri"/>
      <w:szCs w:val="22"/>
    </w:rPr>
  </w:style>
  <w:style w:type="paragraph" w:customStyle="1" w:styleId="108">
    <w:name w:val="信息标题1"/>
    <w:basedOn w:val="1"/>
    <w:next w:val="26"/>
    <w:link w:val="109"/>
    <w:semiHidden/>
    <w:unhideWhenUsed/>
    <w:qFormat/>
    <w:uiPriority w:val="99"/>
    <w:pPr>
      <w:pBdr>
        <w:top w:val="single" w:color="auto" w:sz="6" w:space="1"/>
        <w:left w:val="single" w:color="auto" w:sz="6" w:space="1"/>
        <w:bottom w:val="single" w:color="auto" w:sz="6" w:space="1"/>
        <w:right w:val="single" w:color="auto" w:sz="6" w:space="1"/>
      </w:pBdr>
      <w:shd w:val="pct20" w:color="auto" w:fill="auto"/>
      <w:spacing w:line="360" w:lineRule="auto"/>
      <w:ind w:left="1080" w:leftChars="500" w:hanging="1080" w:hangingChars="500"/>
    </w:pPr>
    <w:rPr>
      <w:rFonts w:ascii="Cambria" w:hAnsi="Cambria"/>
      <w:sz w:val="24"/>
    </w:rPr>
  </w:style>
  <w:style w:type="character" w:customStyle="1" w:styleId="109">
    <w:name w:val="信息标题 字符"/>
    <w:basedOn w:val="33"/>
    <w:link w:val="108"/>
    <w:semiHidden/>
    <w:qFormat/>
    <w:uiPriority w:val="99"/>
    <w:rPr>
      <w:rFonts w:ascii="Cambria" w:hAnsi="Cambria" w:eastAsia="宋体" w:cs="Times New Roman"/>
      <w:kern w:val="2"/>
      <w:sz w:val="24"/>
      <w:szCs w:val="24"/>
      <w:shd w:val="pct20" w:color="auto" w:fill="auto"/>
    </w:rPr>
  </w:style>
  <w:style w:type="table" w:customStyle="1" w:styleId="110">
    <w:name w:val="网格型1"/>
    <w:basedOn w:val="31"/>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1">
    <w:name w:val="表格内容"/>
    <w:basedOn w:val="1"/>
    <w:link w:val="112"/>
    <w:qFormat/>
    <w:uiPriority w:val="0"/>
    <w:pPr>
      <w:jc w:val="center"/>
    </w:pPr>
    <w:rPr>
      <w:szCs w:val="22"/>
    </w:rPr>
  </w:style>
  <w:style w:type="character" w:customStyle="1" w:styleId="112">
    <w:name w:val="表格内容 Char Char"/>
    <w:link w:val="111"/>
    <w:qFormat/>
    <w:uiPriority w:val="0"/>
    <w:rPr>
      <w:rFonts w:ascii="Times New Roman" w:hAnsi="Times New Roman" w:eastAsia="宋体" w:cs="Times New Roman"/>
    </w:rPr>
  </w:style>
  <w:style w:type="character" w:customStyle="1" w:styleId="113">
    <w:name w:val="表头 Char"/>
    <w:qFormat/>
    <w:uiPriority w:val="0"/>
    <w:rPr>
      <w:rFonts w:ascii="Times New Roman" w:hAnsi="Times New Roman" w:eastAsia="宋体"/>
      <w:b/>
      <w:kern w:val="2"/>
      <w:sz w:val="21"/>
      <w:szCs w:val="22"/>
    </w:rPr>
  </w:style>
  <w:style w:type="table" w:customStyle="1" w:styleId="114">
    <w:name w:val="Table Normal"/>
    <w:unhideWhenUsed/>
    <w:qFormat/>
    <w:uiPriority w:val="2"/>
    <w:pPr>
      <w:widowControl w:val="0"/>
    </w:pPr>
    <w:rPr>
      <w:sz w:val="22"/>
      <w:lang w:eastAsia="en-US"/>
    </w:rPr>
    <w:tblPr>
      <w:tblCellMar>
        <w:top w:w="0" w:type="dxa"/>
        <w:left w:w="0" w:type="dxa"/>
        <w:bottom w:w="0" w:type="dxa"/>
        <w:right w:w="0" w:type="dxa"/>
      </w:tblCellMar>
    </w:tblPr>
  </w:style>
  <w:style w:type="paragraph" w:customStyle="1" w:styleId="115">
    <w:name w:val="修订11"/>
    <w:hidden/>
    <w:semiHidden/>
    <w:qFormat/>
    <w:uiPriority w:val="99"/>
    <w:rPr>
      <w:rFonts w:ascii="Times New Roman" w:hAnsi="Times New Roman" w:eastAsia="宋体" w:cstheme="minorBidi"/>
      <w:kern w:val="2"/>
      <w:sz w:val="24"/>
      <w:szCs w:val="22"/>
      <w:lang w:val="en-US" w:eastAsia="zh-CN" w:bidi="ar-SA"/>
    </w:rPr>
  </w:style>
  <w:style w:type="table" w:customStyle="1" w:styleId="116">
    <w:name w:val="Table Normal2"/>
    <w:semiHidden/>
    <w:unhideWhenUsed/>
    <w:qFormat/>
    <w:uiPriority w:val="2"/>
    <w:pPr>
      <w:widowControl w:val="0"/>
    </w:pPr>
    <w:rPr>
      <w:sz w:val="22"/>
      <w:lang w:eastAsia="en-US"/>
    </w:rPr>
    <w:tblPr>
      <w:tblCellMar>
        <w:top w:w="0" w:type="dxa"/>
        <w:left w:w="0" w:type="dxa"/>
        <w:bottom w:w="0" w:type="dxa"/>
        <w:right w:w="0" w:type="dxa"/>
      </w:tblCellMar>
    </w:tblPr>
  </w:style>
  <w:style w:type="table" w:customStyle="1" w:styleId="117">
    <w:name w:val="Table Normal1"/>
    <w:semiHidden/>
    <w:unhideWhenUsed/>
    <w:qFormat/>
    <w:uiPriority w:val="2"/>
    <w:pPr>
      <w:widowControl w:val="0"/>
    </w:pPr>
    <w:rPr>
      <w:sz w:val="22"/>
      <w:lang w:eastAsia="en-US"/>
    </w:rPr>
    <w:tblPr>
      <w:tblCellMar>
        <w:top w:w="0" w:type="dxa"/>
        <w:left w:w="0" w:type="dxa"/>
        <w:bottom w:w="0" w:type="dxa"/>
        <w:right w:w="0" w:type="dxa"/>
      </w:tblCellMar>
    </w:tblPr>
  </w:style>
  <w:style w:type="table" w:customStyle="1" w:styleId="118">
    <w:name w:val="网格型2"/>
    <w:basedOn w:val="31"/>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19">
    <w:name w:val="网格型3"/>
    <w:basedOn w:val="31"/>
    <w:qFormat/>
    <w:uiPriority w:val="59"/>
    <w:rPr>
      <w:rFonts w:ascii="Calibri" w:hAnsi="Calibri"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20">
    <w:name w:val="Table Normal3"/>
    <w:semiHidden/>
    <w:unhideWhenUsed/>
    <w:qFormat/>
    <w:uiPriority w:val="2"/>
    <w:pPr>
      <w:widowControl w:val="0"/>
    </w:pPr>
    <w:rPr>
      <w:sz w:val="22"/>
      <w:lang w:eastAsia="en-US"/>
    </w:rPr>
    <w:tblPr>
      <w:tblCellMar>
        <w:top w:w="0" w:type="dxa"/>
        <w:left w:w="0" w:type="dxa"/>
        <w:bottom w:w="0" w:type="dxa"/>
        <w:right w:w="0" w:type="dxa"/>
      </w:tblCellMar>
    </w:tblPr>
  </w:style>
  <w:style w:type="table" w:customStyle="1" w:styleId="121">
    <w:name w:val="Table Normal4"/>
    <w:semiHidden/>
    <w:unhideWhenUsed/>
    <w:qFormat/>
    <w:uiPriority w:val="2"/>
    <w:pPr>
      <w:widowControl w:val="0"/>
    </w:pPr>
    <w:rPr>
      <w:sz w:val="22"/>
      <w:lang w:eastAsia="en-US"/>
    </w:rPr>
    <w:tblPr>
      <w:tblCellMar>
        <w:top w:w="0" w:type="dxa"/>
        <w:left w:w="0" w:type="dxa"/>
        <w:bottom w:w="0" w:type="dxa"/>
        <w:right w:w="0" w:type="dxa"/>
      </w:tblCellMar>
    </w:tblPr>
  </w:style>
  <w:style w:type="table" w:customStyle="1" w:styleId="122">
    <w:name w:val="Table Normal5"/>
    <w:semiHidden/>
    <w:unhideWhenUsed/>
    <w:qFormat/>
    <w:uiPriority w:val="2"/>
    <w:pPr>
      <w:widowControl w:val="0"/>
    </w:pPr>
    <w:rPr>
      <w:sz w:val="22"/>
      <w:lang w:eastAsia="en-US"/>
    </w:rPr>
    <w:tblPr>
      <w:tblCellMar>
        <w:top w:w="0" w:type="dxa"/>
        <w:left w:w="0" w:type="dxa"/>
        <w:bottom w:w="0" w:type="dxa"/>
        <w:right w:w="0" w:type="dxa"/>
      </w:tblCellMar>
    </w:tblPr>
  </w:style>
  <w:style w:type="table" w:customStyle="1" w:styleId="123">
    <w:name w:val="Table Normal6"/>
    <w:semiHidden/>
    <w:unhideWhenUsed/>
    <w:qFormat/>
    <w:uiPriority w:val="2"/>
    <w:pPr>
      <w:widowControl w:val="0"/>
    </w:pPr>
    <w:rPr>
      <w:sz w:val="22"/>
      <w:lang w:eastAsia="en-US"/>
    </w:rPr>
    <w:tblPr>
      <w:tblCellMar>
        <w:top w:w="0" w:type="dxa"/>
        <w:left w:w="0" w:type="dxa"/>
        <w:bottom w:w="0" w:type="dxa"/>
        <w:right w:w="0" w:type="dxa"/>
      </w:tblCellMar>
    </w:tblPr>
  </w:style>
  <w:style w:type="paragraph" w:customStyle="1" w:styleId="124">
    <w:name w:val="表格格式"/>
    <w:basedOn w:val="1"/>
    <w:qFormat/>
    <w:uiPriority w:val="0"/>
    <w:pPr>
      <w:topLinePunct/>
      <w:spacing w:line="0" w:lineRule="atLeast"/>
      <w:jc w:val="center"/>
    </w:pPr>
    <w:rPr>
      <w:rFonts w:eastAsia="Times New Roman"/>
      <w:szCs w:val="22"/>
    </w:rPr>
  </w:style>
  <w:style w:type="character" w:customStyle="1" w:styleId="125">
    <w:name w:val="未处理的提及11"/>
    <w:basedOn w:val="33"/>
    <w:semiHidden/>
    <w:unhideWhenUsed/>
    <w:qFormat/>
    <w:uiPriority w:val="99"/>
    <w:rPr>
      <w:color w:val="605E5C"/>
      <w:shd w:val="clear" w:color="auto" w:fill="E1DFDD"/>
    </w:rPr>
  </w:style>
  <w:style w:type="paragraph" w:customStyle="1" w:styleId="126">
    <w:name w:val="msonormal"/>
    <w:basedOn w:val="1"/>
    <w:qFormat/>
    <w:uiPriority w:val="0"/>
    <w:pPr>
      <w:widowControl/>
      <w:spacing w:before="100" w:beforeAutospacing="1" w:after="100" w:afterAutospacing="1"/>
      <w:jc w:val="left"/>
    </w:pPr>
    <w:rPr>
      <w:rFonts w:ascii="宋体" w:hAnsi="宋体" w:cs="宋体"/>
      <w:kern w:val="0"/>
      <w:sz w:val="24"/>
    </w:rPr>
  </w:style>
  <w:style w:type="paragraph" w:customStyle="1" w:styleId="127">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8">
    <w:name w:val="font6"/>
    <w:basedOn w:val="1"/>
    <w:qFormat/>
    <w:uiPriority w:val="0"/>
    <w:pPr>
      <w:widowControl/>
      <w:spacing w:before="100" w:beforeAutospacing="1" w:after="100" w:afterAutospacing="1"/>
      <w:jc w:val="left"/>
    </w:pPr>
    <w:rPr>
      <w:rFonts w:ascii="宋体" w:hAnsi="宋体" w:cs="宋体"/>
      <w:b/>
      <w:bCs/>
      <w:color w:val="000000"/>
      <w:kern w:val="0"/>
      <w:szCs w:val="21"/>
    </w:rPr>
  </w:style>
  <w:style w:type="paragraph" w:customStyle="1" w:styleId="129">
    <w:name w:val="font7"/>
    <w:basedOn w:val="1"/>
    <w:qFormat/>
    <w:uiPriority w:val="0"/>
    <w:pPr>
      <w:widowControl/>
      <w:spacing w:before="100" w:beforeAutospacing="1" w:after="100" w:afterAutospacing="1"/>
      <w:jc w:val="left"/>
    </w:pPr>
    <w:rPr>
      <w:color w:val="000000"/>
      <w:kern w:val="0"/>
      <w:szCs w:val="21"/>
    </w:rPr>
  </w:style>
  <w:style w:type="paragraph" w:customStyle="1" w:styleId="130">
    <w:name w:val="font8"/>
    <w:basedOn w:val="1"/>
    <w:qFormat/>
    <w:uiPriority w:val="0"/>
    <w:pPr>
      <w:widowControl/>
      <w:spacing w:before="100" w:beforeAutospacing="1" w:after="100" w:afterAutospacing="1"/>
      <w:jc w:val="left"/>
    </w:pPr>
    <w:rPr>
      <w:rFonts w:ascii="宋体" w:hAnsi="宋体" w:cs="宋体"/>
      <w:color w:val="000000"/>
      <w:kern w:val="0"/>
      <w:szCs w:val="21"/>
    </w:rPr>
  </w:style>
  <w:style w:type="paragraph" w:customStyle="1" w:styleId="131">
    <w:name w:val="xl6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132">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33">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paragraph" w:customStyle="1" w:styleId="134">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135">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4"/>
    </w:rPr>
  </w:style>
  <w:style w:type="paragraph" w:customStyle="1" w:styleId="136">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Cs w:val="21"/>
    </w:rPr>
  </w:style>
  <w:style w:type="paragraph" w:customStyle="1" w:styleId="137">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138">
    <w:name w:val="xl72"/>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139">
    <w:name w:val="xl7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40">
    <w:name w:val="xl74"/>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41">
    <w:name w:val="xl75"/>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rPr>
  </w:style>
  <w:style w:type="paragraph" w:customStyle="1" w:styleId="142">
    <w:name w:val="xl76"/>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143">
    <w:name w:val="xl77"/>
    <w:basedOn w:val="1"/>
    <w:qFormat/>
    <w:uiPriority w:val="0"/>
    <w:pPr>
      <w:widowControl/>
      <w:pBdr>
        <w:top w:val="single" w:color="auto" w:sz="4" w:space="0"/>
        <w:bottom w:val="single" w:color="auto" w:sz="4" w:space="0"/>
      </w:pBdr>
      <w:spacing w:before="100" w:beforeAutospacing="1" w:after="100" w:afterAutospacing="1"/>
      <w:jc w:val="center"/>
      <w:textAlignment w:val="center"/>
    </w:pPr>
    <w:rPr>
      <w:color w:val="000000"/>
      <w:kern w:val="0"/>
      <w:szCs w:val="21"/>
    </w:rPr>
  </w:style>
  <w:style w:type="paragraph" w:customStyle="1" w:styleId="144">
    <w:name w:val="xl78"/>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Cs w:val="21"/>
    </w:rPr>
  </w:style>
  <w:style w:type="character" w:customStyle="1" w:styleId="145">
    <w:name w:val="未处理的提及2"/>
    <w:basedOn w:val="33"/>
    <w:semiHidden/>
    <w:unhideWhenUsed/>
    <w:qFormat/>
    <w:uiPriority w:val="99"/>
    <w:rPr>
      <w:color w:val="605E5C"/>
      <w:shd w:val="clear" w:color="auto" w:fill="E1DFDD"/>
    </w:rPr>
  </w:style>
  <w:style w:type="paragraph" w:customStyle="1" w:styleId="146">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paragraph" w:customStyle="1" w:styleId="147">
    <w:name w:val="修订2"/>
    <w:hidden/>
    <w:semiHidden/>
    <w:qFormat/>
    <w:uiPriority w:val="99"/>
    <w:rPr>
      <w:rFonts w:ascii="Times New Roman" w:hAnsi="Times New Roman" w:eastAsia="宋体" w:cstheme="minorBidi"/>
      <w:kern w:val="2"/>
      <w:sz w:val="24"/>
      <w:szCs w:val="22"/>
      <w:lang w:val="en-US" w:eastAsia="zh-CN" w:bidi="ar-SA"/>
    </w:rPr>
  </w:style>
  <w:style w:type="paragraph" w:customStyle="1" w:styleId="148">
    <w:name w:val="样式 正文缩进正文缩进2正文缩进 Char Char正文缩进 Char Char Char Char正文缩进 Char ..."/>
    <w:basedOn w:val="11"/>
    <w:qFormat/>
    <w:uiPriority w:val="0"/>
    <w:pPr>
      <w:adjustRightInd w:val="0"/>
      <w:spacing w:line="360" w:lineRule="auto"/>
      <w:ind w:firstLine="200"/>
      <w:jc w:val="left"/>
      <w:textAlignment w:val="baseline"/>
    </w:pPr>
    <w:rPr>
      <w:rFonts w:ascii="宋体" w:hAnsi="Times New Roman" w:eastAsia="宋体" w:cs="宋体"/>
      <w:kern w:val="0"/>
      <w:sz w:val="24"/>
      <w:szCs w:val="20"/>
    </w:rPr>
  </w:style>
  <w:style w:type="paragraph" w:customStyle="1" w:styleId="149">
    <w:name w:val="normaltable"/>
    <w:basedOn w:val="1"/>
    <w:qFormat/>
    <w:uiPriority w:val="0"/>
    <w:pPr>
      <w:widowControl/>
      <w:pBdr>
        <w:top w:val="single" w:color="auto" w:sz="6" w:space="0"/>
        <w:left w:val="single" w:color="auto" w:sz="6" w:space="5"/>
        <w:bottom w:val="single" w:color="auto" w:sz="6" w:space="0"/>
        <w:right w:val="single" w:color="auto" w:sz="6" w:space="5"/>
        <w:between w:val="single" w:color="auto" w:sz="6" w:space="0"/>
      </w:pBdr>
      <w:spacing w:before="100" w:beforeAutospacing="1" w:after="100" w:afterAutospacing="1"/>
      <w:jc w:val="left"/>
    </w:pPr>
    <w:rPr>
      <w:rFonts w:ascii="宋体" w:hAnsi="宋体" w:cs="宋体"/>
      <w:kern w:val="0"/>
      <w:sz w:val="24"/>
    </w:rPr>
  </w:style>
  <w:style w:type="paragraph" w:customStyle="1" w:styleId="150">
    <w:name w:val="fontstyle0"/>
    <w:basedOn w:val="1"/>
    <w:qFormat/>
    <w:uiPriority w:val="0"/>
    <w:pPr>
      <w:widowControl/>
      <w:spacing w:before="100" w:beforeAutospacing="1" w:after="100" w:afterAutospacing="1"/>
      <w:jc w:val="left"/>
    </w:pPr>
    <w:rPr>
      <w:rFonts w:ascii="TimesNewRomanPSMT" w:hAnsi="宋体" w:eastAsia="TimesNewRomanPSMT" w:cs="宋体"/>
      <w:color w:val="000000"/>
      <w:kern w:val="0"/>
      <w:sz w:val="24"/>
    </w:rPr>
  </w:style>
  <w:style w:type="paragraph" w:customStyle="1" w:styleId="151">
    <w:name w:val="fontstyle1"/>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152">
    <w:name w:val="fontstyle2"/>
    <w:basedOn w:val="1"/>
    <w:qFormat/>
    <w:uiPriority w:val="0"/>
    <w:pPr>
      <w:widowControl/>
      <w:spacing w:before="100" w:beforeAutospacing="1" w:after="100" w:afterAutospacing="1"/>
      <w:jc w:val="left"/>
    </w:pPr>
    <w:rPr>
      <w:rFonts w:ascii="宋体" w:hAnsi="宋体" w:cs="宋体"/>
      <w:color w:val="000000"/>
      <w:kern w:val="0"/>
      <w:sz w:val="24"/>
    </w:rPr>
  </w:style>
  <w:style w:type="paragraph" w:customStyle="1" w:styleId="153">
    <w:name w:val="fontstyle3"/>
    <w:basedOn w:val="1"/>
    <w:qFormat/>
    <w:uiPriority w:val="0"/>
    <w:pPr>
      <w:widowControl/>
      <w:spacing w:before="100" w:beforeAutospacing="1" w:after="100" w:afterAutospacing="1"/>
      <w:jc w:val="left"/>
    </w:pPr>
    <w:rPr>
      <w:rFonts w:ascii="TimesNewRomanPS-BoldMT" w:hAnsi="TimesNewRomanPS-BoldMT" w:cs="宋体"/>
      <w:b/>
      <w:bCs/>
      <w:color w:val="000000"/>
      <w:kern w:val="0"/>
      <w:sz w:val="22"/>
      <w:szCs w:val="22"/>
    </w:rPr>
  </w:style>
  <w:style w:type="paragraph" w:customStyle="1" w:styleId="154">
    <w:name w:val="fontstyle4"/>
    <w:basedOn w:val="1"/>
    <w:qFormat/>
    <w:uiPriority w:val="0"/>
    <w:pPr>
      <w:widowControl/>
      <w:spacing w:before="100" w:beforeAutospacing="1" w:after="100" w:afterAutospacing="1"/>
      <w:jc w:val="left"/>
    </w:pPr>
    <w:rPr>
      <w:rFonts w:ascii="Calibri" w:hAnsi="Calibri" w:cs="Calibri"/>
      <w:color w:val="000000"/>
      <w:kern w:val="0"/>
      <w:sz w:val="18"/>
      <w:szCs w:val="18"/>
    </w:rPr>
  </w:style>
  <w:style w:type="paragraph" w:customStyle="1" w:styleId="155">
    <w:name w:val="fontstyle5"/>
    <w:basedOn w:val="1"/>
    <w:qFormat/>
    <w:uiPriority w:val="0"/>
    <w:pPr>
      <w:widowControl/>
      <w:spacing w:before="100" w:beforeAutospacing="1" w:after="100" w:afterAutospacing="1"/>
      <w:jc w:val="left"/>
    </w:pPr>
    <w:rPr>
      <w:rFonts w:ascii="ArialMT" w:hAnsi="ArialMT" w:cs="宋体"/>
      <w:color w:val="000000"/>
      <w:kern w:val="0"/>
      <w:sz w:val="14"/>
      <w:szCs w:val="14"/>
    </w:rPr>
  </w:style>
  <w:style w:type="character" w:customStyle="1" w:styleId="156">
    <w:name w:val="fontstyle01"/>
    <w:basedOn w:val="33"/>
    <w:qFormat/>
    <w:uiPriority w:val="0"/>
    <w:rPr>
      <w:rFonts w:hint="eastAsia" w:ascii="TimesNewRomanPSMT" w:eastAsia="TimesNewRomanPSMT"/>
      <w:color w:val="000000"/>
      <w:sz w:val="24"/>
      <w:szCs w:val="24"/>
    </w:rPr>
  </w:style>
  <w:style w:type="character" w:customStyle="1" w:styleId="157">
    <w:name w:val="fontstyle11"/>
    <w:basedOn w:val="33"/>
    <w:qFormat/>
    <w:uiPriority w:val="0"/>
    <w:rPr>
      <w:rFonts w:hint="eastAsia" w:ascii="宋体" w:hAnsi="宋体" w:eastAsia="宋体"/>
      <w:color w:val="000000"/>
      <w:sz w:val="24"/>
      <w:szCs w:val="24"/>
    </w:rPr>
  </w:style>
  <w:style w:type="character" w:customStyle="1" w:styleId="158">
    <w:name w:val="fontstyle31"/>
    <w:basedOn w:val="33"/>
    <w:qFormat/>
    <w:uiPriority w:val="0"/>
    <w:rPr>
      <w:rFonts w:hint="default" w:ascii="TimesNewRomanPS-BoldMT" w:hAnsi="TimesNewRomanPS-BoldMT"/>
      <w:b/>
      <w:bCs/>
      <w:color w:val="000000"/>
      <w:sz w:val="22"/>
      <w:szCs w:val="22"/>
    </w:rPr>
  </w:style>
  <w:style w:type="character" w:customStyle="1" w:styleId="159">
    <w:name w:val="fontstyle41"/>
    <w:basedOn w:val="33"/>
    <w:qFormat/>
    <w:uiPriority w:val="0"/>
    <w:rPr>
      <w:rFonts w:hint="default" w:ascii="Calibri" w:hAnsi="Calibri" w:cs="Calibri"/>
      <w:color w:val="000000"/>
      <w:sz w:val="18"/>
      <w:szCs w:val="18"/>
    </w:rPr>
  </w:style>
  <w:style w:type="character" w:customStyle="1" w:styleId="160">
    <w:name w:val="fontstyle51"/>
    <w:basedOn w:val="33"/>
    <w:qFormat/>
    <w:uiPriority w:val="0"/>
    <w:rPr>
      <w:rFonts w:hint="default" w:ascii="ArialMT" w:hAnsi="ArialMT"/>
      <w:color w:val="000000"/>
      <w:sz w:val="14"/>
      <w:szCs w:val="14"/>
    </w:rPr>
  </w:style>
  <w:style w:type="character" w:customStyle="1" w:styleId="161">
    <w:name w:val="未处理的提及3"/>
    <w:basedOn w:val="33"/>
    <w:semiHidden/>
    <w:unhideWhenUsed/>
    <w:qFormat/>
    <w:uiPriority w:val="99"/>
    <w:rPr>
      <w:color w:val="605E5C"/>
      <w:shd w:val="clear" w:color="auto" w:fill="E1DFDD"/>
    </w:rPr>
  </w:style>
  <w:style w:type="paragraph" w:customStyle="1" w:styleId="162">
    <w:name w:val="_Style 113"/>
    <w:basedOn w:val="16"/>
    <w:next w:val="30"/>
    <w:link w:val="163"/>
    <w:qFormat/>
    <w:uiPriority w:val="0"/>
    <w:pPr>
      <w:ind w:firstLine="420" w:firstLineChars="200"/>
    </w:pPr>
  </w:style>
  <w:style w:type="character" w:customStyle="1" w:styleId="163">
    <w:name w:val="正文首行缩进 2 Char"/>
    <w:basedOn w:val="33"/>
    <w:link w:val="162"/>
    <w:qFormat/>
    <w:uiPriority w:val="0"/>
    <w:rPr>
      <w:rFonts w:ascii="Times New Roman" w:hAnsi="Times New Roman" w:eastAsia="宋体" w:cs="Times New Roman"/>
      <w:szCs w:val="24"/>
    </w:rPr>
  </w:style>
  <w:style w:type="paragraph" w:customStyle="1" w:styleId="164">
    <w:name w:val="【正文】"/>
    <w:basedOn w:val="1"/>
    <w:next w:val="26"/>
    <w:link w:val="165"/>
    <w:qFormat/>
    <w:uiPriority w:val="0"/>
    <w:pPr>
      <w:spacing w:line="480" w:lineRule="exact"/>
      <w:ind w:firstLine="200" w:firstLineChars="200"/>
    </w:pPr>
    <w:rPr>
      <w:rFonts w:ascii="Calibri" w:hAnsi="Calibri" w:cs="宋体"/>
      <w:spacing w:val="20"/>
      <w:sz w:val="24"/>
      <w:szCs w:val="22"/>
    </w:rPr>
  </w:style>
  <w:style w:type="character" w:customStyle="1" w:styleId="165">
    <w:name w:val="【正文】 Char"/>
    <w:basedOn w:val="33"/>
    <w:link w:val="164"/>
    <w:qFormat/>
    <w:uiPriority w:val="0"/>
    <w:rPr>
      <w:rFonts w:ascii="Calibri" w:hAnsi="Calibri" w:eastAsia="宋体" w:cs="宋体"/>
      <w:spacing w:val="20"/>
      <w:sz w:val="24"/>
    </w:rPr>
  </w:style>
  <w:style w:type="character" w:customStyle="1" w:styleId="166">
    <w:name w:val="[1]正文 Char"/>
    <w:link w:val="167"/>
    <w:qFormat/>
    <w:uiPriority w:val="0"/>
    <w:rPr>
      <w:color w:val="000000"/>
      <w:sz w:val="24"/>
      <w:szCs w:val="24"/>
      <w:lang w:val="zh-CN"/>
    </w:rPr>
  </w:style>
  <w:style w:type="paragraph" w:customStyle="1" w:styleId="167">
    <w:name w:val="[1]正文"/>
    <w:basedOn w:val="1"/>
    <w:link w:val="166"/>
    <w:qFormat/>
    <w:uiPriority w:val="0"/>
    <w:pPr>
      <w:autoSpaceDE w:val="0"/>
      <w:autoSpaceDN w:val="0"/>
      <w:spacing w:line="360" w:lineRule="auto"/>
      <w:ind w:firstLine="425"/>
    </w:pPr>
    <w:rPr>
      <w:rFonts w:asciiTheme="minorHAnsi" w:hAnsiTheme="minorHAnsi" w:eastAsiaTheme="minorEastAsia" w:cstheme="minorBidi"/>
      <w:color w:val="000000"/>
      <w:sz w:val="24"/>
      <w:lang w:val="zh-CN"/>
    </w:rPr>
  </w:style>
  <w:style w:type="character" w:customStyle="1" w:styleId="168">
    <w:name w:val="fontstyle21"/>
    <w:basedOn w:val="33"/>
    <w:qFormat/>
    <w:uiPriority w:val="0"/>
    <w:rPr>
      <w:rFonts w:hint="default" w:ascii="Times New Roman" w:hAnsi="Times New Roman" w:cs="Times New Roman"/>
      <w:color w:val="000000"/>
      <w:sz w:val="24"/>
      <w:szCs w:val="24"/>
    </w:rPr>
  </w:style>
  <w:style w:type="character" w:customStyle="1" w:styleId="169">
    <w:name w:val="题注 字符"/>
    <w:link w:val="12"/>
    <w:qFormat/>
    <w:uiPriority w:val="35"/>
    <w:rPr>
      <w:rFonts w:ascii="Cambria" w:hAnsi="Cambria" w:eastAsia="宋体" w:cs="Times New Roman"/>
      <w:b/>
      <w:szCs w:val="20"/>
    </w:rPr>
  </w:style>
  <w:style w:type="paragraph" w:customStyle="1" w:styleId="170">
    <w:name w:val="Re-正文"/>
    <w:basedOn w:val="1"/>
    <w:link w:val="171"/>
    <w:qFormat/>
    <w:uiPriority w:val="3"/>
    <w:pPr>
      <w:spacing w:line="360" w:lineRule="auto"/>
      <w:ind w:firstLine="200" w:firstLineChars="200"/>
    </w:pPr>
    <w:rPr>
      <w:sz w:val="24"/>
    </w:rPr>
  </w:style>
  <w:style w:type="character" w:customStyle="1" w:styleId="171">
    <w:name w:val="Re-正文 Char"/>
    <w:link w:val="170"/>
    <w:qFormat/>
    <w:uiPriority w:val="3"/>
    <w:rPr>
      <w:rFonts w:ascii="Times New Roman" w:hAnsi="Times New Roman" w:eastAsia="宋体" w:cs="Times New Roman"/>
      <w:sz w:val="24"/>
      <w:szCs w:val="24"/>
    </w:rPr>
  </w:style>
  <w:style w:type="character" w:customStyle="1" w:styleId="172">
    <w:name w:val="表格 字符"/>
    <w:basedOn w:val="69"/>
    <w:qFormat/>
    <w:uiPriority w:val="0"/>
    <w:rPr>
      <w:rFonts w:ascii="Times New Roman" w:hAnsi="Times New Roman" w:eastAsia="宋体"/>
      <w:b w:val="0"/>
      <w:bCs/>
      <w:szCs w:val="20"/>
    </w:rPr>
  </w:style>
  <w:style w:type="paragraph" w:customStyle="1" w:styleId="173">
    <w:name w:val="图"/>
    <w:basedOn w:val="1"/>
    <w:link w:val="174"/>
    <w:qFormat/>
    <w:uiPriority w:val="0"/>
    <w:pPr>
      <w:jc w:val="center"/>
    </w:pPr>
    <w:rPr>
      <w:b/>
      <w:sz w:val="24"/>
      <w:szCs w:val="22"/>
    </w:rPr>
  </w:style>
  <w:style w:type="character" w:customStyle="1" w:styleId="174">
    <w:name w:val="图 字符"/>
    <w:basedOn w:val="33"/>
    <w:link w:val="173"/>
    <w:qFormat/>
    <w:uiPriority w:val="0"/>
    <w:rPr>
      <w:rFonts w:ascii="Times New Roman" w:hAnsi="Times New Roman" w:eastAsia="宋体" w:cs="Times New Roman"/>
      <w:b/>
      <w:sz w:val="24"/>
    </w:rPr>
  </w:style>
  <w:style w:type="character" w:customStyle="1" w:styleId="175">
    <w:name w:val="环评列表 Char Char"/>
    <w:link w:val="74"/>
    <w:qFormat/>
    <w:uiPriority w:val="0"/>
    <w:rPr>
      <w:rFonts w:ascii="Calibri" w:hAnsi="Calibri" w:eastAsia="宋体" w:cs="Times New Roman"/>
      <w:kern w:val="0"/>
      <w:szCs w:val="20"/>
    </w:rPr>
  </w:style>
  <w:style w:type="character" w:customStyle="1" w:styleId="176">
    <w:name w:val="其他 (2)_"/>
    <w:basedOn w:val="33"/>
    <w:link w:val="177"/>
    <w:qFormat/>
    <w:uiPriority w:val="0"/>
    <w:rPr>
      <w:rFonts w:ascii="宋体" w:hAnsi="宋体" w:eastAsia="宋体" w:cs="宋体"/>
      <w:sz w:val="16"/>
      <w:szCs w:val="16"/>
      <w:lang w:val="zh-CN" w:bidi="zh-CN"/>
    </w:rPr>
  </w:style>
  <w:style w:type="paragraph" w:customStyle="1" w:styleId="177">
    <w:name w:val="其他 (2)"/>
    <w:basedOn w:val="1"/>
    <w:link w:val="176"/>
    <w:qFormat/>
    <w:uiPriority w:val="0"/>
    <w:pPr>
      <w:jc w:val="left"/>
    </w:pPr>
    <w:rPr>
      <w:rFonts w:ascii="宋体" w:hAnsi="宋体" w:cs="宋体"/>
      <w:sz w:val="16"/>
      <w:szCs w:val="16"/>
      <w:lang w:val="zh-CN" w:bidi="zh-CN"/>
    </w:rPr>
  </w:style>
  <w:style w:type="character" w:customStyle="1" w:styleId="178">
    <w:name w:val="其他_"/>
    <w:basedOn w:val="33"/>
    <w:link w:val="179"/>
    <w:qFormat/>
    <w:uiPriority w:val="0"/>
    <w:rPr>
      <w:rFonts w:ascii="宋体" w:hAnsi="宋体" w:eastAsia="宋体" w:cs="宋体"/>
      <w:sz w:val="19"/>
      <w:szCs w:val="19"/>
    </w:rPr>
  </w:style>
  <w:style w:type="paragraph" w:customStyle="1" w:styleId="179">
    <w:name w:val="其他"/>
    <w:basedOn w:val="1"/>
    <w:link w:val="178"/>
    <w:qFormat/>
    <w:uiPriority w:val="0"/>
    <w:pPr>
      <w:jc w:val="left"/>
    </w:pPr>
    <w:rPr>
      <w:rFonts w:ascii="宋体" w:hAnsi="宋体" w:cs="宋体"/>
      <w:sz w:val="19"/>
      <w:szCs w:val="19"/>
    </w:rPr>
  </w:style>
  <w:style w:type="character" w:customStyle="1" w:styleId="180">
    <w:name w:val="标题 #1_"/>
    <w:basedOn w:val="33"/>
    <w:link w:val="181"/>
    <w:qFormat/>
    <w:uiPriority w:val="0"/>
    <w:rPr>
      <w:rFonts w:ascii="宋体" w:hAnsi="宋体" w:eastAsia="宋体" w:cs="宋体"/>
      <w:sz w:val="40"/>
      <w:szCs w:val="40"/>
      <w:u w:val="single"/>
      <w:lang w:val="zh-CN" w:bidi="zh-CN"/>
    </w:rPr>
  </w:style>
  <w:style w:type="paragraph" w:customStyle="1" w:styleId="181">
    <w:name w:val="标题 #1"/>
    <w:basedOn w:val="1"/>
    <w:link w:val="180"/>
    <w:qFormat/>
    <w:uiPriority w:val="0"/>
    <w:pPr>
      <w:jc w:val="left"/>
      <w:outlineLvl w:val="0"/>
    </w:pPr>
    <w:rPr>
      <w:rFonts w:ascii="宋体" w:hAnsi="宋体" w:cs="宋体"/>
      <w:sz w:val="40"/>
      <w:szCs w:val="40"/>
      <w:u w:val="single"/>
      <w:lang w:val="zh-CN" w:bidi="zh-CN"/>
    </w:rPr>
  </w:style>
  <w:style w:type="character" w:customStyle="1" w:styleId="182">
    <w:name w:val="正文文本_"/>
    <w:basedOn w:val="33"/>
    <w:link w:val="183"/>
    <w:qFormat/>
    <w:uiPriority w:val="0"/>
    <w:rPr>
      <w:rFonts w:ascii="宋体" w:hAnsi="宋体" w:eastAsia="宋体" w:cs="宋体"/>
      <w:lang w:val="zh-CN" w:bidi="zh-CN"/>
    </w:rPr>
  </w:style>
  <w:style w:type="paragraph" w:customStyle="1" w:styleId="183">
    <w:name w:val="正文文本1"/>
    <w:basedOn w:val="1"/>
    <w:link w:val="182"/>
    <w:qFormat/>
    <w:uiPriority w:val="0"/>
    <w:pPr>
      <w:jc w:val="left"/>
    </w:pPr>
    <w:rPr>
      <w:rFonts w:ascii="宋体" w:hAnsi="宋体" w:cs="宋体"/>
      <w:szCs w:val="22"/>
      <w:lang w:val="zh-CN" w:bidi="zh-CN"/>
    </w:rPr>
  </w:style>
  <w:style w:type="paragraph" w:styleId="184">
    <w:name w:val="No Spacing"/>
    <w:basedOn w:val="1"/>
    <w:qFormat/>
    <w:uiPriority w:val="0"/>
    <w:pPr>
      <w:widowControl/>
      <w:jc w:val="center"/>
    </w:pPr>
    <w:rPr>
      <w:szCs w:val="22"/>
    </w:rPr>
  </w:style>
  <w:style w:type="paragraph" w:customStyle="1" w:styleId="185">
    <w:name w:val="正文段落"/>
    <w:basedOn w:val="1"/>
    <w:qFormat/>
    <w:uiPriority w:val="0"/>
    <w:pPr>
      <w:spacing w:line="360" w:lineRule="auto"/>
      <w:ind w:firstLine="480" w:firstLineChars="200"/>
    </w:pPr>
    <w:rPr>
      <w:sz w:val="24"/>
    </w:rPr>
  </w:style>
  <w:style w:type="paragraph" w:customStyle="1" w:styleId="186">
    <w:name w:val="_Style 1131"/>
    <w:basedOn w:val="16"/>
    <w:next w:val="30"/>
    <w:qFormat/>
    <w:uiPriority w:val="0"/>
    <w:pPr>
      <w:ind w:firstLine="420" w:firstLineChars="200"/>
    </w:pPr>
    <w:rPr>
      <w:sz w:val="24"/>
      <w:szCs w:val="22"/>
    </w:rPr>
  </w:style>
  <w:style w:type="paragraph" w:customStyle="1" w:styleId="187">
    <w:name w:val="TOC 标题1"/>
    <w:basedOn w:val="2"/>
    <w:next w:val="1"/>
    <w:semiHidden/>
    <w:unhideWhenUsed/>
    <w:qFormat/>
    <w:uiPriority w:val="39"/>
  </w:style>
  <w:style w:type="character" w:customStyle="1" w:styleId="188">
    <w:name w:val="fontstyle61"/>
    <w:basedOn w:val="33"/>
    <w:qFormat/>
    <w:uiPriority w:val="0"/>
    <w:rPr>
      <w:rFonts w:hint="default" w:ascii="Calibri" w:hAnsi="Calibri" w:cs="Calibri"/>
      <w:b/>
      <w:bCs/>
      <w:color w:val="000000"/>
      <w:sz w:val="22"/>
      <w:szCs w:val="22"/>
    </w:rPr>
  </w:style>
  <w:style w:type="paragraph" w:customStyle="1" w:styleId="189">
    <w:name w:val="二标题YYH"/>
    <w:basedOn w:val="1"/>
    <w:link w:val="191"/>
    <w:qFormat/>
    <w:uiPriority w:val="0"/>
    <w:pPr>
      <w:spacing w:line="360" w:lineRule="auto"/>
      <w:outlineLvl w:val="1"/>
    </w:pPr>
    <w:rPr>
      <w:b/>
      <w:sz w:val="32"/>
    </w:rPr>
  </w:style>
  <w:style w:type="paragraph" w:customStyle="1" w:styleId="190">
    <w:name w:val="三标题YYH"/>
    <w:basedOn w:val="1"/>
    <w:link w:val="193"/>
    <w:qFormat/>
    <w:uiPriority w:val="0"/>
    <w:pPr>
      <w:spacing w:line="360" w:lineRule="auto"/>
      <w:outlineLvl w:val="2"/>
    </w:pPr>
    <w:rPr>
      <w:b/>
      <w:sz w:val="30"/>
    </w:rPr>
  </w:style>
  <w:style w:type="character" w:customStyle="1" w:styleId="191">
    <w:name w:val="二标题YYH 字符"/>
    <w:basedOn w:val="33"/>
    <w:link w:val="189"/>
    <w:qFormat/>
    <w:uiPriority w:val="0"/>
    <w:rPr>
      <w:rFonts w:ascii="Times New Roman" w:hAnsi="Times New Roman" w:eastAsia="宋体" w:cs="Times New Roman"/>
      <w:b/>
      <w:sz w:val="32"/>
      <w:szCs w:val="24"/>
    </w:rPr>
  </w:style>
  <w:style w:type="paragraph" w:customStyle="1" w:styleId="192">
    <w:name w:val="四标题YYH"/>
    <w:basedOn w:val="1"/>
    <w:link w:val="195"/>
    <w:qFormat/>
    <w:uiPriority w:val="0"/>
    <w:pPr>
      <w:spacing w:line="360" w:lineRule="auto"/>
      <w:outlineLvl w:val="3"/>
    </w:pPr>
    <w:rPr>
      <w:b/>
      <w:sz w:val="28"/>
    </w:rPr>
  </w:style>
  <w:style w:type="character" w:customStyle="1" w:styleId="193">
    <w:name w:val="三标题YYH 字符"/>
    <w:basedOn w:val="33"/>
    <w:link w:val="190"/>
    <w:qFormat/>
    <w:uiPriority w:val="0"/>
    <w:rPr>
      <w:rFonts w:ascii="Times New Roman" w:hAnsi="Times New Roman" w:eastAsia="宋体" w:cs="Times New Roman"/>
      <w:b/>
      <w:sz w:val="30"/>
      <w:szCs w:val="24"/>
    </w:rPr>
  </w:style>
  <w:style w:type="paragraph" w:customStyle="1" w:styleId="194">
    <w:name w:val="正文YYH"/>
    <w:basedOn w:val="1"/>
    <w:link w:val="196"/>
    <w:qFormat/>
    <w:uiPriority w:val="0"/>
    <w:pPr>
      <w:spacing w:line="360" w:lineRule="auto"/>
      <w:ind w:firstLine="200" w:firstLineChars="200"/>
    </w:pPr>
    <w:rPr>
      <w:sz w:val="24"/>
    </w:rPr>
  </w:style>
  <w:style w:type="character" w:customStyle="1" w:styleId="195">
    <w:name w:val="四标题YYH 字符"/>
    <w:basedOn w:val="33"/>
    <w:link w:val="192"/>
    <w:qFormat/>
    <w:uiPriority w:val="0"/>
    <w:rPr>
      <w:rFonts w:ascii="Times New Roman" w:hAnsi="Times New Roman" w:eastAsia="宋体" w:cs="Times New Roman"/>
      <w:b/>
      <w:sz w:val="28"/>
      <w:szCs w:val="24"/>
    </w:rPr>
  </w:style>
  <w:style w:type="character" w:customStyle="1" w:styleId="196">
    <w:name w:val="正文YYH 字符"/>
    <w:basedOn w:val="33"/>
    <w:link w:val="194"/>
    <w:qFormat/>
    <w:uiPriority w:val="0"/>
    <w:rPr>
      <w:rFonts w:ascii="Times New Roman" w:hAnsi="Times New Roman" w:eastAsia="宋体" w:cs="Times New Roman"/>
      <w:sz w:val="24"/>
      <w:szCs w:val="24"/>
    </w:rPr>
  </w:style>
  <w:style w:type="paragraph" w:customStyle="1" w:styleId="197">
    <w:name w:val="表格YYH"/>
    <w:basedOn w:val="1"/>
    <w:link w:val="198"/>
    <w:qFormat/>
    <w:uiPriority w:val="0"/>
    <w:pPr>
      <w:jc w:val="center"/>
    </w:pPr>
    <w:rPr>
      <w:color w:val="000000"/>
      <w:szCs w:val="22"/>
    </w:rPr>
  </w:style>
  <w:style w:type="character" w:customStyle="1" w:styleId="198">
    <w:name w:val="表格YYH 字符"/>
    <w:basedOn w:val="33"/>
    <w:link w:val="197"/>
    <w:qFormat/>
    <w:uiPriority w:val="0"/>
    <w:rPr>
      <w:rFonts w:ascii="Times New Roman" w:hAnsi="Times New Roman" w:eastAsia="宋体" w:cs="Times New Roman"/>
      <w:color w:val="000000"/>
    </w:rPr>
  </w:style>
  <w:style w:type="paragraph" w:customStyle="1" w:styleId="199">
    <w:name w:val="表头YYH"/>
    <w:basedOn w:val="1"/>
    <w:link w:val="200"/>
    <w:qFormat/>
    <w:uiPriority w:val="0"/>
    <w:pPr>
      <w:jc w:val="center"/>
    </w:pPr>
    <w:rPr>
      <w:b/>
      <w:sz w:val="24"/>
      <w:szCs w:val="22"/>
    </w:rPr>
  </w:style>
  <w:style w:type="character" w:customStyle="1" w:styleId="200">
    <w:name w:val="表头YYH 字符"/>
    <w:basedOn w:val="33"/>
    <w:link w:val="199"/>
    <w:qFormat/>
    <w:uiPriority w:val="0"/>
    <w:rPr>
      <w:rFonts w:ascii="Times New Roman" w:hAnsi="Times New Roman" w:eastAsia="宋体" w:cs="Times New Roman"/>
      <w:b/>
      <w:sz w:val="24"/>
    </w:rPr>
  </w:style>
  <w:style w:type="character" w:customStyle="1" w:styleId="201">
    <w:name w:val="标题 1 字符1"/>
    <w:basedOn w:val="33"/>
    <w:qFormat/>
    <w:uiPriority w:val="9"/>
    <w:rPr>
      <w:rFonts w:ascii="Times New Roman" w:hAnsi="Times New Roman" w:eastAsia="宋体" w:cs="Times New Roman"/>
      <w:b/>
      <w:bCs/>
      <w:kern w:val="44"/>
      <w:sz w:val="44"/>
      <w:szCs w:val="44"/>
    </w:rPr>
  </w:style>
  <w:style w:type="character" w:customStyle="1" w:styleId="202">
    <w:name w:val="标题 2 字符1"/>
    <w:basedOn w:val="33"/>
    <w:semiHidden/>
    <w:qFormat/>
    <w:uiPriority w:val="9"/>
    <w:rPr>
      <w:rFonts w:asciiTheme="majorHAnsi" w:hAnsiTheme="majorHAnsi" w:eastAsiaTheme="majorEastAsia" w:cstheme="majorBidi"/>
      <w:b/>
      <w:bCs/>
      <w:sz w:val="32"/>
      <w:szCs w:val="32"/>
    </w:rPr>
  </w:style>
  <w:style w:type="character" w:customStyle="1" w:styleId="203">
    <w:name w:val="标题 3 字符1"/>
    <w:basedOn w:val="33"/>
    <w:semiHidden/>
    <w:qFormat/>
    <w:uiPriority w:val="9"/>
    <w:rPr>
      <w:rFonts w:ascii="Times New Roman" w:hAnsi="Times New Roman" w:eastAsia="宋体" w:cs="Times New Roman"/>
      <w:b/>
      <w:bCs/>
      <w:sz w:val="32"/>
      <w:szCs w:val="32"/>
    </w:rPr>
  </w:style>
  <w:style w:type="character" w:customStyle="1" w:styleId="204">
    <w:name w:val="标题 4 字符1"/>
    <w:basedOn w:val="33"/>
    <w:semiHidden/>
    <w:qFormat/>
    <w:uiPriority w:val="9"/>
    <w:rPr>
      <w:rFonts w:asciiTheme="majorHAnsi" w:hAnsiTheme="majorHAnsi" w:eastAsiaTheme="majorEastAsia" w:cstheme="majorBidi"/>
      <w:b/>
      <w:bCs/>
      <w:sz w:val="28"/>
      <w:szCs w:val="28"/>
    </w:rPr>
  </w:style>
  <w:style w:type="character" w:customStyle="1" w:styleId="205">
    <w:name w:val="标题 5 字符1"/>
    <w:basedOn w:val="33"/>
    <w:semiHidden/>
    <w:qFormat/>
    <w:uiPriority w:val="9"/>
    <w:rPr>
      <w:rFonts w:ascii="Times New Roman" w:hAnsi="Times New Roman" w:eastAsia="宋体" w:cs="Times New Roman"/>
      <w:b/>
      <w:bCs/>
      <w:sz w:val="28"/>
      <w:szCs w:val="28"/>
    </w:rPr>
  </w:style>
  <w:style w:type="character" w:customStyle="1" w:styleId="206">
    <w:name w:val="标题 6 字符1"/>
    <w:basedOn w:val="33"/>
    <w:semiHidden/>
    <w:qFormat/>
    <w:uiPriority w:val="9"/>
    <w:rPr>
      <w:rFonts w:asciiTheme="majorHAnsi" w:hAnsiTheme="majorHAnsi" w:eastAsiaTheme="majorEastAsia" w:cstheme="majorBidi"/>
      <w:b/>
      <w:bCs/>
      <w:sz w:val="24"/>
      <w:szCs w:val="24"/>
    </w:rPr>
  </w:style>
  <w:style w:type="character" w:customStyle="1" w:styleId="207">
    <w:name w:val="标题 7 字符1"/>
    <w:basedOn w:val="33"/>
    <w:semiHidden/>
    <w:qFormat/>
    <w:uiPriority w:val="9"/>
    <w:rPr>
      <w:rFonts w:ascii="Times New Roman" w:hAnsi="Times New Roman" w:eastAsia="宋体" w:cs="Times New Roman"/>
      <w:b/>
      <w:bCs/>
      <w:sz w:val="24"/>
      <w:szCs w:val="24"/>
    </w:rPr>
  </w:style>
  <w:style w:type="character" w:customStyle="1" w:styleId="208">
    <w:name w:val="标题 8 字符1"/>
    <w:basedOn w:val="33"/>
    <w:semiHidden/>
    <w:qFormat/>
    <w:uiPriority w:val="9"/>
    <w:rPr>
      <w:rFonts w:asciiTheme="majorHAnsi" w:hAnsiTheme="majorHAnsi" w:eastAsiaTheme="majorEastAsia" w:cstheme="majorBidi"/>
      <w:sz w:val="24"/>
      <w:szCs w:val="24"/>
    </w:rPr>
  </w:style>
  <w:style w:type="character" w:customStyle="1" w:styleId="209">
    <w:name w:val="标题 9 字符1"/>
    <w:basedOn w:val="33"/>
    <w:semiHidden/>
    <w:qFormat/>
    <w:uiPriority w:val="9"/>
    <w:rPr>
      <w:rFonts w:asciiTheme="majorHAnsi" w:hAnsiTheme="majorHAnsi" w:eastAsiaTheme="majorEastAsia" w:cstheme="majorBidi"/>
      <w:szCs w:val="21"/>
    </w:rPr>
  </w:style>
  <w:style w:type="character" w:customStyle="1" w:styleId="210">
    <w:name w:val="文档结构图 字符1"/>
    <w:basedOn w:val="33"/>
    <w:link w:val="13"/>
    <w:semiHidden/>
    <w:qFormat/>
    <w:uiPriority w:val="99"/>
    <w:rPr>
      <w:rFonts w:ascii="Microsoft YaHei UI" w:hAnsi="Times New Roman" w:eastAsia="Microsoft YaHei UI" w:cs="Times New Roman"/>
      <w:sz w:val="18"/>
      <w:szCs w:val="18"/>
    </w:rPr>
  </w:style>
  <w:style w:type="character" w:customStyle="1" w:styleId="211">
    <w:name w:val="批注框文本 字符1"/>
    <w:basedOn w:val="33"/>
    <w:link w:val="20"/>
    <w:semiHidden/>
    <w:qFormat/>
    <w:uiPriority w:val="99"/>
    <w:rPr>
      <w:rFonts w:ascii="Times New Roman" w:hAnsi="Times New Roman" w:eastAsia="宋体" w:cs="Times New Roman"/>
      <w:sz w:val="18"/>
      <w:szCs w:val="18"/>
    </w:rPr>
  </w:style>
  <w:style w:type="character" w:customStyle="1" w:styleId="212">
    <w:name w:val="信息标题 字符1"/>
    <w:basedOn w:val="33"/>
    <w:link w:val="26"/>
    <w:semiHidden/>
    <w:qFormat/>
    <w:uiPriority w:val="99"/>
    <w:rPr>
      <w:rFonts w:asciiTheme="majorHAnsi" w:hAnsiTheme="majorHAnsi" w:eastAsiaTheme="majorEastAsia" w:cstheme="majorBidi"/>
      <w:sz w:val="24"/>
      <w:szCs w:val="24"/>
      <w:shd w:val="pct20" w:color="auto" w:fill="auto"/>
    </w:rPr>
  </w:style>
  <w:style w:type="paragraph" w:customStyle="1" w:styleId="213">
    <w:name w:val="TOC 标题2"/>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Cs w:val="32"/>
    </w:rPr>
  </w:style>
  <w:style w:type="table" w:customStyle="1" w:styleId="214">
    <w:name w:val="网格型4"/>
    <w:basedOn w:val="3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215">
    <w:name w:val="未处理的提及4"/>
    <w:basedOn w:val="3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5" Type="http://schemas.openxmlformats.org/officeDocument/2006/relationships/fontTable" Target="fontTable.xml"/><Relationship Id="rId54" Type="http://schemas.openxmlformats.org/officeDocument/2006/relationships/customXml" Target="../customXml/item1.xml"/><Relationship Id="rId53" Type="http://schemas.openxmlformats.org/officeDocument/2006/relationships/numbering" Target="numbering.xml"/><Relationship Id="rId52" Type="http://schemas.openxmlformats.org/officeDocument/2006/relationships/image" Target="media/image37.jpeg"/><Relationship Id="rId51" Type="http://schemas.openxmlformats.org/officeDocument/2006/relationships/image" Target="media/image36.png"/><Relationship Id="rId50" Type="http://schemas.openxmlformats.org/officeDocument/2006/relationships/image" Target="media/image35.png"/><Relationship Id="rId5" Type="http://schemas.openxmlformats.org/officeDocument/2006/relationships/footer" Target="footer3.xml"/><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png"/><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png"/><Relationship Id="rId43" Type="http://schemas.openxmlformats.org/officeDocument/2006/relationships/image" Target="media/image28.jpeg"/><Relationship Id="rId42" Type="http://schemas.openxmlformats.org/officeDocument/2006/relationships/image" Target="media/image27.png"/><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footer" Target="footer2.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png"/><Relationship Id="rId35" Type="http://schemas.openxmlformats.org/officeDocument/2006/relationships/image" Target="media/image20.pn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wmf"/><Relationship Id="rId31" Type="http://schemas.openxmlformats.org/officeDocument/2006/relationships/oleObject" Target="embeddings/oleObject5.bin"/><Relationship Id="rId30" Type="http://schemas.openxmlformats.org/officeDocument/2006/relationships/image" Target="media/image16.png"/><Relationship Id="rId3" Type="http://schemas.openxmlformats.org/officeDocument/2006/relationships/footer" Target="footer1.xml"/><Relationship Id="rId29" Type="http://schemas.openxmlformats.org/officeDocument/2006/relationships/image" Target="media/image15.png"/><Relationship Id="rId28" Type="http://schemas.openxmlformats.org/officeDocument/2006/relationships/image" Target="media/image14.png"/><Relationship Id="rId27" Type="http://schemas.openxmlformats.org/officeDocument/2006/relationships/image" Target="media/image13.png"/><Relationship Id="rId26" Type="http://schemas.openxmlformats.org/officeDocument/2006/relationships/image" Target="media/image12.png"/><Relationship Id="rId25" Type="http://schemas.openxmlformats.org/officeDocument/2006/relationships/image" Target="media/image11.png"/><Relationship Id="rId24" Type="http://schemas.openxmlformats.org/officeDocument/2006/relationships/image" Target="media/image10.jpeg"/><Relationship Id="rId23" Type="http://schemas.openxmlformats.org/officeDocument/2006/relationships/image" Target="media/image9.emf"/><Relationship Id="rId22" Type="http://schemas.openxmlformats.org/officeDocument/2006/relationships/oleObject" Target="embeddings/oleObject4.bin"/><Relationship Id="rId21" Type="http://schemas.openxmlformats.org/officeDocument/2006/relationships/image" Target="media/image8.png"/><Relationship Id="rId20" Type="http://schemas.openxmlformats.org/officeDocument/2006/relationships/image" Target="media/image7.png"/><Relationship Id="rId2" Type="http://schemas.openxmlformats.org/officeDocument/2006/relationships/settings" Target="settings.xml"/><Relationship Id="rId19" Type="http://schemas.openxmlformats.org/officeDocument/2006/relationships/image" Target="media/image6.emf"/><Relationship Id="rId18" Type="http://schemas.openxmlformats.org/officeDocument/2006/relationships/oleObject" Target="embeddings/oleObject3.bin"/><Relationship Id="rId17" Type="http://schemas.openxmlformats.org/officeDocument/2006/relationships/image" Target="media/image5.emf"/><Relationship Id="rId16" Type="http://schemas.openxmlformats.org/officeDocument/2006/relationships/package" Target="embeddings/Microsoft_Visio___1.vsdx"/><Relationship Id="rId15" Type="http://schemas.openxmlformats.org/officeDocument/2006/relationships/image" Target="media/image4.emf"/><Relationship Id="rId14" Type="http://schemas.openxmlformats.org/officeDocument/2006/relationships/oleObject" Target="embeddings/oleObject2.bin"/><Relationship Id="rId13" Type="http://schemas.openxmlformats.org/officeDocument/2006/relationships/image" Target="media/image3.emf"/><Relationship Id="rId12" Type="http://schemas.openxmlformats.org/officeDocument/2006/relationships/oleObject" Target="embeddings/oleObject1.bin"/><Relationship Id="rId11" Type="http://schemas.openxmlformats.org/officeDocument/2006/relationships/image" Target="media/image2.jpeg"/><Relationship Id="rId10" Type="http://schemas.openxmlformats.org/officeDocument/2006/relationships/image" Target="media/image1.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79BD47-8B12-4584-8449-B379617A869E}">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76</Pages>
  <Words>133</Words>
  <Characters>133</Characters>
  <Lines>2782</Lines>
  <Paragraphs>2418</Paragraphs>
  <TotalTime>3255</TotalTime>
  <ScaleCrop>false</ScaleCrop>
  <LinksUpToDate>false</LinksUpToDate>
  <CharactersWithSpaces>213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2025-04-23T07:32:00Z</dcterms:created>
  <dc:creator>张乐</dc:creator>
  <cp:lastModifiedBy>Coco</cp:lastModifiedBy>
  <cp:lastPrinted>2022-08-11T06:35:00Z</cp:lastPrinted>
  <dcterms:modified xsi:type="dcterms:W3CDTF">2026-08-11T08:20:43Z</dcterms:modified>
  <cp:revision>180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203DDB4870D34B5E8F4AA7A489A9F15C_13</vt:lpwstr>
  </property>
  <property fmtid="{D5CDD505-2E9C-101B-9397-08002B2CF9AE}" pid="4" name="KSOTemplateDocerSaveRecord">
    <vt:lpwstr>eyJoZGlkIjoiZGMyN2E2MTRmYjM2NzM2N2YwMzQyOWU3MDQxMjhiZDciLCJ1c2VySWQiOiIyNDY1NDUzNzIifQ==</vt:lpwstr>
  </property>
</Properties>
</file>