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color w:val="000000"/>
                <w:szCs w:val="21"/>
                <w:lang w:eastAsia="zh-CN"/>
              </w:rPr>
              <w:t>杭锦旗聚能能源有限公司油房壕煤矿燃煤锅炉项目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东胜区泊尔江海子镇杭锦旗聚能能源有限公司油房壕煤矿工业场地范围内</w:t>
            </w:r>
          </w:p>
        </w:tc>
        <w:tc>
          <w:tcPr>
            <w:tcW w:w="465" w:type="dxa"/>
            <w:vAlign w:val="center"/>
          </w:tcPr>
          <w:p w14:paraId="25BCC080">
            <w:pPr>
              <w:spacing w:line="600" w:lineRule="exact"/>
              <w:jc w:val="center"/>
              <w:rPr>
                <w:color w:val="000000"/>
                <w:szCs w:val="21"/>
              </w:rPr>
            </w:pPr>
            <w:r>
              <w:rPr>
                <w:rFonts w:hint="eastAsia"/>
                <w:color w:val="000000"/>
                <w:szCs w:val="21"/>
              </w:rPr>
              <w:t>杭锦旗聚能能源有限公司</w:t>
            </w:r>
          </w:p>
        </w:tc>
        <w:tc>
          <w:tcPr>
            <w:tcW w:w="675" w:type="dxa"/>
            <w:vAlign w:val="center"/>
          </w:tcPr>
          <w:p w14:paraId="5D04F640">
            <w:pPr>
              <w:spacing w:line="600" w:lineRule="exact"/>
              <w:jc w:val="center"/>
              <w:rPr>
                <w:color w:val="000000"/>
                <w:szCs w:val="21"/>
              </w:rPr>
            </w:pPr>
            <w:r>
              <w:rPr>
                <w:rFonts w:hint="eastAsia"/>
                <w:color w:val="000000"/>
                <w:szCs w:val="21"/>
              </w:rPr>
              <w:t>内蒙古碳资产节能环保科技有限公司</w:t>
            </w:r>
          </w:p>
        </w:tc>
        <w:tc>
          <w:tcPr>
            <w:tcW w:w="2555" w:type="dxa"/>
            <w:vAlign w:val="center"/>
          </w:tcPr>
          <w:p w14:paraId="1E3B0534">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一、该项目属于改扩建项目，位于东胜区泊尔江海子镇杭锦旗聚能能源有限公司油房壕煤矿工业场地范围内。项目总占地面积4170平方米，总投资4000万元，其中环保投资455万元。主要建设内容及规模：</w:t>
            </w:r>
            <w:bookmarkStart w:id="0" w:name="_Hlk200720235"/>
            <w:r>
              <w:rPr>
                <w:rFonts w:hint="default"/>
                <w:color w:val="000000"/>
                <w:szCs w:val="21"/>
                <w:lang w:val="en-US" w:eastAsia="zh-CN"/>
              </w:rPr>
              <w:t>原环评及批复（内环审〔2014〕190号）中2台20t/h（SZL20-1.25-AⅢ型）、1台10t/h（SZL10-1.25-AⅢ型）燃煤蒸汽锅炉未建设，本次改扩建为3台20t/h（SZL20-1.25-AⅡ型）燃煤蒸汽锅炉（采暖期均运行，非采暖期只运行1台）,新建1座30平方米危废贮存库，仅用于暂存脱硝工艺产生的废催化剂，并配套建设相关公辅工程、储运工程和环保工程</w:t>
            </w:r>
            <w:bookmarkEnd w:id="0"/>
            <w:r>
              <w:rPr>
                <w:rFonts w:hint="default"/>
                <w:color w:val="000000"/>
                <w:szCs w:val="21"/>
                <w:lang w:val="en-US" w:eastAsia="zh-CN"/>
              </w:rPr>
              <w:t>。</w:t>
            </w:r>
          </w:p>
          <w:p w14:paraId="1C62A9FF">
            <w:pPr>
              <w:spacing w:line="360" w:lineRule="auto"/>
              <w:ind w:firstLine="420" w:firstLineChars="200"/>
              <w:rPr>
                <w:color w:val="000000"/>
                <w:szCs w:val="21"/>
              </w:rPr>
            </w:pPr>
          </w:p>
        </w:tc>
        <w:tc>
          <w:tcPr>
            <w:tcW w:w="4877" w:type="dxa"/>
            <w:vAlign w:val="center"/>
          </w:tcPr>
          <w:p w14:paraId="3E6FD0A6">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C51DC3F">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1A2B68B8">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1DE0D85C">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3EE78B33">
            <w:pPr>
              <w:spacing w:line="360" w:lineRule="auto"/>
              <w:jc w:val="left"/>
              <w:rPr>
                <w:rFonts w:hint="eastAsia"/>
                <w:color w:val="000000"/>
                <w:szCs w:val="21"/>
                <w:lang w:val="en-US" w:eastAsia="zh-CN"/>
              </w:rPr>
            </w:pPr>
            <w:r>
              <w:rPr>
                <w:rFonts w:hint="eastAsia"/>
                <w:color w:val="000000"/>
                <w:szCs w:val="21"/>
                <w:lang w:val="en-US" w:eastAsia="zh-CN"/>
              </w:rPr>
              <w:t>2、施工人员生活污水经</w:t>
            </w:r>
            <w:r>
              <w:rPr>
                <w:rFonts w:hint="eastAsia"/>
                <w:color w:val="000000"/>
                <w:szCs w:val="21"/>
              </w:rPr>
              <w:t>收集后排</w:t>
            </w:r>
            <w:r>
              <w:rPr>
                <w:rFonts w:hint="eastAsia"/>
                <w:color w:val="000000"/>
                <w:szCs w:val="21"/>
                <w:lang w:eastAsia="zh-CN"/>
              </w:rPr>
              <w:t>至</w:t>
            </w:r>
            <w:r>
              <w:rPr>
                <w:rFonts w:hint="eastAsia"/>
                <w:color w:val="000000"/>
                <w:szCs w:val="21"/>
              </w:rPr>
              <w:t>工业场地生活污水处理站处理。</w:t>
            </w:r>
          </w:p>
          <w:p w14:paraId="54343307">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00656749">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457A0FA6">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53341B2A">
            <w:pPr>
              <w:spacing w:line="360" w:lineRule="auto"/>
              <w:jc w:val="left"/>
              <w:rPr>
                <w:rFonts w:hint="eastAsia"/>
                <w:color w:val="000000"/>
                <w:szCs w:val="21"/>
                <w:lang w:val="en-US" w:eastAsia="zh-CN"/>
              </w:rPr>
            </w:pPr>
            <w:r>
              <w:rPr>
                <w:rFonts w:hint="eastAsia"/>
                <w:color w:val="000000"/>
                <w:szCs w:val="21"/>
                <w:lang w:val="en-US" w:eastAsia="zh-CN"/>
              </w:rPr>
              <w:t>1、大气污染防治措施。运营期</w:t>
            </w:r>
            <w:r>
              <w:rPr>
                <w:rFonts w:hint="eastAsia"/>
                <w:color w:val="000000"/>
                <w:szCs w:val="21"/>
              </w:rPr>
              <w:t>锅炉废气经</w:t>
            </w:r>
            <w:r>
              <w:rPr>
                <w:rFonts w:hint="eastAsia"/>
                <w:color w:val="000000"/>
                <w:szCs w:val="21"/>
                <w:lang w:eastAsia="zh-CN"/>
              </w:rPr>
              <w:t>SNCR+SCR+旋风除尘+袋式除尘+氧化镁湿法脱硫</w:t>
            </w:r>
            <w:r>
              <w:rPr>
                <w:rFonts w:hint="eastAsia"/>
                <w:color w:val="000000"/>
                <w:szCs w:val="21"/>
                <w:lang w:val="en-US" w:eastAsia="zh-CN"/>
              </w:rPr>
              <w:t>技术</w:t>
            </w:r>
            <w:r>
              <w:rPr>
                <w:rFonts w:hint="eastAsia"/>
                <w:color w:val="000000"/>
                <w:szCs w:val="21"/>
                <w:lang w:eastAsia="zh-CN"/>
              </w:rPr>
              <w:t>处理后</w:t>
            </w:r>
            <w:r>
              <w:rPr>
                <w:rFonts w:hint="eastAsia"/>
                <w:color w:val="000000"/>
                <w:szCs w:val="21"/>
                <w:lang w:val="en-US" w:eastAsia="zh-CN"/>
              </w:rPr>
              <w:t>由</w:t>
            </w:r>
            <w:r>
              <w:rPr>
                <w:rFonts w:hint="eastAsia"/>
                <w:color w:val="000000"/>
                <w:szCs w:val="21"/>
              </w:rPr>
              <w:t>1根</w:t>
            </w:r>
            <w:r>
              <w:rPr>
                <w:rFonts w:hint="eastAsia"/>
                <w:color w:val="000000"/>
                <w:szCs w:val="21"/>
                <w:lang w:val="en-US" w:eastAsia="zh-CN"/>
              </w:rPr>
              <w:t>45</w:t>
            </w:r>
            <w:r>
              <w:rPr>
                <w:rFonts w:hint="eastAsia"/>
                <w:color w:val="000000"/>
                <w:szCs w:val="21"/>
              </w:rPr>
              <w:t>米高排气筒排放，执行《锅炉大气污染排放标准》（GB13271-2014）表2中燃</w:t>
            </w:r>
            <w:r>
              <w:rPr>
                <w:rFonts w:hint="eastAsia"/>
                <w:color w:val="000000"/>
                <w:szCs w:val="21"/>
                <w:lang w:eastAsia="zh-CN"/>
              </w:rPr>
              <w:t>煤</w:t>
            </w:r>
            <w:r>
              <w:rPr>
                <w:rFonts w:hint="eastAsia"/>
                <w:color w:val="000000"/>
                <w:szCs w:val="21"/>
              </w:rPr>
              <w:t>锅炉污染物排放限值。</w:t>
            </w:r>
            <w:r>
              <w:rPr>
                <w:rFonts w:hint="eastAsia"/>
                <w:color w:val="000000"/>
                <w:szCs w:val="21"/>
                <w:lang w:val="en-US" w:eastAsia="zh-CN"/>
              </w:rPr>
              <w:t>脱硝工段中SCR氨逃逸参照执行《火电厂烟气脱硝工程技术规范 选择性催化还原法》（HJ563-2010）标准限值。</w:t>
            </w:r>
            <w:r>
              <w:rPr>
                <w:rFonts w:hint="eastAsia"/>
                <w:color w:val="000000"/>
                <w:szCs w:val="21"/>
                <w:lang w:eastAsia="zh-CN"/>
              </w:rPr>
              <w:t>煤仓、渣仓、</w:t>
            </w:r>
            <w:r>
              <w:rPr>
                <w:rFonts w:hint="eastAsia"/>
                <w:color w:val="000000"/>
                <w:szCs w:val="21"/>
              </w:rPr>
              <w:t>输煤栈桥</w:t>
            </w:r>
            <w:r>
              <w:rPr>
                <w:rFonts w:hint="eastAsia"/>
                <w:color w:val="000000"/>
                <w:szCs w:val="21"/>
                <w:lang w:eastAsia="zh-CN"/>
              </w:rPr>
              <w:t>全封闭，</w:t>
            </w:r>
            <w:r>
              <w:rPr>
                <w:rFonts w:hint="eastAsia"/>
                <w:color w:val="000000"/>
                <w:szCs w:val="21"/>
                <w:lang w:val="en-US" w:eastAsia="zh-CN"/>
              </w:rPr>
              <w:t>废气无组织排放执行《煤炭工业污染物排放标准》（GB20426-2006）表5煤炭工业无组织排放限值。</w:t>
            </w:r>
          </w:p>
          <w:p w14:paraId="71F6B465">
            <w:pPr>
              <w:spacing w:line="360" w:lineRule="auto"/>
              <w:jc w:val="left"/>
              <w:rPr>
                <w:rFonts w:hint="eastAsia"/>
                <w:color w:val="000000"/>
                <w:szCs w:val="21"/>
                <w:lang w:eastAsia="zh-CN"/>
              </w:rPr>
            </w:pPr>
            <w:r>
              <w:rPr>
                <w:rFonts w:hint="eastAsia"/>
                <w:color w:val="000000"/>
                <w:szCs w:val="21"/>
                <w:lang w:val="en-US" w:eastAsia="zh-CN"/>
              </w:rPr>
              <w:t>2、水污染防治措施。运营期不新增生活污水。软水制备排污水和锅炉排污水用于脱硫系统补充水，</w:t>
            </w:r>
            <w:r>
              <w:rPr>
                <w:rFonts w:hint="eastAsia"/>
                <w:color w:val="000000"/>
                <w:szCs w:val="21"/>
                <w:lang w:eastAsia="zh-CN"/>
              </w:rPr>
              <w:t>脱硫废水</w:t>
            </w:r>
            <w:r>
              <w:rPr>
                <w:rFonts w:hint="eastAsia"/>
                <w:color w:val="000000"/>
                <w:szCs w:val="21"/>
                <w:lang w:val="en-US" w:eastAsia="zh-CN"/>
              </w:rPr>
              <w:t>经沉淀池</w:t>
            </w:r>
            <w:r>
              <w:rPr>
                <w:rFonts w:hint="eastAsia"/>
                <w:color w:val="000000"/>
                <w:szCs w:val="21"/>
                <w:lang w:eastAsia="zh-CN"/>
              </w:rPr>
              <w:t>沉淀后回用，不外排。</w:t>
            </w:r>
          </w:p>
          <w:p w14:paraId="5FA0DC44">
            <w:pPr>
              <w:spacing w:line="360" w:lineRule="auto"/>
              <w:jc w:val="left"/>
              <w:rPr>
                <w:rFonts w:hint="eastAsia"/>
                <w:color w:val="000000"/>
                <w:szCs w:val="21"/>
              </w:rPr>
            </w:pPr>
            <w:r>
              <w:rPr>
                <w:rFonts w:hint="eastAsia"/>
                <w:color w:val="000000"/>
                <w:szCs w:val="21"/>
                <w:lang w:val="en-US" w:eastAsia="zh-CN"/>
              </w:rPr>
              <w:t>3、噪声污染防治措施。通过采取选用低噪声设备，厂房隔声，基础减振等措施，确保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21D18807">
            <w:pPr>
              <w:spacing w:line="360" w:lineRule="auto"/>
              <w:jc w:val="left"/>
              <w:rPr>
                <w:rFonts w:hint="eastAsia"/>
                <w:color w:val="000000"/>
                <w:szCs w:val="21"/>
              </w:rPr>
            </w:pPr>
            <w:r>
              <w:rPr>
                <w:rFonts w:hint="eastAsia"/>
                <w:color w:val="000000"/>
                <w:szCs w:val="21"/>
                <w:lang w:val="en-US" w:eastAsia="zh-CN"/>
              </w:rPr>
              <w:t>4、固废污染防治措施。</w:t>
            </w:r>
            <w:r>
              <w:rPr>
                <w:rFonts w:hint="eastAsia"/>
                <w:color w:val="000000"/>
                <w:szCs w:val="21"/>
              </w:rPr>
              <w:t>妥善处置各类固体废弃物。建设单位须严格按照《一般工业固体废物贮存和填埋污染控制标准》（GB18599-2020）处置一般固废，不得乱弃。</w:t>
            </w:r>
            <w:r>
              <w:rPr>
                <w:rFonts w:hint="eastAsia"/>
                <w:color w:val="000000"/>
                <w:szCs w:val="21"/>
                <w:lang w:val="en-US" w:eastAsia="zh-CN"/>
              </w:rPr>
              <w:t>危废贮存库</w:t>
            </w:r>
            <w:r>
              <w:rPr>
                <w:rFonts w:hint="eastAsia"/>
                <w:color w:val="000000"/>
                <w:szCs w:val="21"/>
              </w:rPr>
              <w:t>须严格按照《危险废物贮存污染控制标准》（GB18597-2023）进行设计、建设和管理。危险废物收集和运输等均按照《危险废物收集 贮存 运输技术规范》(HJ2025-2012)要求执行。危废必须由有资质单位处置。</w:t>
            </w:r>
          </w:p>
          <w:p w14:paraId="4C60C97C">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2B6B9F94">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28D0F730">
            <w:pPr>
              <w:spacing w:line="360" w:lineRule="auto"/>
              <w:jc w:val="left"/>
              <w:rPr>
                <w:rFonts w:hint="eastAsia"/>
                <w:color w:val="000000"/>
                <w:szCs w:val="21"/>
                <w:lang w:val="en-US" w:eastAsia="zh-CN"/>
              </w:rPr>
            </w:pPr>
            <w:r>
              <w:rPr>
                <w:rFonts w:hint="eastAsia"/>
                <w:color w:val="000000"/>
                <w:szCs w:val="21"/>
                <w:lang w:val="en-US" w:eastAsia="zh-CN"/>
              </w:rPr>
              <w:t>三、本项目申请氮氧化物总量为8.76吨/年（鄂环气字〔2025〕48号）。</w:t>
            </w:r>
          </w:p>
          <w:p w14:paraId="7D4DEA5E">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14:paraId="74FB0B69">
            <w:pPr>
              <w:spacing w:line="360" w:lineRule="auto"/>
              <w:jc w:val="left"/>
              <w:rPr>
                <w:rFonts w:hint="eastAsia"/>
                <w:color w:val="000000"/>
                <w:szCs w:val="21"/>
              </w:rPr>
            </w:pPr>
            <w:r>
              <w:rPr>
                <w:rFonts w:hint="eastAsia"/>
                <w:color w:val="000000"/>
                <w:szCs w:val="21"/>
                <w:lang w:val="en-US" w:eastAsia="zh-CN"/>
              </w:rPr>
              <w:t>五、</w:t>
            </w:r>
            <w:bookmarkStart w:id="1" w:name="_GoBack"/>
            <w:bookmarkEnd w:id="1"/>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796D706F">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23022A8E"/>
    <w:rsid w:val="3E062DA7"/>
    <w:rsid w:val="43DC2BDE"/>
    <w:rsid w:val="44A80449"/>
    <w:rsid w:val="497150DD"/>
    <w:rsid w:val="49D847BF"/>
    <w:rsid w:val="4A7E49A9"/>
    <w:rsid w:val="4AD11E12"/>
    <w:rsid w:val="4DE41872"/>
    <w:rsid w:val="54973A8B"/>
    <w:rsid w:val="59565E50"/>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table of figures"/>
    <w:basedOn w:val="1"/>
    <w:next w:val="1"/>
    <w:qFormat/>
    <w:uiPriority w:val="0"/>
    <w:pPr>
      <w:ind w:left="200" w:leftChars="200" w:hanging="200" w:hangingChars="200"/>
    </w:pPr>
  </w:style>
  <w:style w:type="paragraph" w:styleId="4">
    <w:name w:val="annotation text"/>
    <w:basedOn w:val="1"/>
    <w:next w:val="1"/>
    <w:qFormat/>
    <w:uiPriority w:val="0"/>
    <w:pPr>
      <w:jc w:val="left"/>
    </w:pPr>
  </w:style>
  <w:style w:type="paragraph" w:styleId="5">
    <w:name w:val="Body Text"/>
    <w:basedOn w:val="1"/>
    <w:next w:val="6"/>
    <w:qFormat/>
    <w:uiPriority w:val="99"/>
    <w:pPr>
      <w:spacing w:after="120"/>
    </w:pPr>
    <w:rPr>
      <w:rFonts w:ascii="Calibri" w:hAnsi="Calibri"/>
      <w:szCs w:val="22"/>
    </w:rPr>
  </w:style>
  <w:style w:type="paragraph" w:customStyle="1" w:styleId="6">
    <w:name w:val="xl27"/>
    <w:basedOn w:val="1"/>
    <w:next w:val="4"/>
    <w:qFormat/>
    <w:uiPriority w:val="0"/>
    <w:pPr>
      <w:widowControl/>
      <w:spacing w:before="280" w:after="280"/>
      <w:jc w:val="center"/>
    </w:pPr>
    <w:rPr>
      <w:rFonts w:hAnsi="宋体" w:cs="宋体"/>
    </w:rPr>
  </w:style>
  <w:style w:type="paragraph" w:styleId="7">
    <w:name w:val="Body Text Indent"/>
    <w:basedOn w:val="1"/>
    <w:qFormat/>
    <w:uiPriority w:val="99"/>
    <w:pPr>
      <w:ind w:left="420" w:leftChars="200"/>
    </w:pPr>
  </w:style>
  <w:style w:type="paragraph" w:styleId="8">
    <w:name w:val="footer"/>
    <w:basedOn w:val="1"/>
    <w:link w:val="2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styleId="12">
    <w:name w:val="Body Text First Indent 2"/>
    <w:basedOn w:val="7"/>
    <w:next w:val="1"/>
    <w:qFormat/>
    <w:uiPriority w:val="99"/>
    <w:pPr>
      <w:spacing w:line="240" w:lineRule="auto"/>
      <w:ind w:firstLine="420"/>
    </w:pPr>
  </w:style>
  <w:style w:type="paragraph" w:customStyle="1" w:styleId="15">
    <w:name w:val="Default"/>
    <w:basedOn w:val="16"/>
    <w:next w:val="17"/>
    <w:qFormat/>
    <w:uiPriority w:val="0"/>
    <w:pPr>
      <w:adjustRightInd w:val="0"/>
    </w:pPr>
    <w:rPr>
      <w:rFonts w:ascii="宋体" w:cs="宋体"/>
      <w:color w:val="000000"/>
      <w:sz w:val="24"/>
      <w:lang w:val="en-US"/>
    </w:rPr>
  </w:style>
  <w:style w:type="paragraph" w:customStyle="1" w:styleId="16">
    <w:name w:val="文本"/>
    <w:basedOn w:val="1"/>
    <w:next w:val="1"/>
    <w:qFormat/>
    <w:uiPriority w:val="0"/>
    <w:pPr>
      <w:autoSpaceDE w:val="0"/>
      <w:autoSpaceDN w:val="0"/>
      <w:ind w:firstLine="480"/>
    </w:pPr>
    <w:rPr>
      <w:lang w:val="zh-CN"/>
    </w:rPr>
  </w:style>
  <w:style w:type="paragraph" w:customStyle="1" w:styleId="17">
    <w:name w:val="表格文字"/>
    <w:basedOn w:val="5"/>
    <w:next w:val="1"/>
    <w:qFormat/>
    <w:uiPriority w:val="0"/>
    <w:pPr>
      <w:jc w:val="center"/>
    </w:pPr>
    <w:rPr>
      <w:rFonts w:ascii="Arial Narrow" w:hAnsi="Arial Narrow" w:eastAsia="汉鼎简书宋"/>
    </w:rPr>
  </w:style>
  <w:style w:type="paragraph" w:customStyle="1" w:styleId="1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9">
    <w:name w:val="页眉 字符"/>
    <w:basedOn w:val="14"/>
    <w:link w:val="9"/>
    <w:autoRedefine/>
    <w:qFormat/>
    <w:uiPriority w:val="99"/>
    <w:rPr>
      <w:sz w:val="18"/>
      <w:szCs w:val="18"/>
    </w:rPr>
  </w:style>
  <w:style w:type="character" w:customStyle="1" w:styleId="20">
    <w:name w:val="页脚 字符"/>
    <w:basedOn w:val="14"/>
    <w:link w:val="8"/>
    <w:autoRedefine/>
    <w:qFormat/>
    <w:uiPriority w:val="99"/>
    <w:rPr>
      <w:sz w:val="18"/>
      <w:szCs w:val="18"/>
    </w:rPr>
  </w:style>
  <w:style w:type="character" w:customStyle="1" w:styleId="21">
    <w:name w:val="NormalCharacter"/>
    <w:autoRedefine/>
    <w:semiHidden/>
    <w:qFormat/>
    <w:uiPriority w:val="99"/>
  </w:style>
  <w:style w:type="paragraph" w:customStyle="1" w:styleId="22">
    <w:name w:val="图表"/>
    <w:basedOn w:val="7"/>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1679</Words>
  <Characters>1805</Characters>
  <Lines>11</Lines>
  <Paragraphs>3</Paragraphs>
  <TotalTime>0</TotalTime>
  <ScaleCrop>false</ScaleCrop>
  <LinksUpToDate>false</LinksUpToDate>
  <CharactersWithSpaces>1865</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2025-08-26T01:38:05Z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eyJoZGlkIjoiZGMyN2E2MTRmYjM2NzM2N2YwMzQyOWU3MDQxMjhiZDciLCJ1c2VySWQiOiIzMzQyNjE5NjcifQ==</vt:lpwstr>
  </property>
</Properties>
</file>