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AA984">
      <w:pPr>
        <w:snapToGrid w:val="0"/>
        <w:spacing w:line="580" w:lineRule="exact"/>
        <w:jc w:val="center"/>
        <w:rPr>
          <w:rStyle w:val="19"/>
          <w:rFonts w:ascii="仿宋_GB2312" w:eastAsia="仿宋_GB2312"/>
          <w:color w:val="auto"/>
          <w:sz w:val="32"/>
          <w:szCs w:val="32"/>
        </w:rPr>
      </w:pPr>
    </w:p>
    <w:p w14:paraId="475B8270">
      <w:pPr>
        <w:snapToGrid w:val="0"/>
        <w:spacing w:line="580" w:lineRule="exact"/>
        <w:jc w:val="center"/>
        <w:rPr>
          <w:rStyle w:val="19"/>
          <w:rFonts w:ascii="仿宋_GB2312" w:eastAsia="仿宋_GB2312"/>
          <w:color w:val="auto"/>
          <w:sz w:val="32"/>
          <w:szCs w:val="32"/>
        </w:rPr>
      </w:pPr>
    </w:p>
    <w:p w14:paraId="6D4E8DA1">
      <w:pPr>
        <w:snapToGrid w:val="0"/>
        <w:spacing w:line="580" w:lineRule="exact"/>
        <w:jc w:val="center"/>
        <w:rPr>
          <w:rStyle w:val="19"/>
          <w:rFonts w:ascii="仿宋_GB2312" w:eastAsia="仿宋_GB2312"/>
          <w:color w:val="auto"/>
          <w:sz w:val="32"/>
          <w:szCs w:val="32"/>
        </w:rPr>
      </w:pPr>
    </w:p>
    <w:p w14:paraId="7DAF7F46">
      <w:pPr>
        <w:snapToGrid w:val="0"/>
        <w:spacing w:line="580" w:lineRule="exact"/>
        <w:jc w:val="center"/>
        <w:rPr>
          <w:rStyle w:val="19"/>
          <w:rFonts w:ascii="仿宋_GB2312" w:eastAsia="仿宋_GB2312"/>
          <w:color w:val="auto"/>
          <w:sz w:val="32"/>
          <w:szCs w:val="32"/>
        </w:rPr>
      </w:pPr>
    </w:p>
    <w:p w14:paraId="40D5A416">
      <w:pPr>
        <w:snapToGrid w:val="0"/>
        <w:spacing w:line="580" w:lineRule="exact"/>
        <w:jc w:val="center"/>
        <w:rPr>
          <w:rStyle w:val="19"/>
          <w:rFonts w:ascii="仿宋_GB2312" w:eastAsia="仿宋_GB2312"/>
          <w:color w:val="auto"/>
          <w:sz w:val="32"/>
          <w:szCs w:val="32"/>
        </w:rPr>
      </w:pPr>
    </w:p>
    <w:p w14:paraId="6633C335">
      <w:pPr>
        <w:snapToGrid w:val="0"/>
        <w:spacing w:line="580" w:lineRule="exact"/>
        <w:jc w:val="center"/>
        <w:rPr>
          <w:rStyle w:val="19"/>
          <w:rFonts w:ascii="仿宋_GB2312" w:eastAsia="仿宋_GB2312"/>
          <w:color w:val="auto"/>
          <w:sz w:val="32"/>
          <w:szCs w:val="32"/>
        </w:rPr>
      </w:pPr>
    </w:p>
    <w:p w14:paraId="4FA462C3">
      <w:pPr>
        <w:tabs>
          <w:tab w:val="left" w:pos="2105"/>
        </w:tabs>
        <w:snapToGrid w:val="0"/>
        <w:spacing w:line="580" w:lineRule="exact"/>
        <w:jc w:val="left"/>
        <w:rPr>
          <w:rStyle w:val="19"/>
          <w:rFonts w:hint="eastAsia" w:ascii="仿宋_GB2312" w:eastAsia="仿宋_GB2312"/>
          <w:color w:val="auto"/>
          <w:sz w:val="32"/>
          <w:szCs w:val="32"/>
          <w:lang w:eastAsia="zh-CN"/>
        </w:rPr>
      </w:pPr>
      <w:r>
        <w:rPr>
          <w:rStyle w:val="19"/>
          <w:rFonts w:hint="eastAsia" w:ascii="仿宋_GB2312" w:eastAsia="仿宋_GB2312"/>
          <w:color w:val="auto"/>
          <w:sz w:val="32"/>
          <w:szCs w:val="32"/>
          <w:lang w:eastAsia="zh-CN"/>
        </w:rPr>
        <w:tab/>
      </w:r>
    </w:p>
    <w:p w14:paraId="2289ED41">
      <w:pPr>
        <w:snapToGrid w:val="0"/>
        <w:spacing w:line="580" w:lineRule="exact"/>
        <w:jc w:val="center"/>
        <w:rPr>
          <w:rStyle w:val="19"/>
          <w:rFonts w:ascii="仿宋_GB2312" w:eastAsia="仿宋_GB2312"/>
          <w:color w:val="auto"/>
          <w:sz w:val="32"/>
          <w:szCs w:val="32"/>
        </w:rPr>
      </w:pPr>
    </w:p>
    <w:p w14:paraId="375EA479">
      <w:pPr>
        <w:pStyle w:val="28"/>
        <w:rPr>
          <w:rStyle w:val="19"/>
          <w:color w:val="auto"/>
        </w:rPr>
      </w:pPr>
    </w:p>
    <w:p w14:paraId="45ADE329">
      <w:pPr>
        <w:snapToGrid w:val="0"/>
        <w:spacing w:line="600" w:lineRule="exact"/>
        <w:rPr>
          <w:rStyle w:val="19"/>
          <w:rFonts w:ascii="仿宋_GB2312" w:eastAsia="仿宋_GB2312"/>
          <w:color w:val="auto"/>
          <w:sz w:val="32"/>
          <w:szCs w:val="32"/>
        </w:rPr>
      </w:pPr>
    </w:p>
    <w:p w14:paraId="60330016">
      <w:pPr>
        <w:snapToGrid w:val="0"/>
        <w:spacing w:line="600" w:lineRule="exact"/>
        <w:ind w:firstLine="2880" w:firstLineChars="900"/>
        <w:rPr>
          <w:rStyle w:val="19"/>
          <w:rFonts w:ascii="仿宋" w:hAnsi="仿宋" w:eastAsia="仿宋"/>
          <w:color w:val="auto"/>
          <w:sz w:val="32"/>
          <w:szCs w:val="32"/>
        </w:rPr>
      </w:pPr>
      <w:r>
        <w:rPr>
          <w:rStyle w:val="19"/>
          <w:rFonts w:hint="eastAsia" w:ascii="仿宋" w:hAnsi="仿宋" w:eastAsia="仿宋"/>
          <w:color w:val="auto"/>
          <w:sz w:val="32"/>
          <w:szCs w:val="32"/>
        </w:rPr>
        <w:t>鄂环东审字〔</w:t>
      </w:r>
      <w:r>
        <w:rPr>
          <w:rStyle w:val="19"/>
          <w:rFonts w:ascii="仿宋" w:hAnsi="仿宋" w:eastAsia="仿宋"/>
          <w:color w:val="auto"/>
          <w:sz w:val="32"/>
          <w:szCs w:val="32"/>
        </w:rPr>
        <w:t>202</w:t>
      </w:r>
      <w:r>
        <w:rPr>
          <w:rStyle w:val="19"/>
          <w:rFonts w:hint="eastAsia" w:ascii="仿宋" w:hAnsi="仿宋" w:eastAsia="仿宋"/>
          <w:color w:val="auto"/>
          <w:sz w:val="32"/>
          <w:szCs w:val="32"/>
          <w:lang w:val="en-US" w:eastAsia="zh-CN"/>
        </w:rPr>
        <w:t>5</w:t>
      </w:r>
      <w:r>
        <w:rPr>
          <w:rStyle w:val="19"/>
          <w:rFonts w:hint="eastAsia" w:ascii="仿宋" w:hAnsi="仿宋" w:eastAsia="仿宋"/>
          <w:color w:val="auto"/>
          <w:sz w:val="32"/>
          <w:szCs w:val="32"/>
        </w:rPr>
        <w:t>〕</w:t>
      </w:r>
      <w:r>
        <w:rPr>
          <w:rStyle w:val="19"/>
          <w:rFonts w:hint="eastAsia" w:ascii="仿宋" w:hAnsi="仿宋" w:eastAsia="仿宋"/>
          <w:color w:val="auto"/>
          <w:sz w:val="32"/>
          <w:szCs w:val="32"/>
          <w:lang w:val="en-US" w:eastAsia="zh-CN"/>
        </w:rPr>
        <w:t>14</w:t>
      </w:r>
      <w:r>
        <w:rPr>
          <w:rStyle w:val="19"/>
          <w:rFonts w:hint="eastAsia" w:ascii="仿宋" w:hAnsi="仿宋" w:eastAsia="仿宋"/>
          <w:color w:val="auto"/>
          <w:sz w:val="32"/>
          <w:szCs w:val="32"/>
        </w:rPr>
        <w:t>号</w:t>
      </w:r>
      <w:r>
        <w:rPr>
          <w:rStyle w:val="19"/>
          <w:rFonts w:ascii="仿宋" w:hAnsi="仿宋" w:eastAsia="仿宋"/>
          <w:color w:val="auto"/>
          <w:sz w:val="32"/>
          <w:szCs w:val="32"/>
        </w:rPr>
        <w:t xml:space="preserve"> </w:t>
      </w:r>
    </w:p>
    <w:p w14:paraId="7C647FD1">
      <w:pPr>
        <w:spacing w:line="600" w:lineRule="exact"/>
        <w:jc w:val="center"/>
        <w:rPr>
          <w:rStyle w:val="19"/>
          <w:rFonts w:ascii="宋体" w:hAnsi="宋体" w:cs="宋体"/>
          <w:b/>
          <w:color w:val="auto"/>
          <w:sz w:val="44"/>
          <w:szCs w:val="44"/>
        </w:rPr>
      </w:pPr>
    </w:p>
    <w:p w14:paraId="71D8DFD5">
      <w:pPr>
        <w:spacing w:line="600" w:lineRule="exact"/>
        <w:jc w:val="center"/>
        <w:rPr>
          <w:rStyle w:val="19"/>
          <w:rFonts w:ascii="宋体" w:hAnsi="宋体"/>
          <w:b/>
          <w:color w:val="auto"/>
          <w:sz w:val="44"/>
          <w:szCs w:val="44"/>
        </w:rPr>
      </w:pPr>
      <w:r>
        <w:rPr>
          <w:rStyle w:val="19"/>
          <w:rFonts w:hint="eastAsia" w:ascii="宋体" w:hAnsi="宋体"/>
          <w:b/>
          <w:color w:val="auto"/>
          <w:sz w:val="44"/>
          <w:szCs w:val="44"/>
        </w:rPr>
        <w:t>鄂尔多斯市生态环境局东胜区分局关于</w:t>
      </w:r>
    </w:p>
    <w:p w14:paraId="4736E550">
      <w:pPr>
        <w:spacing w:line="600" w:lineRule="exact"/>
        <w:jc w:val="center"/>
        <w:rPr>
          <w:rStyle w:val="19"/>
          <w:rFonts w:hint="eastAsia" w:ascii="宋体" w:hAnsi="宋体" w:eastAsia="宋体" w:cs="Times New Roman"/>
          <w:b/>
          <w:color w:val="auto"/>
          <w:sz w:val="44"/>
          <w:szCs w:val="44"/>
          <w:lang w:eastAsia="zh-CN"/>
        </w:rPr>
      </w:pPr>
      <w:r>
        <w:rPr>
          <w:rStyle w:val="19"/>
          <w:rFonts w:hint="eastAsia" w:ascii="宋体" w:hAnsi="宋体" w:eastAsia="宋体" w:cs="Times New Roman"/>
          <w:b/>
          <w:color w:val="auto"/>
          <w:sz w:val="44"/>
          <w:szCs w:val="44"/>
          <w:lang w:eastAsia="zh-CN"/>
        </w:rPr>
        <w:t>鄂尔多斯市鼎势再生资源有限责任</w:t>
      </w:r>
    </w:p>
    <w:p w14:paraId="20F4E74E">
      <w:pPr>
        <w:spacing w:line="600" w:lineRule="exact"/>
        <w:jc w:val="center"/>
        <w:rPr>
          <w:rStyle w:val="19"/>
          <w:rFonts w:hint="eastAsia" w:ascii="宋体" w:hAnsi="宋体" w:eastAsia="宋体" w:cs="Times New Roman"/>
          <w:b/>
          <w:color w:val="auto"/>
          <w:sz w:val="44"/>
          <w:szCs w:val="44"/>
          <w:lang w:eastAsia="zh-CN"/>
        </w:rPr>
      </w:pPr>
      <w:r>
        <w:rPr>
          <w:rStyle w:val="19"/>
          <w:rFonts w:hint="eastAsia" w:ascii="宋体" w:hAnsi="宋体" w:eastAsia="宋体" w:cs="Times New Roman"/>
          <w:b/>
          <w:color w:val="auto"/>
          <w:sz w:val="44"/>
          <w:szCs w:val="44"/>
          <w:lang w:eastAsia="zh-CN"/>
        </w:rPr>
        <w:t>公司危险废物综合收集扩建项目</w:t>
      </w:r>
    </w:p>
    <w:p w14:paraId="727ECB8E">
      <w:pPr>
        <w:spacing w:line="600" w:lineRule="exact"/>
        <w:jc w:val="center"/>
        <w:rPr>
          <w:rStyle w:val="19"/>
          <w:rFonts w:ascii="宋体" w:hAnsi="宋体" w:cs="宋体"/>
          <w:b/>
          <w:color w:val="auto"/>
          <w:sz w:val="44"/>
          <w:szCs w:val="44"/>
        </w:rPr>
      </w:pPr>
      <w:r>
        <w:rPr>
          <w:rStyle w:val="19"/>
          <w:rFonts w:hint="eastAsia" w:ascii="宋体" w:hAnsi="宋体" w:cs="宋体"/>
          <w:b/>
          <w:color w:val="auto"/>
          <w:sz w:val="44"/>
          <w:szCs w:val="44"/>
        </w:rPr>
        <w:t>环境影响报告表的批复</w:t>
      </w:r>
    </w:p>
    <w:p w14:paraId="206506C8">
      <w:pPr>
        <w:spacing w:line="360" w:lineRule="auto"/>
        <w:ind w:left="0" w:leftChars="0" w:firstLine="0" w:firstLineChars="0"/>
        <w:textAlignment w:val="auto"/>
        <w:rPr>
          <w:rStyle w:val="19"/>
          <w:rFonts w:ascii="仿宋" w:hAnsi="仿宋" w:eastAsia="仿宋"/>
          <w:sz w:val="32"/>
          <w:szCs w:val="32"/>
        </w:rPr>
      </w:pPr>
    </w:p>
    <w:p w14:paraId="3F89CF89">
      <w:pPr>
        <w:keepNext w:val="0"/>
        <w:keepLines w:val="0"/>
        <w:pageBreakBefore w:val="0"/>
        <w:kinsoku/>
        <w:wordWrap/>
        <w:overflowPunct/>
        <w:topLinePunct w:val="0"/>
        <w:autoSpaceDE/>
        <w:autoSpaceDN/>
        <w:bidi w:val="0"/>
        <w:adjustRightInd w:val="0"/>
        <w:snapToGrid w:val="0"/>
        <w:spacing w:line="360" w:lineRule="auto"/>
        <w:ind w:left="0" w:firstLine="0" w:firstLineChars="0"/>
        <w:jc w:val="both"/>
        <w:rPr>
          <w:rStyle w:val="19"/>
          <w:rFonts w:hint="eastAsia" w:ascii="仿宋" w:hAnsi="仿宋" w:eastAsia="仿宋" w:cs="Times New Roman"/>
          <w:sz w:val="32"/>
          <w:szCs w:val="32"/>
          <w:lang w:val="en-US" w:eastAsia="zh-CN"/>
        </w:rPr>
      </w:pPr>
      <w:r>
        <w:rPr>
          <w:rStyle w:val="19"/>
          <w:rFonts w:hint="eastAsia" w:ascii="仿宋" w:hAnsi="仿宋" w:eastAsia="仿宋" w:cs="Times New Roman"/>
          <w:sz w:val="32"/>
          <w:szCs w:val="32"/>
          <w:lang w:val="en-US" w:eastAsia="zh-CN"/>
        </w:rPr>
        <w:t>鄂尔多斯市鼎势再生资源有限责任公司：</w:t>
      </w:r>
    </w:p>
    <w:p w14:paraId="186219A9">
      <w:pPr>
        <w:keepNext w:val="0"/>
        <w:keepLines w:val="0"/>
        <w:pageBreakBefore w:val="0"/>
        <w:kinsoku/>
        <w:wordWrap/>
        <w:overflowPunct/>
        <w:topLinePunct w:val="0"/>
        <w:autoSpaceDE/>
        <w:autoSpaceDN/>
        <w:bidi w:val="0"/>
        <w:adjustRightInd w:val="0"/>
        <w:snapToGrid w:val="0"/>
        <w:spacing w:line="360" w:lineRule="auto"/>
        <w:ind w:left="0" w:firstLine="0" w:firstLineChars="0"/>
        <w:jc w:val="both"/>
        <w:rPr>
          <w:rStyle w:val="19"/>
          <w:rFonts w:hint="eastAsia" w:ascii="仿宋" w:hAnsi="仿宋" w:eastAsia="仿宋" w:cs="Times New Roman"/>
          <w:sz w:val="32"/>
          <w:szCs w:val="32"/>
          <w:lang w:val="en-US" w:eastAsia="zh-CN"/>
        </w:rPr>
      </w:pPr>
      <w:r>
        <w:rPr>
          <w:rStyle w:val="19"/>
          <w:rFonts w:hint="eastAsia" w:ascii="仿宋" w:hAnsi="仿宋" w:eastAsia="仿宋" w:cs="Times New Roman"/>
          <w:sz w:val="32"/>
          <w:szCs w:val="32"/>
          <w:lang w:val="en-US" w:eastAsia="zh-CN"/>
        </w:rPr>
        <w:t xml:space="preserve">    你单位报送的由内蒙古华予环保科技有限责任公司编制的《鄂尔多斯市鼎势再生资源有限责任公司危险废物综合收集扩建项目环境影响报告表》（以下简称《报告表》）已收悉。经组织专家评审，集体研究，形成如下审批意见：</w:t>
      </w:r>
    </w:p>
    <w:p w14:paraId="1AB4DAE3">
      <w:pPr>
        <w:keepNext w:val="0"/>
        <w:keepLines w:val="0"/>
        <w:pageBreakBefore w:val="0"/>
        <w:widowControl/>
        <w:kinsoku/>
        <w:wordWrap/>
        <w:overflowPunct/>
        <w:topLinePunct w:val="0"/>
        <w:autoSpaceDE/>
        <w:autoSpaceDN/>
        <w:bidi w:val="0"/>
        <w:adjustRightInd/>
        <w:snapToGrid/>
        <w:spacing w:line="360" w:lineRule="auto"/>
        <w:ind w:left="0" w:firstLine="640" w:firstLineChars="200"/>
        <w:jc w:val="both"/>
        <w:rPr>
          <w:rStyle w:val="19"/>
          <w:rFonts w:hint="default" w:ascii="仿宋" w:hAnsi="仿宋" w:eastAsia="仿宋" w:cs="Times New Roman"/>
          <w:sz w:val="32"/>
          <w:szCs w:val="32"/>
          <w:lang w:val="en-US" w:eastAsia="zh-CN"/>
        </w:rPr>
      </w:pPr>
      <w:r>
        <w:rPr>
          <w:rStyle w:val="19"/>
          <w:rFonts w:hint="eastAsia" w:ascii="仿宋" w:hAnsi="仿宋" w:eastAsia="仿宋"/>
          <w:sz w:val="32"/>
          <w:szCs w:val="32"/>
          <w:lang w:eastAsia="zh-CN"/>
        </w:rPr>
        <w:t>一、</w:t>
      </w:r>
      <w:r>
        <w:rPr>
          <w:rStyle w:val="19"/>
          <w:rFonts w:hint="eastAsia" w:ascii="仿宋" w:hAnsi="仿宋" w:eastAsia="仿宋"/>
          <w:sz w:val="32"/>
          <w:szCs w:val="32"/>
        </w:rPr>
        <w:t>该项目属于</w:t>
      </w:r>
      <w:r>
        <w:rPr>
          <w:rStyle w:val="19"/>
          <w:rFonts w:hint="eastAsia" w:ascii="仿宋" w:hAnsi="仿宋" w:eastAsia="仿宋"/>
          <w:sz w:val="32"/>
          <w:szCs w:val="32"/>
          <w:lang w:eastAsia="zh-CN"/>
        </w:rPr>
        <w:t>扩</w:t>
      </w:r>
      <w:r>
        <w:rPr>
          <w:rStyle w:val="19"/>
          <w:rFonts w:hint="eastAsia" w:ascii="仿宋" w:hAnsi="仿宋" w:eastAsia="仿宋"/>
          <w:sz w:val="32"/>
          <w:szCs w:val="32"/>
        </w:rPr>
        <w:t>建</w:t>
      </w:r>
      <w:r>
        <w:rPr>
          <w:rStyle w:val="19"/>
          <w:rFonts w:hint="eastAsia" w:ascii="仿宋" w:hAnsi="仿宋" w:eastAsia="仿宋" w:cs="Times New Roman"/>
          <w:color w:val="000000"/>
          <w:sz w:val="32"/>
          <w:szCs w:val="32"/>
          <w:lang w:val="en-US" w:eastAsia="zh-CN" w:bidi="ar-SA"/>
        </w:rPr>
        <w:t>项目，位于</w:t>
      </w:r>
      <w:r>
        <w:rPr>
          <w:rStyle w:val="19"/>
          <w:rFonts w:hint="default" w:ascii="仿宋" w:hAnsi="仿宋" w:eastAsia="仿宋" w:cs="Times New Roman"/>
          <w:color w:val="000000"/>
          <w:sz w:val="32"/>
          <w:szCs w:val="32"/>
          <w:lang w:val="en-US" w:eastAsia="zh-CN" w:bidi="ar-SA"/>
        </w:rPr>
        <w:t>东胜区铜川镇万立再生资源产业园区</w:t>
      </w:r>
      <w:r>
        <w:rPr>
          <w:rStyle w:val="19"/>
          <w:rFonts w:hint="eastAsia" w:ascii="仿宋" w:hAnsi="仿宋" w:eastAsia="仿宋" w:cs="Times New Roman"/>
          <w:color w:val="000000"/>
          <w:sz w:val="32"/>
          <w:szCs w:val="32"/>
          <w:lang w:val="en-US" w:eastAsia="zh-CN" w:bidi="ar-SA"/>
        </w:rPr>
        <w:t>。项目总占地面积2063.3平方米，总投资10万元，其中环保投资2万元。主要建设内容及规模：</w:t>
      </w:r>
      <w:r>
        <w:rPr>
          <w:rStyle w:val="19"/>
          <w:rFonts w:hint="default" w:ascii="仿宋" w:hAnsi="仿宋" w:eastAsia="仿宋" w:cs="Times New Roman"/>
          <w:sz w:val="32"/>
          <w:szCs w:val="32"/>
        </w:rPr>
        <w:t>本次扩建不</w:t>
      </w:r>
      <w:r>
        <w:rPr>
          <w:rStyle w:val="19"/>
          <w:rFonts w:hint="default" w:ascii="仿宋" w:hAnsi="仿宋" w:eastAsia="仿宋" w:cs="Times New Roman"/>
          <w:sz w:val="32"/>
          <w:szCs w:val="32"/>
          <w:lang w:val="en-US"/>
        </w:rPr>
        <w:t>新增占地，仅对</w:t>
      </w:r>
      <w:r>
        <w:rPr>
          <w:rStyle w:val="19"/>
          <w:rFonts w:hint="eastAsia" w:ascii="仿宋" w:hAnsi="仿宋" w:eastAsia="仿宋" w:cs="Times New Roman"/>
          <w:sz w:val="32"/>
          <w:szCs w:val="32"/>
          <w:lang w:val="en-US" w:eastAsia="zh-CN"/>
        </w:rPr>
        <w:t>两座</w:t>
      </w:r>
      <w:r>
        <w:rPr>
          <w:rStyle w:val="19"/>
          <w:rFonts w:hint="default" w:ascii="仿宋" w:hAnsi="仿宋" w:eastAsia="仿宋" w:cs="Times New Roman"/>
          <w:sz w:val="32"/>
          <w:szCs w:val="32"/>
        </w:rPr>
        <w:t>危险废物贮存库进行重新分区，1#危险废物贮存库</w:t>
      </w:r>
      <w:r>
        <w:rPr>
          <w:rStyle w:val="19"/>
          <w:rFonts w:hint="eastAsia" w:ascii="仿宋" w:hAnsi="仿宋" w:eastAsia="仿宋" w:cs="Times New Roman"/>
          <w:sz w:val="32"/>
          <w:szCs w:val="32"/>
          <w:lang w:val="en-US" w:eastAsia="zh-CN"/>
        </w:rPr>
        <w:t>由原来的</w:t>
      </w:r>
      <w:r>
        <w:rPr>
          <w:rStyle w:val="19"/>
          <w:rFonts w:hint="default" w:ascii="仿宋" w:hAnsi="仿宋" w:eastAsia="仿宋" w:cs="Times New Roman"/>
          <w:sz w:val="32"/>
          <w:szCs w:val="32"/>
        </w:rPr>
        <w:t>10个贮存区</w:t>
      </w:r>
      <w:r>
        <w:rPr>
          <w:rStyle w:val="19"/>
          <w:rFonts w:hint="eastAsia" w:ascii="仿宋" w:hAnsi="仿宋" w:eastAsia="仿宋" w:cs="Times New Roman"/>
          <w:sz w:val="32"/>
          <w:szCs w:val="32"/>
          <w:lang w:val="en-US" w:eastAsia="zh-CN"/>
        </w:rPr>
        <w:t>调整为12个贮存区</w:t>
      </w:r>
      <w:r>
        <w:rPr>
          <w:rStyle w:val="19"/>
          <w:rFonts w:hint="default" w:ascii="仿宋" w:hAnsi="仿宋" w:eastAsia="仿宋" w:cs="Times New Roman"/>
          <w:sz w:val="32"/>
          <w:szCs w:val="32"/>
        </w:rPr>
        <w:t>，</w:t>
      </w:r>
      <w:r>
        <w:rPr>
          <w:rStyle w:val="19"/>
          <w:rFonts w:hint="eastAsia" w:ascii="仿宋" w:hAnsi="仿宋" w:eastAsia="仿宋" w:cs="Times New Roman"/>
          <w:sz w:val="32"/>
          <w:szCs w:val="32"/>
          <w:lang w:val="en-US" w:eastAsia="zh-CN"/>
        </w:rPr>
        <w:t>贮存</w:t>
      </w:r>
      <w:r>
        <w:rPr>
          <w:rStyle w:val="19"/>
          <w:rFonts w:hint="default" w:ascii="仿宋" w:hAnsi="仿宋" w:eastAsia="仿宋" w:cs="Times New Roman"/>
          <w:sz w:val="32"/>
          <w:szCs w:val="32"/>
        </w:rPr>
        <w:t>占地为</w:t>
      </w:r>
      <w:r>
        <w:rPr>
          <w:rStyle w:val="19"/>
          <w:rFonts w:hint="eastAsia" w:ascii="仿宋" w:hAnsi="仿宋" w:eastAsia="仿宋" w:cs="Times New Roman"/>
          <w:sz w:val="32"/>
          <w:szCs w:val="32"/>
          <w:lang w:val="en-US" w:eastAsia="zh-CN"/>
        </w:rPr>
        <w:t>608</w:t>
      </w:r>
      <w:r>
        <w:rPr>
          <w:rStyle w:val="19"/>
          <w:rFonts w:hint="eastAsia" w:ascii="仿宋" w:hAnsi="仿宋" w:eastAsia="仿宋" w:cs="Times New Roman"/>
          <w:sz w:val="32"/>
          <w:szCs w:val="32"/>
          <w:lang w:eastAsia="zh-CN"/>
        </w:rPr>
        <w:t>平方米</w:t>
      </w:r>
      <w:r>
        <w:rPr>
          <w:rStyle w:val="19"/>
          <w:rFonts w:hint="default" w:ascii="仿宋" w:hAnsi="仿宋" w:eastAsia="仿宋" w:cs="Times New Roman"/>
          <w:sz w:val="32"/>
          <w:szCs w:val="32"/>
        </w:rPr>
        <w:t>；2#危险废物贮存库</w:t>
      </w:r>
      <w:r>
        <w:rPr>
          <w:rStyle w:val="19"/>
          <w:rFonts w:hint="eastAsia" w:ascii="仿宋" w:hAnsi="仿宋" w:eastAsia="仿宋" w:cs="Times New Roman"/>
          <w:sz w:val="32"/>
          <w:szCs w:val="32"/>
          <w:lang w:val="en-US" w:eastAsia="zh-CN"/>
        </w:rPr>
        <w:t>由原来的</w:t>
      </w:r>
      <w:r>
        <w:rPr>
          <w:rStyle w:val="19"/>
          <w:rFonts w:hint="default" w:ascii="仿宋" w:hAnsi="仿宋" w:eastAsia="仿宋" w:cs="Times New Roman"/>
          <w:sz w:val="32"/>
          <w:szCs w:val="32"/>
        </w:rPr>
        <w:t>6个贮存区</w:t>
      </w:r>
      <w:r>
        <w:rPr>
          <w:rStyle w:val="19"/>
          <w:rFonts w:hint="eastAsia" w:ascii="仿宋" w:hAnsi="仿宋" w:eastAsia="仿宋" w:cs="Times New Roman"/>
          <w:sz w:val="32"/>
          <w:szCs w:val="32"/>
          <w:lang w:val="en-US" w:eastAsia="zh-CN"/>
        </w:rPr>
        <w:t>调整为9个贮存区</w:t>
      </w:r>
      <w:r>
        <w:rPr>
          <w:rStyle w:val="19"/>
          <w:rFonts w:hint="default" w:ascii="仿宋" w:hAnsi="仿宋" w:eastAsia="仿宋" w:cs="Times New Roman"/>
          <w:sz w:val="32"/>
          <w:szCs w:val="32"/>
        </w:rPr>
        <w:t>，</w:t>
      </w:r>
      <w:r>
        <w:rPr>
          <w:rStyle w:val="19"/>
          <w:rFonts w:hint="eastAsia" w:ascii="仿宋" w:hAnsi="仿宋" w:eastAsia="仿宋" w:cs="Times New Roman"/>
          <w:sz w:val="32"/>
          <w:szCs w:val="32"/>
          <w:lang w:val="en-US" w:eastAsia="zh-CN"/>
        </w:rPr>
        <w:t>贮存</w:t>
      </w:r>
      <w:r>
        <w:rPr>
          <w:rStyle w:val="19"/>
          <w:rFonts w:hint="default" w:ascii="仿宋" w:hAnsi="仿宋" w:eastAsia="仿宋" w:cs="Times New Roman"/>
          <w:sz w:val="32"/>
          <w:szCs w:val="32"/>
        </w:rPr>
        <w:t>占地为</w:t>
      </w:r>
      <w:r>
        <w:rPr>
          <w:rStyle w:val="19"/>
          <w:rFonts w:hint="default" w:ascii="仿宋" w:hAnsi="仿宋" w:eastAsia="仿宋" w:cs="Times New Roman"/>
          <w:sz w:val="32"/>
          <w:szCs w:val="32"/>
          <w:lang w:val="en-US"/>
        </w:rPr>
        <w:t>480</w:t>
      </w:r>
      <w:r>
        <w:rPr>
          <w:rStyle w:val="19"/>
          <w:rFonts w:hint="eastAsia" w:ascii="仿宋" w:hAnsi="仿宋" w:eastAsia="仿宋" w:cs="Times New Roman"/>
          <w:sz w:val="32"/>
          <w:szCs w:val="32"/>
          <w:lang w:eastAsia="zh-CN"/>
        </w:rPr>
        <w:t>平方米</w:t>
      </w:r>
      <w:r>
        <w:rPr>
          <w:rStyle w:val="19"/>
          <w:rFonts w:hint="default" w:ascii="仿宋" w:hAnsi="仿宋" w:eastAsia="仿宋" w:cs="Times New Roman"/>
          <w:sz w:val="32"/>
          <w:szCs w:val="32"/>
        </w:rPr>
        <w:t>，</w:t>
      </w:r>
      <w:r>
        <w:rPr>
          <w:rStyle w:val="19"/>
          <w:rFonts w:hint="eastAsia" w:ascii="仿宋" w:hAnsi="仿宋" w:eastAsia="仿宋" w:cs="Times New Roman"/>
          <w:sz w:val="32"/>
          <w:szCs w:val="32"/>
          <w:lang w:val="en-US" w:eastAsia="zh-CN"/>
        </w:rPr>
        <w:t>实现</w:t>
      </w:r>
      <w:r>
        <w:rPr>
          <w:rStyle w:val="19"/>
          <w:rFonts w:hint="default" w:ascii="仿宋" w:hAnsi="仿宋" w:eastAsia="仿宋" w:cs="Times New Roman"/>
          <w:sz w:val="32"/>
          <w:szCs w:val="32"/>
        </w:rPr>
        <w:t>最大贮存量由</w:t>
      </w:r>
      <w:r>
        <w:rPr>
          <w:rStyle w:val="19"/>
          <w:rFonts w:hint="eastAsia" w:ascii="仿宋" w:hAnsi="仿宋" w:eastAsia="仿宋" w:cs="Times New Roman"/>
          <w:sz w:val="32"/>
          <w:szCs w:val="32"/>
          <w:lang w:val="en-US" w:eastAsia="zh-CN"/>
        </w:rPr>
        <w:t>645吨</w:t>
      </w:r>
      <w:r>
        <w:rPr>
          <w:rStyle w:val="19"/>
          <w:rFonts w:hint="default" w:ascii="仿宋" w:hAnsi="仿宋" w:eastAsia="仿宋" w:cs="Times New Roman"/>
          <w:sz w:val="32"/>
          <w:szCs w:val="32"/>
        </w:rPr>
        <w:t>扩大至</w:t>
      </w:r>
      <w:r>
        <w:rPr>
          <w:rStyle w:val="19"/>
          <w:rFonts w:hint="eastAsia" w:ascii="仿宋" w:hAnsi="仿宋" w:eastAsia="仿宋" w:cs="Times New Roman"/>
          <w:sz w:val="32"/>
          <w:szCs w:val="32"/>
          <w:lang w:val="en-US" w:eastAsia="zh-CN"/>
        </w:rPr>
        <w:t>784吨</w:t>
      </w:r>
      <w:r>
        <w:rPr>
          <w:rStyle w:val="19"/>
          <w:rFonts w:hint="eastAsia" w:ascii="仿宋" w:hAnsi="仿宋" w:eastAsia="仿宋" w:cs="Times New Roman"/>
          <w:sz w:val="32"/>
          <w:szCs w:val="32"/>
          <w:lang w:eastAsia="zh-CN"/>
        </w:rPr>
        <w:t>，</w:t>
      </w:r>
      <w:r>
        <w:rPr>
          <w:rStyle w:val="19"/>
          <w:rFonts w:hint="default" w:ascii="仿宋" w:hAnsi="仿宋" w:eastAsia="仿宋" w:cs="Times New Roman"/>
          <w:sz w:val="32"/>
          <w:szCs w:val="32"/>
        </w:rPr>
        <w:t>同时危险废物贮存库内配套建设导流渠、废液收集池</w:t>
      </w:r>
      <w:r>
        <w:rPr>
          <w:rStyle w:val="19"/>
          <w:rFonts w:hint="eastAsia" w:ascii="仿宋" w:hAnsi="仿宋" w:eastAsia="仿宋" w:cs="Times New Roman"/>
          <w:sz w:val="32"/>
          <w:szCs w:val="32"/>
          <w:lang w:eastAsia="zh-CN"/>
        </w:rPr>
        <w:t>，</w:t>
      </w:r>
      <w:r>
        <w:rPr>
          <w:rStyle w:val="19"/>
          <w:rFonts w:hint="eastAsia" w:ascii="仿宋" w:hAnsi="仿宋" w:eastAsia="仿宋" w:cs="Times New Roman"/>
          <w:sz w:val="32"/>
          <w:szCs w:val="32"/>
          <w:lang w:val="en-US" w:eastAsia="zh-CN"/>
        </w:rPr>
        <w:t>其他相关公辅工程和环保工程依托原有。</w:t>
      </w:r>
      <w:r>
        <w:rPr>
          <w:rStyle w:val="19"/>
          <w:rFonts w:hint="default" w:ascii="仿宋" w:hAnsi="仿宋" w:eastAsia="仿宋" w:cs="Times New Roman"/>
          <w:sz w:val="32"/>
          <w:szCs w:val="32"/>
        </w:rPr>
        <w:t>通过重新分区及缩短转运周期扩大转运规模至3万吨/年。项目建成后收集、贮存危险废物种类以最终核发的危险废物经营许可证为准。</w:t>
      </w:r>
    </w:p>
    <w:p w14:paraId="6EB2B54B">
      <w:pPr>
        <w:keepNext w:val="0"/>
        <w:keepLines w:val="0"/>
        <w:pageBreakBefore w:val="0"/>
        <w:widowControl w:val="0"/>
        <w:kinsoku/>
        <w:wordWrap/>
        <w:overflowPunct/>
        <w:topLinePunct w:val="0"/>
        <w:autoSpaceDE/>
        <w:autoSpaceDN/>
        <w:bidi w:val="0"/>
        <w:spacing w:line="360" w:lineRule="auto"/>
        <w:ind w:left="0" w:firstLine="640" w:firstLineChars="200"/>
        <w:jc w:val="both"/>
        <w:textAlignment w:val="auto"/>
        <w:rPr>
          <w:rStyle w:val="19"/>
          <w:rFonts w:ascii="仿宋" w:hAnsi="仿宋" w:eastAsia="仿宋"/>
          <w:sz w:val="32"/>
          <w:szCs w:val="32"/>
        </w:rPr>
      </w:pPr>
      <w:r>
        <w:rPr>
          <w:rStyle w:val="19"/>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50A77A6">
      <w:pPr>
        <w:keepNext w:val="0"/>
        <w:keepLines w:val="0"/>
        <w:pageBreakBefore w:val="0"/>
        <w:widowControl w:val="0"/>
        <w:kinsoku/>
        <w:wordWrap/>
        <w:overflowPunct/>
        <w:topLinePunct w:val="0"/>
        <w:autoSpaceDE/>
        <w:autoSpaceDN/>
        <w:bidi w:val="0"/>
        <w:spacing w:line="360" w:lineRule="auto"/>
        <w:ind w:left="0" w:firstLine="640" w:firstLineChars="200"/>
        <w:jc w:val="both"/>
        <w:textAlignment w:val="auto"/>
        <w:rPr>
          <w:rStyle w:val="19"/>
          <w:rFonts w:ascii="仿宋" w:hAnsi="仿宋" w:eastAsia="仿宋"/>
          <w:color w:val="auto"/>
          <w:sz w:val="32"/>
          <w:szCs w:val="32"/>
        </w:rPr>
      </w:pPr>
      <w:r>
        <w:rPr>
          <w:rStyle w:val="19"/>
          <w:rFonts w:hint="eastAsia" w:ascii="仿宋" w:hAnsi="仿宋" w:eastAsia="仿宋"/>
          <w:sz w:val="32"/>
          <w:szCs w:val="32"/>
        </w:rPr>
        <w:t>二、在项目工程设计、建设和环境管理中，你单位必须严格落实《报告表》中提出的各项环保措施和要求，确保各项污染物稳定达标排放，并须着重做好以下工作：</w:t>
      </w:r>
    </w:p>
    <w:p w14:paraId="387514AB">
      <w:pPr>
        <w:keepNext w:val="0"/>
        <w:keepLines w:val="0"/>
        <w:pageBreakBefore w:val="0"/>
        <w:widowControl w:val="0"/>
        <w:kinsoku/>
        <w:wordWrap/>
        <w:overflowPunct/>
        <w:topLinePunct w:val="0"/>
        <w:autoSpaceDE/>
        <w:autoSpaceDN/>
        <w:bidi w:val="0"/>
        <w:spacing w:line="360" w:lineRule="auto"/>
        <w:ind w:left="0"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（一）严格落实施工期污染防治措施</w:t>
      </w:r>
    </w:p>
    <w:p w14:paraId="45B2E377">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rPr>
          <w:rStyle w:val="19"/>
          <w:rFonts w:hint="eastAsia" w:ascii="仿宋" w:hAnsi="仿宋" w:eastAsia="仿宋" w:cs="Times New Roman"/>
          <w:sz w:val="32"/>
          <w:szCs w:val="32"/>
          <w:lang w:val="en-US" w:eastAsia="zh-CN"/>
        </w:rPr>
      </w:pPr>
      <w:r>
        <w:rPr>
          <w:rStyle w:val="19"/>
          <w:rFonts w:hint="eastAsia" w:ascii="仿宋" w:hAnsi="仿宋" w:eastAsia="仿宋" w:cs="Times New Roman"/>
          <w:sz w:val="32"/>
          <w:szCs w:val="32"/>
          <w:lang w:val="en-US" w:eastAsia="zh-CN"/>
        </w:rPr>
        <w:t>1、</w:t>
      </w:r>
      <w:r>
        <w:rPr>
          <w:rStyle w:val="19"/>
          <w:rFonts w:hint="eastAsia" w:ascii="仿宋" w:hAnsi="仿宋" w:eastAsia="仿宋"/>
          <w:color w:val="0C0C0C"/>
          <w:sz w:val="32"/>
          <w:szCs w:val="32"/>
          <w:highlight w:val="none"/>
        </w:rPr>
        <w:t>加强施工期环境管理，配备足够的洒水车等防尘设备，有效控制施工期物料装卸</w:t>
      </w:r>
      <w:r>
        <w:rPr>
          <w:rStyle w:val="19"/>
          <w:rFonts w:hint="eastAsia" w:ascii="仿宋" w:hAnsi="仿宋" w:eastAsia="仿宋"/>
          <w:color w:val="0C0C0C"/>
          <w:sz w:val="32"/>
          <w:szCs w:val="32"/>
          <w:highlight w:val="none"/>
          <w:lang w:val="en-US" w:eastAsia="zh-CN"/>
        </w:rPr>
        <w:t>和</w:t>
      </w:r>
      <w:r>
        <w:rPr>
          <w:rStyle w:val="19"/>
          <w:rFonts w:hint="eastAsia" w:ascii="仿宋" w:hAnsi="仿宋" w:eastAsia="仿宋"/>
          <w:color w:val="0C0C0C"/>
          <w:sz w:val="32"/>
          <w:szCs w:val="32"/>
          <w:highlight w:val="none"/>
        </w:rPr>
        <w:t>物料运输过程中产生的扬尘污染。</w:t>
      </w:r>
      <w:r>
        <w:rPr>
          <w:rStyle w:val="19"/>
          <w:rFonts w:hint="eastAsia" w:ascii="仿宋" w:hAnsi="仿宋" w:eastAsia="仿宋" w:cs="Times New Roman"/>
          <w:sz w:val="32"/>
          <w:szCs w:val="32"/>
          <w:highlight w:val="none"/>
          <w:lang w:val="en-US" w:eastAsia="zh-CN"/>
        </w:rPr>
        <w:t>施工期大气污染物排放执行《大气污染物综合排放标准》</w:t>
      </w:r>
      <w:r>
        <w:rPr>
          <w:rStyle w:val="19"/>
          <w:rFonts w:hint="eastAsia" w:ascii="仿宋" w:hAnsi="仿宋" w:eastAsia="仿宋" w:cs="Times New Roman"/>
          <w:sz w:val="32"/>
          <w:szCs w:val="32"/>
          <w:lang w:val="en-US" w:eastAsia="zh-CN"/>
        </w:rPr>
        <w:t>（GB16297-1996）表2中无组织排放监控浓度限值。</w:t>
      </w:r>
    </w:p>
    <w:p w14:paraId="79D4D8FE">
      <w:pPr>
        <w:keepNext w:val="0"/>
        <w:keepLines w:val="0"/>
        <w:pageBreakBefore w:val="0"/>
        <w:widowControl w:val="0"/>
        <w:kinsoku/>
        <w:wordWrap/>
        <w:overflowPunct/>
        <w:topLinePunct w:val="0"/>
        <w:autoSpaceDE/>
        <w:autoSpaceDN/>
        <w:bidi w:val="0"/>
        <w:adjustRightInd/>
        <w:spacing w:line="360" w:lineRule="auto"/>
        <w:ind w:left="0" w:firstLine="640" w:firstLineChars="200"/>
        <w:jc w:val="both"/>
        <w:textAlignment w:val="auto"/>
        <w:rPr>
          <w:rStyle w:val="19"/>
          <w:rFonts w:hint="eastAsia" w:ascii="仿宋" w:hAnsi="仿宋" w:eastAsia="仿宋"/>
          <w:color w:val="0C0C0C"/>
          <w:sz w:val="32"/>
          <w:szCs w:val="32"/>
          <w:highlight w:val="none"/>
          <w:lang w:val="en-US" w:eastAsia="zh-CN"/>
        </w:rPr>
      </w:pPr>
      <w:r>
        <w:rPr>
          <w:rStyle w:val="19"/>
          <w:rFonts w:hint="eastAsia" w:ascii="仿宋" w:hAnsi="仿宋" w:eastAsia="仿宋" w:cs="Times New Roman"/>
          <w:sz w:val="32"/>
          <w:szCs w:val="32"/>
          <w:lang w:val="en-US" w:eastAsia="zh-CN"/>
        </w:rPr>
        <w:t>2、施工人员生活污水</w:t>
      </w:r>
      <w:r>
        <w:rPr>
          <w:rStyle w:val="19"/>
          <w:rFonts w:hint="eastAsia" w:ascii="仿宋" w:hAnsi="仿宋" w:eastAsia="仿宋"/>
          <w:color w:val="0C0C0C"/>
          <w:sz w:val="32"/>
          <w:szCs w:val="32"/>
          <w:highlight w:val="none"/>
        </w:rPr>
        <w:t>依托园区环卫设施</w:t>
      </w:r>
      <w:r>
        <w:rPr>
          <w:rStyle w:val="19"/>
          <w:rFonts w:hint="eastAsia" w:ascii="仿宋" w:hAnsi="仿宋" w:eastAsia="仿宋"/>
          <w:color w:val="0C0C0C"/>
          <w:sz w:val="32"/>
          <w:szCs w:val="32"/>
          <w:highlight w:val="none"/>
          <w:lang w:val="en-US" w:eastAsia="zh-CN"/>
        </w:rPr>
        <w:t>。</w:t>
      </w:r>
    </w:p>
    <w:p w14:paraId="40C6C6E9">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rPr>
          <w:rStyle w:val="19"/>
          <w:rFonts w:hint="eastAsia" w:ascii="仿宋" w:hAnsi="仿宋" w:eastAsia="仿宋" w:cs="Times New Roman"/>
          <w:sz w:val="32"/>
          <w:szCs w:val="32"/>
          <w:lang w:val="en-US" w:eastAsia="zh-CN"/>
        </w:rPr>
      </w:pPr>
      <w:r>
        <w:rPr>
          <w:rStyle w:val="19"/>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14:paraId="5E500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w:t>
      </w:r>
      <w:r>
        <w:rPr>
          <w:rStyle w:val="19"/>
          <w:rFonts w:hint="eastAsia" w:ascii="仿宋" w:hAnsi="仿宋" w:eastAsia="仿宋" w:cs="Times New Roman"/>
          <w:color w:val="000000"/>
          <w:sz w:val="32"/>
          <w:szCs w:val="32"/>
          <w:lang w:val="en-US" w:eastAsia="zh-CN" w:bidi="ar-SA"/>
        </w:rPr>
        <w:t>固体废物集中堆放及时清运，交有关部门进行处理</w:t>
      </w:r>
      <w:r>
        <w:rPr>
          <w:rStyle w:val="19"/>
          <w:rFonts w:hint="eastAsia" w:ascii="仿宋" w:hAnsi="仿宋" w:eastAsia="仿宋" w:cs="Times New Roman"/>
          <w:sz w:val="32"/>
          <w:szCs w:val="32"/>
          <w:lang w:val="en-US" w:eastAsia="zh-CN"/>
        </w:rPr>
        <w:t>。</w:t>
      </w:r>
    </w:p>
    <w:p w14:paraId="7F94500C">
      <w:pPr>
        <w:keepNext w:val="0"/>
        <w:keepLines w:val="0"/>
        <w:pageBreakBefore w:val="0"/>
        <w:widowControl w:val="0"/>
        <w:kinsoku/>
        <w:wordWrap/>
        <w:overflowPunct/>
        <w:topLinePunct w:val="0"/>
        <w:autoSpaceDE/>
        <w:autoSpaceDN/>
        <w:bidi w:val="0"/>
        <w:spacing w:line="360" w:lineRule="auto"/>
        <w:ind w:left="0"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（二）严格落实运营期污染防治措施</w:t>
      </w:r>
    </w:p>
    <w:p w14:paraId="033BDDA3">
      <w:pPr>
        <w:pStyle w:val="55"/>
        <w:keepNext w:val="0"/>
        <w:keepLines w:val="0"/>
        <w:pageBreakBefore w:val="0"/>
        <w:widowControl w:val="0"/>
        <w:numPr>
          <w:ilvl w:val="0"/>
          <w:numId w:val="2"/>
        </w:numPr>
        <w:kinsoku/>
        <w:wordWrap/>
        <w:overflowPunct/>
        <w:topLinePunct w:val="0"/>
        <w:autoSpaceDE/>
        <w:autoSpaceDN/>
        <w:bidi w:val="0"/>
        <w:adjustRightInd/>
        <w:spacing w:before="0" w:after="0" w:line="360" w:lineRule="auto"/>
        <w:ind w:left="0" w:leftChars="0" w:right="0" w:firstLine="640" w:firstLineChars="200"/>
        <w:jc w:val="both"/>
        <w:textAlignment w:val="auto"/>
        <w:rPr>
          <w:rStyle w:val="19"/>
          <w:rFonts w:hint="eastAsia" w:ascii="仿宋" w:hAnsi="仿宋" w:eastAsia="仿宋" w:cs="Times New Roman"/>
          <w:color w:val="auto"/>
          <w:sz w:val="32"/>
          <w:szCs w:val="32"/>
          <w:lang w:val="en-US" w:eastAsia="zh-CN" w:bidi="ar-SA"/>
        </w:rPr>
      </w:pPr>
      <w:r>
        <w:rPr>
          <w:rFonts w:hint="eastAsia" w:ascii="仿宋" w:hAnsi="仿宋" w:eastAsia="仿宋" w:cs="仿宋"/>
          <w:color w:val="auto"/>
          <w:sz w:val="32"/>
          <w:szCs w:val="32"/>
          <w:lang w:val="en-US" w:eastAsia="zh-CN"/>
        </w:rPr>
        <w:t>大气污染防治措施。</w:t>
      </w:r>
      <w:r>
        <w:rPr>
          <w:rFonts w:hint="eastAsia" w:ascii="仿宋" w:hAnsi="仿宋" w:eastAsia="仿宋" w:cs="仿宋"/>
          <w:color w:val="auto"/>
          <w:sz w:val="32"/>
          <w:szCs w:val="32"/>
        </w:rPr>
        <w:t>运营</w:t>
      </w:r>
      <w:r>
        <w:rPr>
          <w:rStyle w:val="19"/>
          <w:rFonts w:hint="eastAsia" w:ascii="仿宋" w:hAnsi="仿宋" w:eastAsia="仿宋"/>
          <w:sz w:val="32"/>
          <w:szCs w:val="32"/>
        </w:rPr>
        <w:t>期</w:t>
      </w:r>
      <w:r>
        <w:rPr>
          <w:rStyle w:val="19"/>
          <w:rFonts w:hint="eastAsia" w:ascii="仿宋" w:hAnsi="仿宋" w:eastAsia="仿宋"/>
          <w:color w:val="auto"/>
          <w:sz w:val="32"/>
          <w:szCs w:val="32"/>
        </w:rPr>
        <w:t>1#危险废物贮存库</w:t>
      </w:r>
      <w:r>
        <w:rPr>
          <w:rStyle w:val="19"/>
          <w:rFonts w:hint="eastAsia" w:ascii="仿宋" w:hAnsi="仿宋" w:eastAsia="仿宋"/>
          <w:color w:val="auto"/>
          <w:sz w:val="32"/>
          <w:szCs w:val="32"/>
          <w:lang w:eastAsia="zh-CN"/>
        </w:rPr>
        <w:t>废气</w:t>
      </w:r>
      <w:r>
        <w:rPr>
          <w:rStyle w:val="19"/>
          <w:rFonts w:hint="eastAsia" w:ascii="仿宋" w:hAnsi="仿宋" w:eastAsia="仿宋"/>
          <w:color w:val="auto"/>
          <w:sz w:val="32"/>
          <w:szCs w:val="32"/>
          <w:lang w:val="en-US" w:eastAsia="zh-CN"/>
        </w:rPr>
        <w:t>经</w:t>
      </w:r>
      <w:r>
        <w:rPr>
          <w:rStyle w:val="19"/>
          <w:rFonts w:hint="eastAsia" w:ascii="仿宋" w:hAnsi="仿宋" w:eastAsia="仿宋"/>
          <w:color w:val="auto"/>
          <w:sz w:val="32"/>
          <w:szCs w:val="32"/>
          <w:lang w:eastAsia="zh-CN"/>
        </w:rPr>
        <w:t>收集处理后</w:t>
      </w:r>
      <w:r>
        <w:rPr>
          <w:rFonts w:hint="eastAsia" w:ascii="仿宋" w:hAnsi="仿宋" w:eastAsia="仿宋" w:cs="仿宋"/>
          <w:color w:val="auto"/>
          <w:kern w:val="0"/>
          <w:sz w:val="32"/>
          <w:szCs w:val="32"/>
          <w:lang w:val="en-US" w:eastAsia="zh-CN" w:bidi="ar-SA"/>
        </w:rPr>
        <w:t>由1根</w:t>
      </w:r>
      <w:r>
        <w:rPr>
          <w:rStyle w:val="19"/>
          <w:rFonts w:hint="eastAsia" w:ascii="仿宋" w:hAnsi="仿宋" w:eastAsia="仿宋"/>
          <w:color w:val="auto"/>
          <w:sz w:val="32"/>
          <w:szCs w:val="32"/>
          <w:lang w:val="en-US" w:eastAsia="zh-CN"/>
        </w:rPr>
        <w:t>15米高排气筒排放，其中</w:t>
      </w:r>
      <w:r>
        <w:rPr>
          <w:rStyle w:val="19"/>
          <w:rFonts w:hint="eastAsia" w:ascii="仿宋" w:hAnsi="仿宋" w:eastAsia="仿宋"/>
          <w:color w:val="auto"/>
          <w:sz w:val="32"/>
          <w:szCs w:val="32"/>
        </w:rPr>
        <w:t>非甲烷总烃执行《大气污染物综合排放标准》（GB16297-1996）表2</w:t>
      </w:r>
      <w:r>
        <w:rPr>
          <w:rFonts w:hint="eastAsia" w:ascii="仿宋" w:hAnsi="仿宋" w:eastAsia="仿宋" w:cs="仿宋"/>
          <w:color w:val="auto"/>
          <w:kern w:val="0"/>
          <w:sz w:val="32"/>
          <w:szCs w:val="32"/>
          <w:lang w:val="en-US" w:eastAsia="zh-CN" w:bidi="ar-SA"/>
        </w:rPr>
        <w:t>中</w:t>
      </w:r>
      <w:r>
        <w:rPr>
          <w:rStyle w:val="19"/>
          <w:rFonts w:hint="eastAsia" w:ascii="仿宋" w:hAnsi="仿宋" w:eastAsia="仿宋"/>
          <w:color w:val="auto"/>
          <w:sz w:val="32"/>
          <w:szCs w:val="32"/>
        </w:rPr>
        <w:t>二级标准</w:t>
      </w:r>
      <w:r>
        <w:rPr>
          <w:rStyle w:val="19"/>
          <w:rFonts w:hint="eastAsia" w:ascii="仿宋" w:hAnsi="仿宋" w:eastAsia="仿宋"/>
          <w:color w:val="auto"/>
          <w:sz w:val="32"/>
          <w:szCs w:val="32"/>
          <w:lang w:eastAsia="zh-CN"/>
        </w:rPr>
        <w:t>，</w:t>
      </w:r>
      <w:r>
        <w:rPr>
          <w:rStyle w:val="19"/>
          <w:rFonts w:hint="eastAsia" w:ascii="仿宋" w:hAnsi="仿宋" w:eastAsia="仿宋"/>
          <w:color w:val="auto"/>
          <w:sz w:val="32"/>
          <w:szCs w:val="32"/>
        </w:rPr>
        <w:t>臭气浓度执行《恶臭污染物排放标准》（GB14554-1993）表2</w:t>
      </w:r>
      <w:r>
        <w:rPr>
          <w:rStyle w:val="19"/>
          <w:rFonts w:hint="eastAsia" w:ascii="仿宋" w:hAnsi="仿宋" w:eastAsia="仿宋"/>
          <w:color w:val="auto"/>
          <w:sz w:val="32"/>
          <w:szCs w:val="32"/>
          <w:lang w:val="en-US" w:eastAsia="zh-CN"/>
        </w:rPr>
        <w:t>中</w:t>
      </w:r>
      <w:r>
        <w:rPr>
          <w:rStyle w:val="19"/>
          <w:rFonts w:hint="eastAsia" w:ascii="仿宋" w:hAnsi="仿宋" w:eastAsia="仿宋"/>
          <w:color w:val="auto"/>
          <w:sz w:val="32"/>
          <w:szCs w:val="32"/>
          <w:lang w:eastAsia="zh-CN"/>
        </w:rPr>
        <w:t>标准限值；</w:t>
      </w:r>
      <w:r>
        <w:rPr>
          <w:rStyle w:val="19"/>
          <w:rFonts w:hint="eastAsia" w:ascii="仿宋" w:hAnsi="仿宋" w:eastAsia="仿宋"/>
          <w:color w:val="auto"/>
          <w:sz w:val="32"/>
          <w:szCs w:val="32"/>
          <w:lang w:val="en-US" w:eastAsia="zh-CN"/>
        </w:rPr>
        <w:t>2</w:t>
      </w:r>
      <w:r>
        <w:rPr>
          <w:rStyle w:val="19"/>
          <w:rFonts w:hint="eastAsia" w:ascii="仿宋" w:hAnsi="仿宋" w:eastAsia="仿宋"/>
          <w:color w:val="auto"/>
          <w:sz w:val="32"/>
          <w:szCs w:val="32"/>
        </w:rPr>
        <w:t>#危险废物贮存库</w:t>
      </w:r>
      <w:r>
        <w:rPr>
          <w:rStyle w:val="19"/>
          <w:rFonts w:hint="eastAsia" w:ascii="仿宋" w:hAnsi="仿宋" w:eastAsia="仿宋"/>
          <w:color w:val="auto"/>
          <w:sz w:val="32"/>
          <w:szCs w:val="32"/>
          <w:lang w:eastAsia="zh-CN"/>
        </w:rPr>
        <w:t>酸雾</w:t>
      </w:r>
      <w:r>
        <w:rPr>
          <w:rStyle w:val="19"/>
          <w:rFonts w:hint="eastAsia" w:ascii="仿宋" w:hAnsi="仿宋" w:eastAsia="仿宋"/>
          <w:color w:val="auto"/>
          <w:sz w:val="32"/>
          <w:szCs w:val="32"/>
          <w:lang w:val="en-US" w:eastAsia="zh-CN"/>
        </w:rPr>
        <w:t>经</w:t>
      </w:r>
      <w:r>
        <w:rPr>
          <w:rStyle w:val="19"/>
          <w:rFonts w:hint="eastAsia" w:ascii="仿宋" w:hAnsi="仿宋" w:eastAsia="仿宋"/>
          <w:color w:val="auto"/>
          <w:sz w:val="32"/>
          <w:szCs w:val="32"/>
          <w:lang w:eastAsia="zh-CN"/>
        </w:rPr>
        <w:t>收集处理后</w:t>
      </w:r>
      <w:r>
        <w:rPr>
          <w:rFonts w:hint="eastAsia" w:ascii="仿宋" w:hAnsi="仿宋" w:eastAsia="仿宋" w:cs="仿宋"/>
          <w:color w:val="auto"/>
          <w:kern w:val="0"/>
          <w:sz w:val="32"/>
          <w:szCs w:val="32"/>
          <w:lang w:val="en-US" w:eastAsia="zh-CN" w:bidi="ar-SA"/>
        </w:rPr>
        <w:t>由另1根</w:t>
      </w:r>
      <w:r>
        <w:rPr>
          <w:rStyle w:val="19"/>
          <w:rFonts w:hint="eastAsia" w:ascii="仿宋" w:hAnsi="仿宋" w:eastAsia="仿宋"/>
          <w:color w:val="auto"/>
          <w:sz w:val="32"/>
          <w:szCs w:val="32"/>
          <w:lang w:val="en-US" w:eastAsia="zh-CN"/>
        </w:rPr>
        <w:t>15米高排气筒排放，</w:t>
      </w:r>
      <w:r>
        <w:rPr>
          <w:rStyle w:val="19"/>
          <w:rFonts w:hint="eastAsia" w:ascii="仿宋" w:hAnsi="仿宋" w:eastAsia="仿宋"/>
          <w:color w:val="auto"/>
          <w:sz w:val="32"/>
          <w:szCs w:val="32"/>
        </w:rPr>
        <w:t>执行《大气污染物综合排放标准》（GB16297-1996）表2</w:t>
      </w:r>
      <w:r>
        <w:rPr>
          <w:rFonts w:hint="eastAsia" w:ascii="仿宋" w:hAnsi="仿宋" w:eastAsia="仿宋" w:cs="仿宋"/>
          <w:color w:val="auto"/>
          <w:kern w:val="0"/>
          <w:sz w:val="32"/>
          <w:szCs w:val="32"/>
          <w:lang w:val="en-US" w:eastAsia="zh-CN" w:bidi="ar-SA"/>
        </w:rPr>
        <w:t>中</w:t>
      </w:r>
      <w:r>
        <w:rPr>
          <w:rStyle w:val="19"/>
          <w:rFonts w:hint="eastAsia" w:ascii="仿宋" w:hAnsi="仿宋" w:eastAsia="仿宋"/>
          <w:color w:val="auto"/>
          <w:sz w:val="32"/>
          <w:szCs w:val="32"/>
        </w:rPr>
        <w:t>二级标准</w:t>
      </w:r>
      <w:r>
        <w:rPr>
          <w:rStyle w:val="19"/>
          <w:rFonts w:hint="eastAsia" w:ascii="仿宋" w:hAnsi="仿宋" w:eastAsia="仿宋"/>
          <w:color w:val="auto"/>
          <w:sz w:val="32"/>
          <w:szCs w:val="32"/>
          <w:lang w:eastAsia="zh-CN"/>
        </w:rPr>
        <w:t>。</w:t>
      </w:r>
      <w:r>
        <w:rPr>
          <w:rStyle w:val="19"/>
          <w:rFonts w:hint="eastAsia" w:ascii="仿宋" w:hAnsi="仿宋" w:eastAsia="仿宋"/>
          <w:color w:val="auto"/>
          <w:sz w:val="32"/>
          <w:szCs w:val="32"/>
        </w:rPr>
        <w:t>非甲烷总烃、酸雾</w:t>
      </w:r>
      <w:r>
        <w:rPr>
          <w:rStyle w:val="19"/>
          <w:rFonts w:hint="eastAsia" w:ascii="仿宋" w:hAnsi="仿宋" w:eastAsia="仿宋"/>
          <w:color w:val="auto"/>
          <w:sz w:val="32"/>
          <w:szCs w:val="32"/>
          <w:lang w:eastAsia="zh-CN"/>
        </w:rPr>
        <w:t>无组织排放</w:t>
      </w:r>
      <w:r>
        <w:rPr>
          <w:rStyle w:val="19"/>
          <w:rFonts w:hint="eastAsia" w:ascii="仿宋" w:hAnsi="仿宋" w:eastAsia="仿宋"/>
          <w:color w:val="auto"/>
          <w:sz w:val="32"/>
          <w:szCs w:val="32"/>
        </w:rPr>
        <w:t>执行《大气污染物综合排放标准》（GB16297-1996）表2中无组织排放监控浓度限值。臭气浓度无组织排放执行《恶臭污染物排放标准》（GB14554-1993）表1</w:t>
      </w:r>
      <w:r>
        <w:rPr>
          <w:rStyle w:val="19"/>
          <w:rFonts w:hint="eastAsia" w:ascii="仿宋" w:hAnsi="仿宋" w:eastAsia="仿宋"/>
          <w:color w:val="auto"/>
          <w:sz w:val="32"/>
          <w:szCs w:val="32"/>
          <w:lang w:val="en-US" w:eastAsia="zh-CN"/>
        </w:rPr>
        <w:t>中</w:t>
      </w:r>
      <w:r>
        <w:rPr>
          <w:rFonts w:hint="eastAsia" w:ascii="仿宋" w:hAnsi="仿宋" w:eastAsia="仿宋" w:cs="仿宋"/>
          <w:color w:val="auto"/>
          <w:kern w:val="0"/>
          <w:sz w:val="32"/>
          <w:szCs w:val="32"/>
          <w:lang w:val="en-US" w:eastAsia="zh-CN" w:bidi="ar-SA"/>
        </w:rPr>
        <w:t>恶臭污染物厂界</w:t>
      </w:r>
      <w:r>
        <w:rPr>
          <w:rStyle w:val="19"/>
          <w:rFonts w:hint="eastAsia" w:ascii="仿宋" w:hAnsi="仿宋" w:eastAsia="仿宋" w:cs="Times New Roman"/>
          <w:color w:val="auto"/>
          <w:sz w:val="32"/>
          <w:szCs w:val="32"/>
          <w:lang w:val="en-US" w:eastAsia="zh-CN"/>
        </w:rPr>
        <w:t>二级</w:t>
      </w:r>
      <w:r>
        <w:rPr>
          <w:rStyle w:val="19"/>
          <w:rFonts w:hint="eastAsia" w:ascii="仿宋" w:hAnsi="仿宋" w:eastAsia="仿宋" w:cs="Times New Roman"/>
          <w:color w:val="auto"/>
          <w:sz w:val="32"/>
          <w:szCs w:val="32"/>
        </w:rPr>
        <w:t>新</w:t>
      </w:r>
      <w:r>
        <w:rPr>
          <w:rStyle w:val="19"/>
          <w:rFonts w:hint="eastAsia" w:ascii="仿宋" w:hAnsi="仿宋" w:eastAsia="仿宋" w:cs="Times New Roman"/>
          <w:color w:val="auto"/>
          <w:sz w:val="32"/>
          <w:szCs w:val="32"/>
          <w:lang w:eastAsia="zh-CN"/>
        </w:rPr>
        <w:t>扩改建</w:t>
      </w:r>
      <w:r>
        <w:rPr>
          <w:rStyle w:val="19"/>
          <w:rFonts w:hint="eastAsia" w:ascii="仿宋" w:hAnsi="仿宋" w:eastAsia="仿宋" w:cs="Times New Roman"/>
          <w:color w:val="auto"/>
          <w:sz w:val="32"/>
          <w:szCs w:val="32"/>
        </w:rPr>
        <w:t>标准限值</w:t>
      </w:r>
      <w:r>
        <w:rPr>
          <w:rStyle w:val="19"/>
          <w:rFonts w:hint="eastAsia" w:ascii="仿宋" w:hAnsi="仿宋" w:eastAsia="仿宋"/>
          <w:color w:val="auto"/>
          <w:sz w:val="32"/>
          <w:szCs w:val="32"/>
          <w:lang w:eastAsia="zh-CN"/>
        </w:rPr>
        <w:t>。</w:t>
      </w:r>
    </w:p>
    <w:p w14:paraId="14AA45C4">
      <w:pPr>
        <w:pStyle w:val="55"/>
        <w:keepNext w:val="0"/>
        <w:keepLines w:val="0"/>
        <w:pageBreakBefore w:val="0"/>
        <w:widowControl w:val="0"/>
        <w:numPr>
          <w:ilvl w:val="0"/>
          <w:numId w:val="2"/>
        </w:numPr>
        <w:kinsoku/>
        <w:wordWrap/>
        <w:overflowPunct/>
        <w:topLinePunct w:val="0"/>
        <w:autoSpaceDE/>
        <w:autoSpaceDN/>
        <w:bidi w:val="0"/>
        <w:adjustRightInd/>
        <w:spacing w:before="0" w:after="0" w:line="360" w:lineRule="auto"/>
        <w:ind w:left="0" w:leftChars="0" w:right="0" w:firstLine="640" w:firstLineChars="200"/>
        <w:jc w:val="both"/>
        <w:textAlignment w:val="auto"/>
        <w:rPr>
          <w:rStyle w:val="19"/>
          <w:rFonts w:hint="eastAsia" w:ascii="仿宋" w:hAnsi="仿宋" w:eastAsia="仿宋" w:cs="Times New Roman"/>
          <w:color w:val="auto"/>
          <w:sz w:val="32"/>
          <w:szCs w:val="32"/>
          <w:lang w:val="en-US" w:eastAsia="zh-CN" w:bidi="ar-SA"/>
        </w:rPr>
      </w:pPr>
      <w:r>
        <w:rPr>
          <w:rStyle w:val="19"/>
          <w:rFonts w:hint="eastAsia" w:ascii="仿宋" w:hAnsi="仿宋" w:eastAsia="仿宋" w:cs="Times New Roman"/>
          <w:color w:val="auto"/>
          <w:sz w:val="32"/>
          <w:szCs w:val="32"/>
          <w:lang w:val="en-US" w:eastAsia="zh-CN" w:bidi="ar-SA"/>
        </w:rPr>
        <w:t>运营期不产生生产废水，不新增生活污水。</w:t>
      </w:r>
    </w:p>
    <w:p w14:paraId="50ECEABE">
      <w:pPr>
        <w:pStyle w:val="55"/>
        <w:keepNext w:val="0"/>
        <w:keepLines w:val="0"/>
        <w:pageBreakBefore w:val="0"/>
        <w:widowControl w:val="0"/>
        <w:numPr>
          <w:ilvl w:val="0"/>
          <w:numId w:val="2"/>
        </w:numPr>
        <w:kinsoku/>
        <w:wordWrap/>
        <w:overflowPunct/>
        <w:topLinePunct w:val="0"/>
        <w:autoSpaceDE/>
        <w:autoSpaceDN/>
        <w:bidi w:val="0"/>
        <w:adjustRightInd/>
        <w:spacing w:before="0" w:after="0" w:line="360" w:lineRule="auto"/>
        <w:ind w:left="0" w:leftChars="0" w:right="0" w:firstLine="640" w:firstLineChars="200"/>
        <w:jc w:val="both"/>
        <w:textAlignment w:val="auto"/>
        <w:rPr>
          <w:rStyle w:val="19"/>
          <w:rFonts w:ascii="仿宋" w:hAnsi="仿宋" w:eastAsia="仿宋"/>
          <w:color w:val="auto"/>
          <w:sz w:val="32"/>
          <w:szCs w:val="32"/>
        </w:rPr>
      </w:pPr>
      <w:r>
        <w:rPr>
          <w:rStyle w:val="19"/>
          <w:rFonts w:hint="eastAsia" w:ascii="仿宋" w:hAnsi="仿宋" w:eastAsia="仿宋" w:cs="Times New Roman"/>
          <w:color w:val="auto"/>
          <w:sz w:val="32"/>
          <w:szCs w:val="32"/>
          <w:lang w:val="en-US" w:eastAsia="zh-CN"/>
        </w:rPr>
        <w:t>噪声污染防治措施。通过采取控制车速、禁止鸣笛、加强车辆保养等</w:t>
      </w:r>
      <w:r>
        <w:rPr>
          <w:rStyle w:val="19"/>
          <w:rFonts w:hint="eastAsia" w:ascii="仿宋" w:hAnsi="仿宋" w:eastAsia="仿宋"/>
          <w:color w:val="auto"/>
          <w:sz w:val="32"/>
          <w:szCs w:val="32"/>
          <w:highlight w:val="none"/>
          <w:lang w:val="en-US" w:eastAsia="zh-CN"/>
        </w:rPr>
        <w:t>措施，确保</w:t>
      </w:r>
      <w:r>
        <w:rPr>
          <w:rStyle w:val="19"/>
          <w:rFonts w:hint="eastAsia" w:ascii="仿宋" w:hAnsi="仿宋" w:eastAsia="仿宋"/>
          <w:color w:val="auto"/>
          <w:sz w:val="32"/>
          <w:szCs w:val="32"/>
          <w:highlight w:val="none"/>
        </w:rPr>
        <w:t>运营期厂界噪声</w:t>
      </w:r>
      <w:r>
        <w:rPr>
          <w:rStyle w:val="19"/>
          <w:rFonts w:hint="eastAsia" w:ascii="仿宋" w:hAnsi="仿宋" w:eastAsia="仿宋"/>
          <w:color w:val="auto"/>
          <w:sz w:val="32"/>
          <w:szCs w:val="32"/>
          <w:highlight w:val="none"/>
          <w:lang w:val="en-US" w:eastAsia="zh-CN"/>
        </w:rPr>
        <w:t>满足</w:t>
      </w:r>
      <w:r>
        <w:rPr>
          <w:rStyle w:val="19"/>
          <w:rFonts w:hint="eastAsia" w:ascii="仿宋" w:hAnsi="仿宋" w:eastAsia="仿宋"/>
          <w:color w:val="auto"/>
          <w:sz w:val="32"/>
          <w:szCs w:val="32"/>
        </w:rPr>
        <w:t>《工业企业厂界环境噪声排放标准》（GB12348-2008）中</w:t>
      </w:r>
      <w:r>
        <w:rPr>
          <w:rStyle w:val="19"/>
          <w:rFonts w:hint="eastAsia" w:ascii="仿宋" w:hAnsi="仿宋" w:eastAsia="仿宋"/>
          <w:color w:val="auto"/>
          <w:sz w:val="32"/>
          <w:szCs w:val="32"/>
          <w:lang w:val="en-US" w:eastAsia="zh-CN"/>
        </w:rPr>
        <w:t>3</w:t>
      </w:r>
      <w:r>
        <w:rPr>
          <w:rStyle w:val="19"/>
          <w:rFonts w:hint="eastAsia" w:ascii="仿宋" w:hAnsi="仿宋" w:eastAsia="仿宋"/>
          <w:color w:val="auto"/>
          <w:sz w:val="32"/>
          <w:szCs w:val="32"/>
        </w:rPr>
        <w:t>类标准。</w:t>
      </w:r>
    </w:p>
    <w:p w14:paraId="449E545A">
      <w:pPr>
        <w:keepNext w:val="0"/>
        <w:keepLines w:val="0"/>
        <w:pageBreakBefore w:val="0"/>
        <w:numPr>
          <w:ilvl w:val="0"/>
          <w:numId w:val="2"/>
        </w:numPr>
        <w:kinsoku/>
        <w:wordWrap/>
        <w:overflowPunct/>
        <w:topLinePunct w:val="0"/>
        <w:autoSpaceDE/>
        <w:autoSpaceDN/>
        <w:bidi w:val="0"/>
        <w:adjustRightInd/>
        <w:spacing w:line="360" w:lineRule="auto"/>
        <w:ind w:left="0" w:firstLine="640" w:firstLineChars="200"/>
        <w:jc w:val="both"/>
        <w:textAlignment w:val="auto"/>
        <w:rPr>
          <w:rFonts w:hint="eastAsia" w:ascii="仿宋" w:hAnsi="仿宋" w:eastAsia="仿宋" w:cs="仿宋"/>
          <w:color w:val="auto"/>
          <w:kern w:val="0"/>
          <w:sz w:val="32"/>
          <w:szCs w:val="32"/>
          <w:lang w:val="en-US" w:eastAsia="zh-CN" w:bidi="ar-SA"/>
        </w:rPr>
      </w:pPr>
      <w:r>
        <w:rPr>
          <w:rStyle w:val="19"/>
          <w:rFonts w:hint="eastAsia" w:ascii="仿宋" w:hAnsi="仿宋" w:eastAsia="仿宋" w:cs="Times New Roman"/>
          <w:color w:val="auto"/>
          <w:sz w:val="32"/>
          <w:szCs w:val="32"/>
          <w:lang w:val="en-US" w:eastAsia="zh-CN" w:bidi="ar-SA"/>
        </w:rPr>
        <w:t>固废污染防治措施。</w:t>
      </w: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sz w:val="32"/>
          <w:szCs w:val="32"/>
        </w:rPr>
        <w:t>《一般工业固体废物贮存和填埋污染控制标准》（GB18599-2020）</w:t>
      </w:r>
      <w:r>
        <w:rPr>
          <w:rFonts w:hint="eastAsia" w:ascii="仿宋" w:hAnsi="仿宋" w:eastAsia="仿宋" w:cs="仿宋"/>
          <w:color w:val="auto"/>
          <w:kern w:val="2"/>
          <w:sz w:val="32"/>
          <w:szCs w:val="32"/>
        </w:rPr>
        <w:t>处置一般固废，不得乱弃。</w:t>
      </w:r>
      <w:r>
        <w:rPr>
          <w:rFonts w:hint="eastAsia" w:ascii="仿宋" w:hAnsi="仿宋" w:eastAsia="仿宋" w:cs="仿宋"/>
          <w:color w:val="auto"/>
          <w:sz w:val="32"/>
          <w:szCs w:val="32"/>
          <w:lang w:eastAsia="zh-CN"/>
        </w:rPr>
        <w:t>危险废物</w:t>
      </w:r>
      <w:r>
        <w:rPr>
          <w:rFonts w:hint="eastAsia" w:ascii="仿宋" w:hAnsi="仿宋" w:eastAsia="仿宋" w:cs="仿宋"/>
          <w:color w:val="auto"/>
          <w:sz w:val="32"/>
          <w:szCs w:val="32"/>
        </w:rPr>
        <w:t>贮存库</w:t>
      </w:r>
      <w:r>
        <w:rPr>
          <w:rFonts w:ascii="仿宋" w:hAnsi="仿宋" w:eastAsia="仿宋" w:cs="仿宋"/>
          <w:color w:val="auto"/>
          <w:sz w:val="32"/>
          <w:szCs w:val="32"/>
        </w:rPr>
        <w:t>须严格按照《危险废物贮存污染控制标准》（GB18597-20</w:t>
      </w:r>
      <w:r>
        <w:rPr>
          <w:rFonts w:hint="eastAsia" w:ascii="仿宋" w:hAnsi="仿宋" w:eastAsia="仿宋" w:cs="仿宋"/>
          <w:color w:val="auto"/>
          <w:sz w:val="32"/>
          <w:szCs w:val="32"/>
        </w:rPr>
        <w:t>23</w:t>
      </w:r>
      <w:r>
        <w:rPr>
          <w:rFonts w:ascii="仿宋" w:hAnsi="仿宋" w:eastAsia="仿宋" w:cs="仿宋"/>
          <w:color w:val="auto"/>
          <w:sz w:val="32"/>
          <w:szCs w:val="32"/>
        </w:rPr>
        <w:t>）进行设计、建设和管理。</w:t>
      </w:r>
      <w:r>
        <w:rPr>
          <w:rFonts w:hint="eastAsia" w:ascii="仿宋" w:hAnsi="仿宋" w:eastAsia="仿宋" w:cs="仿宋"/>
          <w:color w:val="auto"/>
          <w:sz w:val="32"/>
          <w:szCs w:val="32"/>
        </w:rPr>
        <w:t>危险废物收集和运输等均按照《危险废物收集 贮存 运输技术规范》(HJ2025-2012)要求执行。危废必须由有资质单位处置。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14:paraId="0B0EFA0C">
      <w:pPr>
        <w:keepNext w:val="0"/>
        <w:keepLines w:val="0"/>
        <w:pageBreakBefore w:val="0"/>
        <w:numPr>
          <w:ilvl w:val="0"/>
          <w:numId w:val="2"/>
        </w:numPr>
        <w:kinsoku/>
        <w:wordWrap/>
        <w:overflowPunct/>
        <w:topLinePunct w:val="0"/>
        <w:autoSpaceDE/>
        <w:autoSpaceDN/>
        <w:bidi w:val="0"/>
        <w:spacing w:line="360" w:lineRule="auto"/>
        <w:ind w:lef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地面须按相关要求做好防渗措施，确保不会对地下水造成影响。</w:t>
      </w:r>
    </w:p>
    <w:p w14:paraId="533071AB">
      <w:pPr>
        <w:keepNext w:val="0"/>
        <w:keepLines w:val="0"/>
        <w:pageBreakBefore w:val="0"/>
        <w:numPr>
          <w:ilvl w:val="0"/>
          <w:numId w:val="2"/>
        </w:numPr>
        <w:kinsoku/>
        <w:wordWrap/>
        <w:overflowPunct/>
        <w:topLinePunct w:val="0"/>
        <w:autoSpaceDE/>
        <w:autoSpaceDN/>
        <w:bidi w:val="0"/>
        <w:adjustRightInd/>
        <w:spacing w:line="360" w:lineRule="auto"/>
        <w:ind w:left="0" w:firstLine="640" w:firstLineChars="200"/>
        <w:jc w:val="both"/>
        <w:textAlignment w:val="auto"/>
        <w:rPr>
          <w:rFonts w:hint="eastAsia" w:ascii="仿宋" w:hAnsi="仿宋" w:eastAsia="仿宋" w:cs="仿宋"/>
          <w:color w:val="000000" w:themeColor="text1"/>
          <w:kern w:val="0"/>
          <w:sz w:val="32"/>
          <w:szCs w:val="32"/>
          <w:lang w:val="en-US" w:eastAsia="zh-CN" w:bidi="ar-SA"/>
          <w14:textFill>
            <w14:solidFill>
              <w14:schemeClr w14:val="tx1"/>
            </w14:solidFill>
          </w14:textFill>
        </w:rPr>
      </w:pPr>
      <w:r>
        <w:rPr>
          <w:rFonts w:hint="eastAsia" w:ascii="仿宋" w:hAnsi="仿宋" w:eastAsia="仿宋" w:cs="仿宋"/>
          <w:color w:val="000000" w:themeColor="text1"/>
          <w:kern w:val="0"/>
          <w:sz w:val="32"/>
          <w:szCs w:val="32"/>
          <w:lang w:val="en-US" w:eastAsia="zh-CN" w:bidi="ar-SA"/>
          <w14:textFill>
            <w14:solidFill>
              <w14:schemeClr w14:val="tx1"/>
            </w14:solidFill>
          </w14:textFill>
        </w:rPr>
        <w:t>强化环境风险防范，提高事故风险防范和污染控制能力。加强危险废物收集和储运管理，加快危险废物转运频次，严格按照贮存能力进行贮存，不得超期超量堆存；配备必要的应急物资和个人防护设备，保障事故污水不进入外环境。制定突发环境事件应急预案，与当地政府及相关单位应急预案实施联动，定期组织开展应急演练，严格落实各项应急管理及环境风险防范措施。</w:t>
      </w:r>
    </w:p>
    <w:p w14:paraId="0C46480B">
      <w:pPr>
        <w:keepNext w:val="0"/>
        <w:keepLines w:val="0"/>
        <w:pageBreakBefore w:val="0"/>
        <w:numPr>
          <w:ilvl w:val="0"/>
          <w:numId w:val="2"/>
        </w:numPr>
        <w:kinsoku/>
        <w:wordWrap/>
        <w:overflowPunct/>
        <w:topLinePunct w:val="0"/>
        <w:autoSpaceDE/>
        <w:autoSpaceDN/>
        <w:bidi w:val="0"/>
        <w:adjustRightInd/>
        <w:spacing w:line="360" w:lineRule="auto"/>
        <w:ind w:left="0" w:firstLine="640" w:firstLineChars="200"/>
        <w:jc w:val="both"/>
        <w:textAlignment w:val="auto"/>
        <w:rPr>
          <w:rFonts w:hint="eastAsia" w:ascii="仿宋" w:hAnsi="仿宋" w:eastAsia="仿宋" w:cs="仿宋"/>
          <w:color w:val="000000" w:themeColor="text1"/>
          <w:kern w:val="0"/>
          <w:sz w:val="32"/>
          <w:szCs w:val="32"/>
          <w:lang w:val="en-US" w:eastAsia="zh-CN" w:bidi="ar-SA"/>
          <w14:textFill>
            <w14:solidFill>
              <w14:schemeClr w14:val="tx1"/>
            </w14:solidFill>
          </w14:textFill>
        </w:rPr>
      </w:pPr>
      <w:r>
        <w:rPr>
          <w:rFonts w:hint="eastAsia" w:ascii="仿宋" w:hAnsi="仿宋" w:eastAsia="仿宋" w:cs="仿宋"/>
          <w:color w:val="000000" w:themeColor="text1"/>
          <w:kern w:val="0"/>
          <w:sz w:val="32"/>
          <w:szCs w:val="32"/>
          <w:lang w:val="en-US" w:eastAsia="zh-CN" w:bidi="ar-SA"/>
          <w14:textFill>
            <w14:solidFill>
              <w14:schemeClr w14:val="tx1"/>
            </w14:solidFill>
          </w14:textFill>
        </w:rPr>
        <w:t>你公司应按照</w:t>
      </w:r>
      <w:r>
        <w:rPr>
          <w:rFonts w:hint="default" w:ascii="仿宋" w:hAnsi="仿宋" w:eastAsia="仿宋" w:cs="仿宋"/>
          <w:color w:val="000000" w:themeColor="text1"/>
          <w:sz w:val="32"/>
          <w:szCs w:val="32"/>
          <w:lang w:val="en-US"/>
          <w14:textFill>
            <w14:solidFill>
              <w14:schemeClr w14:val="tx1"/>
            </w14:solidFill>
          </w14:textFill>
        </w:rPr>
        <w:t>《危险废物</w:t>
      </w:r>
      <w:r>
        <w:rPr>
          <w:rFonts w:hint="eastAsia" w:ascii="仿宋" w:hAnsi="仿宋" w:eastAsia="仿宋" w:cs="仿宋"/>
          <w:color w:val="000000" w:themeColor="text1"/>
          <w:sz w:val="32"/>
          <w:szCs w:val="32"/>
          <w:lang w:val="en-US" w:eastAsia="zh-CN"/>
          <w14:textFill>
            <w14:solidFill>
              <w14:schemeClr w14:val="tx1"/>
            </w14:solidFill>
          </w14:textFill>
        </w:rPr>
        <w:t>经营许可证管理办法</w:t>
      </w:r>
      <w:r>
        <w:rPr>
          <w:rFonts w:hint="default" w:ascii="仿宋" w:hAnsi="仿宋" w:eastAsia="仿宋" w:cs="仿宋"/>
          <w:color w:val="000000" w:themeColor="text1"/>
          <w:sz w:val="32"/>
          <w:szCs w:val="32"/>
          <w:lang w:val="en-US"/>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规定获得经营许可证，严禁无经营许可证或者不按照经营许可证规定从事危险废物收集、贮存经营活动。</w:t>
      </w:r>
    </w:p>
    <w:p w14:paraId="78E79673">
      <w:pPr>
        <w:pStyle w:val="3"/>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640" w:firstLineChars="200"/>
        <w:jc w:val="both"/>
        <w:rPr>
          <w:rFonts w:hint="eastAsia" w:ascii="仿宋" w:hAnsi="仿宋" w:eastAsia="仿宋" w:cs="仿宋"/>
          <w:color w:val="000000" w:themeColor="text1"/>
          <w:kern w:val="0"/>
          <w:sz w:val="32"/>
          <w:szCs w:val="32"/>
          <w:lang w:val="en-US" w:eastAsia="zh-CN" w:bidi="ar-SA"/>
          <w14:textFill>
            <w14:solidFill>
              <w14:schemeClr w14:val="tx1"/>
            </w14:solidFill>
          </w14:textFill>
        </w:rPr>
      </w:pPr>
      <w:r>
        <w:rPr>
          <w:rFonts w:hint="eastAsia" w:ascii="仿宋" w:hAnsi="仿宋" w:eastAsia="仿宋" w:cs="仿宋"/>
          <w:color w:val="000000" w:themeColor="text1"/>
          <w:kern w:val="0"/>
          <w:sz w:val="32"/>
          <w:szCs w:val="32"/>
          <w:lang w:val="en-US" w:eastAsia="zh-CN" w:bidi="ar-SA"/>
          <w14:textFill>
            <w14:solidFill>
              <w14:schemeClr w14:val="tx1"/>
            </w14:solidFill>
          </w14:textFill>
        </w:rPr>
        <w:t>按照《排污口规范化整治技术要求》（环监〔1996〕470号）规范设置排污口。</w:t>
      </w:r>
    </w:p>
    <w:p w14:paraId="15129CB7">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lang w:val="en-US" w:eastAsia="zh-CN" w:bidi="ar-SA"/>
          <w14:textFill>
            <w14:solidFill>
              <w14:schemeClr w14:val="tx1"/>
            </w14:solidFill>
          </w14:textFill>
        </w:rPr>
        <w:t>三、本项目申请挥</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发性有机物总量为0.36吨/年（鄂环气字〔2025〕42号）。</w:t>
      </w:r>
    </w:p>
    <w:p w14:paraId="0C71B187">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rPr>
          <w:rStyle w:val="19"/>
          <w:rFonts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四、</w:t>
      </w:r>
      <w:r>
        <w:rPr>
          <w:rFonts w:hint="eastAsia" w:ascii="仿宋" w:hAnsi="仿宋" w:eastAsia="仿宋" w:cs="仿宋"/>
          <w:color w:val="000000" w:themeColor="text1"/>
          <w:sz w:val="32"/>
          <w:szCs w:val="32"/>
          <w14:textFill>
            <w14:solidFill>
              <w14:schemeClr w14:val="tx1"/>
            </w14:solidFill>
          </w14:textFill>
        </w:rPr>
        <w:t>你单位应委托有相应资质的设计单位对建设项目重点环保设施进行设计，并在项目施工及运行过程中严格落实环保设施安全生产工作要求。</w:t>
      </w:r>
    </w:p>
    <w:p w14:paraId="31E880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rPr>
          <w:rStyle w:val="19"/>
          <w:rFonts w:hint="default" w:ascii="Times New Roman" w:hAnsi="Times New Roman" w:eastAsia="仿宋" w:cs="Times New Roman"/>
          <w:color w:val="000000" w:themeColor="text1"/>
          <w:sz w:val="32"/>
          <w:szCs w:val="32"/>
          <w14:textFill>
            <w14:solidFill>
              <w14:schemeClr w14:val="tx1"/>
            </w14:solidFill>
          </w14:textFill>
        </w:rPr>
      </w:pPr>
      <w:r>
        <w:rPr>
          <w:rStyle w:val="19"/>
          <w:rFonts w:hint="eastAsia" w:ascii="Times New Roman" w:hAnsi="Times New Roman" w:eastAsia="仿宋" w:cs="Times New Roman"/>
          <w:color w:val="000000" w:themeColor="text1"/>
          <w:sz w:val="32"/>
          <w:szCs w:val="32"/>
          <w:lang w:val="en-US" w:eastAsia="zh-CN"/>
          <w14:textFill>
            <w14:solidFill>
              <w14:schemeClr w14:val="tx1"/>
            </w14:solidFill>
          </w14:textFill>
        </w:rPr>
        <w:t>五、</w:t>
      </w:r>
      <w:r>
        <w:rPr>
          <w:rStyle w:val="19"/>
          <w:rFonts w:hint="default" w:ascii="Times New Roman" w:hAnsi="Times New Roman" w:eastAsia="仿宋" w:cs="Times New Roman"/>
          <w:color w:val="000000" w:themeColor="text1"/>
          <w:sz w:val="32"/>
          <w:szCs w:val="32"/>
          <w14:textFill>
            <w14:solidFill>
              <w14:schemeClr w14:val="tx1"/>
            </w14:solidFill>
          </w14:textFill>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47A0D1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rPr>
          <w:rStyle w:val="19"/>
          <w:rFonts w:hint="eastAsia" w:ascii="仿宋" w:hAnsi="仿宋" w:eastAsia="仿宋" w:cs="Times New Roman"/>
          <w:color w:val="000000" w:themeColor="text1"/>
          <w:sz w:val="32"/>
          <w:szCs w:val="32"/>
          <w:lang w:eastAsia="zh-CN"/>
          <w14:textFill>
            <w14:solidFill>
              <w14:schemeClr w14:val="tx1"/>
            </w14:solidFill>
          </w14:textFill>
        </w:rPr>
      </w:pPr>
      <w:r>
        <w:rPr>
          <w:rStyle w:val="19"/>
          <w:rFonts w:hint="eastAsia" w:ascii="仿宋" w:hAnsi="仿宋" w:eastAsia="仿宋" w:cs="Times New Roman"/>
          <w:color w:val="000000" w:themeColor="text1"/>
          <w:sz w:val="32"/>
          <w:szCs w:val="32"/>
          <w:lang w:val="en-US" w:eastAsia="zh-CN"/>
          <w14:textFill>
            <w14:solidFill>
              <w14:schemeClr w14:val="tx1"/>
            </w14:solidFill>
          </w14:textFill>
        </w:rPr>
        <w:t>六、</w:t>
      </w:r>
      <w:r>
        <w:rPr>
          <w:rStyle w:val="19"/>
          <w:rFonts w:hint="eastAsia" w:ascii="仿宋" w:hAnsi="仿宋" w:eastAsia="仿宋" w:cs="Times New Roman"/>
          <w:color w:val="000000" w:themeColor="text1"/>
          <w:sz w:val="32"/>
          <w:szCs w:val="32"/>
          <w14:textFill>
            <w14:solidFill>
              <w14:schemeClr w14:val="tx1"/>
            </w14:solidFill>
          </w14:textFill>
        </w:rPr>
        <w:t>该项目事中事后监管由鄂尔多斯市生态环境综合行政执法支队东胜区大队负责</w:t>
      </w:r>
      <w:r>
        <w:rPr>
          <w:rStyle w:val="19"/>
          <w:rFonts w:hint="eastAsia" w:ascii="仿宋" w:hAnsi="仿宋" w:eastAsia="仿宋" w:cs="Times New Roman"/>
          <w:color w:val="000000" w:themeColor="text1"/>
          <w:sz w:val="32"/>
          <w:szCs w:val="32"/>
          <w:lang w:eastAsia="zh-CN"/>
          <w14:textFill>
            <w14:solidFill>
              <w14:schemeClr w14:val="tx1"/>
            </w14:solidFill>
          </w14:textFill>
        </w:rPr>
        <w:t>。</w:t>
      </w:r>
    </w:p>
    <w:p w14:paraId="4CE511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rPr>
          <w:rFonts w:hint="eastAsia"/>
        </w:rPr>
      </w:pPr>
      <w:r>
        <w:rPr>
          <w:rStyle w:val="19"/>
          <w:rFonts w:hint="eastAsia" w:ascii="仿宋" w:hAnsi="仿宋" w:eastAsia="仿宋" w:cs="Times New Roman"/>
          <w:color w:val="000000" w:themeColor="text1"/>
          <w:sz w:val="32"/>
          <w:szCs w:val="32"/>
          <w:lang w:val="en-US" w:eastAsia="zh-CN"/>
          <w14:textFill>
            <w14:solidFill>
              <w14:schemeClr w14:val="tx1"/>
            </w14:solidFill>
          </w14:textFill>
        </w:rPr>
        <w:t>七、</w:t>
      </w:r>
      <w:r>
        <w:rPr>
          <w:rStyle w:val="19"/>
          <w:rFonts w:hint="eastAsia" w:ascii="仿宋" w:hAnsi="仿宋" w:eastAsia="仿宋"/>
          <w:color w:val="000000" w:themeColor="text1"/>
          <w:sz w:val="32"/>
          <w:szCs w:val="32"/>
          <w14:textFill>
            <w14:solidFill>
              <w14:schemeClr w14:val="tx1"/>
            </w14:solidFill>
          </w14:textFill>
        </w:rPr>
        <w:t>该项目从批准之日起超过</w:t>
      </w:r>
      <w:r>
        <w:rPr>
          <w:rStyle w:val="19"/>
          <w:rFonts w:ascii="仿宋" w:hAnsi="仿宋" w:eastAsia="仿宋"/>
          <w:color w:val="000000" w:themeColor="text1"/>
          <w:sz w:val="32"/>
          <w:szCs w:val="32"/>
          <w14:textFill>
            <w14:solidFill>
              <w14:schemeClr w14:val="tx1"/>
            </w14:solidFill>
          </w14:textFill>
        </w:rPr>
        <w:t>5</w:t>
      </w:r>
      <w:r>
        <w:rPr>
          <w:rStyle w:val="19"/>
          <w:rFonts w:hint="eastAsia" w:ascii="仿宋" w:hAnsi="仿宋" w:eastAsia="仿宋"/>
          <w:color w:val="000000" w:themeColor="text1"/>
          <w:sz w:val="32"/>
          <w:szCs w:val="32"/>
          <w14:textFill>
            <w14:solidFill>
              <w14:schemeClr w14:val="tx1"/>
            </w14:solidFill>
          </w14:textFill>
        </w:rPr>
        <w:t>年方决定开工建设，其环评文件应重新审核。如果建设地点、规模、防治污染和防止生态破坏的措施等发生重大变化</w:t>
      </w:r>
      <w:r>
        <w:rPr>
          <w:rStyle w:val="19"/>
          <w:rFonts w:hint="eastAsia" w:ascii="仿宋" w:hAnsi="仿宋" w:eastAsia="仿宋"/>
          <w:color w:val="auto"/>
          <w:sz w:val="32"/>
          <w:szCs w:val="32"/>
        </w:rPr>
        <w:t>时，需重新报批环评文件。</w:t>
      </w:r>
      <w:r>
        <w:rPr>
          <w:rStyle w:val="19"/>
          <w:rFonts w:ascii="仿宋" w:hAnsi="仿宋" w:eastAsia="仿宋"/>
          <w:color w:val="auto"/>
          <w:sz w:val="32"/>
          <w:szCs w:val="32"/>
        </w:rPr>
        <w:t xml:space="preserve">                              </w:t>
      </w:r>
    </w:p>
    <w:p w14:paraId="033FC8B3">
      <w:pPr>
        <w:pStyle w:val="3"/>
        <w:ind w:left="0" w:leftChars="0" w:firstLine="0" w:firstLineChars="0"/>
      </w:pPr>
    </w:p>
    <w:p w14:paraId="6B3A1FE3">
      <w:pPr>
        <w:jc w:val="left"/>
      </w:pPr>
    </w:p>
    <w:p w14:paraId="22B82CC5">
      <w:pPr>
        <w:pStyle w:val="3"/>
      </w:pPr>
    </w:p>
    <w:p w14:paraId="6BACFD37"/>
    <w:p w14:paraId="2FA25CAE">
      <w:pPr>
        <w:spacing w:line="360" w:lineRule="auto"/>
        <w:ind w:firstLine="3840" w:firstLineChars="1200"/>
        <w:textAlignment w:val="auto"/>
        <w:rPr>
          <w:rStyle w:val="19"/>
          <w:rFonts w:ascii="仿宋" w:hAnsi="仿宋" w:eastAsia="仿宋"/>
          <w:color w:val="auto"/>
          <w:sz w:val="32"/>
          <w:szCs w:val="32"/>
        </w:rPr>
      </w:pPr>
      <w:r>
        <w:rPr>
          <w:rStyle w:val="19"/>
          <w:rFonts w:hint="eastAsia" w:ascii="仿宋" w:hAnsi="仿宋" w:eastAsia="仿宋"/>
          <w:color w:val="auto"/>
          <w:sz w:val="32"/>
          <w:szCs w:val="32"/>
        </w:rPr>
        <w:t>鄂尔多斯市生态环境局东胜区分局</w:t>
      </w:r>
    </w:p>
    <w:p w14:paraId="2D6EF145">
      <w:pPr>
        <w:spacing w:line="360" w:lineRule="auto"/>
        <w:ind w:firstLine="640" w:firstLineChars="200"/>
        <w:textAlignment w:val="auto"/>
        <w:rPr>
          <w:rStyle w:val="19"/>
          <w:rFonts w:hint="eastAsia" w:ascii="仿宋" w:hAnsi="仿宋" w:eastAsia="仿宋"/>
          <w:color w:val="auto"/>
          <w:sz w:val="32"/>
          <w:szCs w:val="32"/>
          <w:lang w:val="en-US" w:eastAsia="zh-CN"/>
        </w:rPr>
      </w:pPr>
      <w:r>
        <w:rPr>
          <w:rStyle w:val="19"/>
          <w:rFonts w:ascii="仿宋" w:hAnsi="仿宋" w:eastAsia="仿宋"/>
          <w:color w:val="auto"/>
          <w:sz w:val="32"/>
          <w:szCs w:val="32"/>
        </w:rPr>
        <w:t xml:space="preserve">                        </w:t>
      </w:r>
      <w:r>
        <w:rPr>
          <w:rStyle w:val="19"/>
          <w:rFonts w:hint="eastAsia" w:ascii="仿宋" w:hAnsi="仿宋" w:eastAsia="仿宋"/>
          <w:color w:val="auto"/>
          <w:sz w:val="32"/>
          <w:szCs w:val="32"/>
          <w:lang w:val="en-US" w:eastAsia="zh-CN"/>
        </w:rPr>
        <w:t xml:space="preserve"> </w:t>
      </w:r>
      <w:r>
        <w:rPr>
          <w:rStyle w:val="19"/>
          <w:rFonts w:ascii="仿宋" w:hAnsi="仿宋" w:eastAsia="仿宋"/>
          <w:color w:val="auto"/>
          <w:sz w:val="32"/>
          <w:szCs w:val="32"/>
        </w:rPr>
        <w:t xml:space="preserve">   202</w:t>
      </w:r>
      <w:r>
        <w:rPr>
          <w:rStyle w:val="19"/>
          <w:rFonts w:hint="eastAsia" w:ascii="仿宋" w:hAnsi="仿宋" w:eastAsia="仿宋"/>
          <w:color w:val="auto"/>
          <w:sz w:val="32"/>
          <w:szCs w:val="32"/>
          <w:lang w:val="en-US" w:eastAsia="zh-CN"/>
        </w:rPr>
        <w:t>5</w:t>
      </w:r>
      <w:r>
        <w:rPr>
          <w:rStyle w:val="19"/>
          <w:rFonts w:hint="eastAsia" w:ascii="仿宋" w:hAnsi="仿宋" w:eastAsia="仿宋"/>
          <w:color w:val="auto"/>
          <w:sz w:val="32"/>
          <w:szCs w:val="32"/>
        </w:rPr>
        <w:t>年</w:t>
      </w:r>
      <w:r>
        <w:rPr>
          <w:rStyle w:val="19"/>
          <w:rFonts w:hint="eastAsia" w:ascii="仿宋" w:hAnsi="仿宋" w:eastAsia="仿宋"/>
          <w:color w:val="auto"/>
          <w:sz w:val="32"/>
          <w:szCs w:val="32"/>
          <w:lang w:val="en-US" w:eastAsia="zh-CN"/>
        </w:rPr>
        <w:t>7</w:t>
      </w:r>
      <w:r>
        <w:rPr>
          <w:rStyle w:val="19"/>
          <w:rFonts w:hint="eastAsia" w:ascii="仿宋" w:hAnsi="仿宋" w:eastAsia="仿宋"/>
          <w:color w:val="auto"/>
          <w:sz w:val="32"/>
          <w:szCs w:val="32"/>
        </w:rPr>
        <w:t>月</w:t>
      </w:r>
      <w:r>
        <w:rPr>
          <w:rStyle w:val="19"/>
          <w:rFonts w:hint="eastAsia" w:ascii="仿宋" w:hAnsi="仿宋" w:eastAsia="仿宋"/>
          <w:color w:val="auto"/>
          <w:sz w:val="32"/>
          <w:szCs w:val="32"/>
          <w:lang w:val="en-US" w:eastAsia="zh-CN"/>
        </w:rPr>
        <w:t>16日</w:t>
      </w:r>
    </w:p>
    <w:p w14:paraId="75CF3FB8">
      <w:pPr>
        <w:pStyle w:val="3"/>
        <w:rPr>
          <w:rStyle w:val="19"/>
          <w:rFonts w:hint="eastAsia" w:ascii="仿宋" w:hAnsi="仿宋" w:eastAsia="仿宋"/>
          <w:color w:val="auto"/>
          <w:sz w:val="32"/>
          <w:szCs w:val="32"/>
          <w:lang w:val="en-US" w:eastAsia="zh-CN"/>
        </w:rPr>
      </w:pPr>
    </w:p>
    <w:p w14:paraId="4D9D17F0">
      <w:pPr>
        <w:rPr>
          <w:rStyle w:val="19"/>
          <w:rFonts w:hint="eastAsia" w:ascii="仿宋" w:hAnsi="仿宋" w:eastAsia="仿宋"/>
          <w:color w:val="auto"/>
          <w:sz w:val="32"/>
          <w:szCs w:val="32"/>
          <w:lang w:val="en-US" w:eastAsia="zh-CN"/>
        </w:rPr>
      </w:pPr>
    </w:p>
    <w:p w14:paraId="53741D4C">
      <w:pPr>
        <w:pStyle w:val="3"/>
        <w:rPr>
          <w:rStyle w:val="19"/>
          <w:rFonts w:hint="eastAsia" w:ascii="仿宋" w:hAnsi="仿宋" w:eastAsia="仿宋"/>
          <w:color w:val="auto"/>
          <w:sz w:val="32"/>
          <w:szCs w:val="32"/>
          <w:lang w:val="en-US" w:eastAsia="zh-CN"/>
        </w:rPr>
      </w:pPr>
    </w:p>
    <w:p w14:paraId="6F7DEDA1">
      <w:pPr>
        <w:rPr>
          <w:rStyle w:val="19"/>
          <w:rFonts w:hint="eastAsia" w:ascii="仿宋" w:hAnsi="仿宋" w:eastAsia="仿宋"/>
          <w:color w:val="auto"/>
          <w:sz w:val="32"/>
          <w:szCs w:val="32"/>
          <w:lang w:val="en-US" w:eastAsia="zh-CN"/>
        </w:rPr>
      </w:pPr>
    </w:p>
    <w:p w14:paraId="6704CC7A">
      <w:pPr>
        <w:pStyle w:val="3"/>
        <w:rPr>
          <w:rStyle w:val="19"/>
          <w:rFonts w:hint="eastAsia" w:ascii="仿宋" w:hAnsi="仿宋" w:eastAsia="仿宋"/>
          <w:color w:val="auto"/>
          <w:sz w:val="32"/>
          <w:szCs w:val="32"/>
          <w:lang w:val="en-US" w:eastAsia="zh-CN"/>
        </w:rPr>
      </w:pPr>
    </w:p>
    <w:p w14:paraId="0E8165D0">
      <w:pPr>
        <w:rPr>
          <w:rStyle w:val="19"/>
          <w:rFonts w:hint="eastAsia" w:ascii="仿宋" w:hAnsi="仿宋" w:eastAsia="仿宋"/>
          <w:color w:val="auto"/>
          <w:sz w:val="32"/>
          <w:szCs w:val="32"/>
          <w:lang w:val="en-US" w:eastAsia="zh-CN"/>
        </w:rPr>
      </w:pPr>
    </w:p>
    <w:p w14:paraId="59105ADA">
      <w:pPr>
        <w:widowControl w:val="0"/>
        <w:numPr>
          <w:ilvl w:val="-1"/>
          <w:numId w:val="0"/>
        </w:numPr>
        <w:spacing w:line="360" w:lineRule="auto"/>
        <w:ind w:firstLine="0" w:firstLineChars="0"/>
        <w:textAlignment w:val="auto"/>
        <w:rPr>
          <w:rStyle w:val="19"/>
          <w:rFonts w:hint="eastAsia" w:ascii="仿宋" w:hAnsi="仿宋" w:eastAsia="仿宋"/>
          <w:color w:val="auto"/>
          <w:sz w:val="32"/>
          <w:szCs w:val="32"/>
          <w:lang w:eastAsia="zh-CN"/>
        </w:rPr>
      </w:pPr>
      <w:bookmarkStart w:id="0" w:name="_GoBack"/>
      <w:bookmarkEnd w:id="0"/>
      <w:r>
        <w:rPr>
          <w:rStyle w:val="19"/>
          <w:rFonts w:hint="eastAsia" w:ascii="仿宋" w:hAnsi="仿宋" w:eastAsia="仿宋"/>
          <w:color w:val="auto"/>
          <w:sz w:val="32"/>
          <w:szCs w:val="32"/>
          <w:lang w:eastAsia="zh-CN"/>
        </w:rPr>
        <w:t>（本页无正文）</w:t>
      </w:r>
    </w:p>
    <w:p w14:paraId="29738D38">
      <w:pPr>
        <w:pStyle w:val="3"/>
        <w:rPr>
          <w:rStyle w:val="19"/>
          <w:rFonts w:hint="eastAsia" w:ascii="仿宋" w:hAnsi="仿宋" w:eastAsia="仿宋"/>
          <w:color w:val="auto"/>
          <w:sz w:val="32"/>
          <w:szCs w:val="32"/>
          <w:lang w:val="en-US" w:eastAsia="zh-CN"/>
        </w:rPr>
      </w:pPr>
    </w:p>
    <w:p w14:paraId="77948F93">
      <w:pPr>
        <w:rPr>
          <w:rStyle w:val="19"/>
          <w:rFonts w:hint="eastAsia" w:ascii="仿宋" w:hAnsi="仿宋" w:eastAsia="仿宋"/>
          <w:color w:val="auto"/>
          <w:sz w:val="32"/>
          <w:szCs w:val="32"/>
          <w:lang w:val="en-US" w:eastAsia="zh-CN"/>
        </w:rPr>
      </w:pPr>
    </w:p>
    <w:p w14:paraId="458F4092">
      <w:pPr>
        <w:pStyle w:val="3"/>
        <w:rPr>
          <w:rStyle w:val="19"/>
          <w:rFonts w:hint="eastAsia" w:ascii="仿宋" w:hAnsi="仿宋" w:eastAsia="仿宋"/>
          <w:color w:val="auto"/>
          <w:sz w:val="32"/>
          <w:szCs w:val="32"/>
          <w:lang w:val="en-US" w:eastAsia="zh-CN"/>
        </w:rPr>
      </w:pPr>
    </w:p>
    <w:p w14:paraId="6595B626">
      <w:pPr>
        <w:rPr>
          <w:rStyle w:val="19"/>
          <w:rFonts w:hint="eastAsia" w:ascii="仿宋" w:hAnsi="仿宋" w:eastAsia="仿宋"/>
          <w:color w:val="auto"/>
          <w:sz w:val="32"/>
          <w:szCs w:val="32"/>
          <w:lang w:val="en-US" w:eastAsia="zh-CN"/>
        </w:rPr>
      </w:pPr>
    </w:p>
    <w:p w14:paraId="1D75B11B">
      <w:pPr>
        <w:pStyle w:val="3"/>
        <w:rPr>
          <w:rStyle w:val="19"/>
          <w:rFonts w:hint="eastAsia" w:ascii="仿宋" w:hAnsi="仿宋" w:eastAsia="仿宋"/>
          <w:color w:val="auto"/>
          <w:sz w:val="32"/>
          <w:szCs w:val="32"/>
          <w:lang w:val="en-US" w:eastAsia="zh-CN"/>
        </w:rPr>
      </w:pPr>
    </w:p>
    <w:p w14:paraId="667AF8F7">
      <w:pPr>
        <w:rPr>
          <w:rStyle w:val="19"/>
          <w:rFonts w:hint="eastAsia" w:ascii="仿宋" w:hAnsi="仿宋" w:eastAsia="仿宋"/>
          <w:color w:val="auto"/>
          <w:sz w:val="32"/>
          <w:szCs w:val="32"/>
          <w:lang w:val="en-US" w:eastAsia="zh-CN"/>
        </w:rPr>
      </w:pPr>
    </w:p>
    <w:p w14:paraId="744FE1BA">
      <w:pPr>
        <w:pStyle w:val="3"/>
        <w:rPr>
          <w:rStyle w:val="19"/>
          <w:rFonts w:hint="eastAsia" w:ascii="仿宋" w:hAnsi="仿宋" w:eastAsia="仿宋"/>
          <w:color w:val="auto"/>
          <w:sz w:val="32"/>
          <w:szCs w:val="32"/>
          <w:lang w:val="en-US" w:eastAsia="zh-CN"/>
        </w:rPr>
      </w:pPr>
    </w:p>
    <w:p w14:paraId="19311AA4">
      <w:pPr>
        <w:rPr>
          <w:rStyle w:val="19"/>
          <w:rFonts w:hint="eastAsia" w:ascii="仿宋" w:hAnsi="仿宋" w:eastAsia="仿宋"/>
          <w:color w:val="auto"/>
          <w:sz w:val="32"/>
          <w:szCs w:val="32"/>
          <w:lang w:val="en-US" w:eastAsia="zh-CN"/>
        </w:rPr>
      </w:pPr>
    </w:p>
    <w:p w14:paraId="421F66D7">
      <w:pPr>
        <w:pStyle w:val="3"/>
        <w:rPr>
          <w:rStyle w:val="19"/>
          <w:rFonts w:hint="eastAsia" w:ascii="仿宋" w:hAnsi="仿宋" w:eastAsia="仿宋"/>
          <w:color w:val="auto"/>
          <w:sz w:val="32"/>
          <w:szCs w:val="32"/>
          <w:lang w:val="en-US" w:eastAsia="zh-CN"/>
        </w:rPr>
      </w:pPr>
    </w:p>
    <w:p w14:paraId="70C5B7DB">
      <w:pPr>
        <w:rPr>
          <w:rStyle w:val="19"/>
          <w:rFonts w:hint="eastAsia" w:ascii="仿宋" w:hAnsi="仿宋" w:eastAsia="仿宋"/>
          <w:color w:val="auto"/>
          <w:sz w:val="32"/>
          <w:szCs w:val="32"/>
          <w:lang w:val="en-US" w:eastAsia="zh-CN"/>
        </w:rPr>
      </w:pPr>
    </w:p>
    <w:p w14:paraId="7CAB1C97">
      <w:pPr>
        <w:pStyle w:val="3"/>
        <w:rPr>
          <w:rStyle w:val="19"/>
          <w:rFonts w:hint="eastAsia" w:ascii="仿宋" w:hAnsi="仿宋" w:eastAsia="仿宋"/>
          <w:color w:val="auto"/>
          <w:sz w:val="32"/>
          <w:szCs w:val="32"/>
          <w:lang w:val="en-US" w:eastAsia="zh-CN"/>
        </w:rPr>
      </w:pPr>
    </w:p>
    <w:p w14:paraId="3FAEA6CD">
      <w:pPr>
        <w:rPr>
          <w:rStyle w:val="19"/>
          <w:rFonts w:hint="eastAsia" w:ascii="仿宋" w:hAnsi="仿宋" w:eastAsia="仿宋"/>
          <w:color w:val="auto"/>
          <w:sz w:val="32"/>
          <w:szCs w:val="32"/>
          <w:lang w:val="en-US" w:eastAsia="zh-CN"/>
        </w:rPr>
      </w:pPr>
    </w:p>
    <w:p w14:paraId="5706DD98">
      <w:pPr>
        <w:pStyle w:val="3"/>
        <w:rPr>
          <w:rStyle w:val="19"/>
          <w:rFonts w:hint="eastAsia" w:ascii="仿宋" w:hAnsi="仿宋" w:eastAsia="仿宋"/>
          <w:color w:val="auto"/>
          <w:sz w:val="32"/>
          <w:szCs w:val="32"/>
          <w:lang w:val="en-US" w:eastAsia="zh-CN"/>
        </w:rPr>
      </w:pPr>
    </w:p>
    <w:p w14:paraId="4A6DC4D8">
      <w:pPr>
        <w:rPr>
          <w:rStyle w:val="19"/>
          <w:rFonts w:hint="eastAsia" w:ascii="仿宋" w:hAnsi="仿宋" w:eastAsia="仿宋"/>
          <w:color w:val="auto"/>
          <w:sz w:val="32"/>
          <w:szCs w:val="32"/>
          <w:lang w:val="en-US" w:eastAsia="zh-CN"/>
        </w:rPr>
      </w:pPr>
    </w:p>
    <w:p w14:paraId="350D8960">
      <w:pPr>
        <w:pStyle w:val="3"/>
        <w:rPr>
          <w:rStyle w:val="19"/>
          <w:rFonts w:hint="eastAsia" w:ascii="仿宋" w:hAnsi="仿宋" w:eastAsia="仿宋"/>
          <w:color w:val="auto"/>
          <w:sz w:val="32"/>
          <w:szCs w:val="32"/>
          <w:lang w:val="en-US" w:eastAsia="zh-CN"/>
        </w:rPr>
      </w:pPr>
    </w:p>
    <w:p w14:paraId="56A45BD7">
      <w:pPr>
        <w:rPr>
          <w:rStyle w:val="19"/>
          <w:rFonts w:hint="eastAsia" w:ascii="仿宋" w:hAnsi="仿宋" w:eastAsia="仿宋"/>
          <w:color w:val="auto"/>
          <w:sz w:val="32"/>
          <w:szCs w:val="32"/>
          <w:lang w:val="en-US" w:eastAsia="zh-CN"/>
        </w:rPr>
      </w:pPr>
    </w:p>
    <w:p w14:paraId="580A62CB">
      <w:pPr>
        <w:pStyle w:val="3"/>
        <w:rPr>
          <w:rStyle w:val="19"/>
          <w:rFonts w:hint="eastAsia" w:ascii="仿宋" w:hAnsi="仿宋" w:eastAsia="仿宋"/>
          <w:color w:val="auto"/>
          <w:sz w:val="32"/>
          <w:szCs w:val="32"/>
          <w:lang w:val="en-US" w:eastAsia="zh-CN"/>
        </w:rPr>
      </w:pPr>
    </w:p>
    <w:p w14:paraId="3EB58D3F">
      <w:pPr>
        <w:rPr>
          <w:rStyle w:val="19"/>
          <w:rFonts w:hint="eastAsia" w:ascii="仿宋" w:hAnsi="仿宋" w:eastAsia="仿宋"/>
          <w:color w:val="auto"/>
          <w:sz w:val="32"/>
          <w:szCs w:val="32"/>
          <w:lang w:val="en-US" w:eastAsia="zh-CN"/>
        </w:rPr>
      </w:pPr>
    </w:p>
    <w:p w14:paraId="50C2F951">
      <w:pPr>
        <w:pStyle w:val="3"/>
        <w:rPr>
          <w:rStyle w:val="19"/>
          <w:rFonts w:hint="eastAsia" w:ascii="仿宋" w:hAnsi="仿宋" w:eastAsia="仿宋"/>
          <w:color w:val="auto"/>
          <w:sz w:val="32"/>
          <w:szCs w:val="32"/>
          <w:lang w:val="en-US" w:eastAsia="zh-CN"/>
        </w:rPr>
      </w:pPr>
    </w:p>
    <w:p w14:paraId="3907ED85">
      <w:pPr>
        <w:rPr>
          <w:rStyle w:val="19"/>
          <w:rFonts w:hint="eastAsia" w:ascii="仿宋" w:hAnsi="仿宋" w:eastAsia="仿宋"/>
          <w:color w:val="auto"/>
          <w:sz w:val="32"/>
          <w:szCs w:val="32"/>
          <w:lang w:val="en-US" w:eastAsia="zh-CN"/>
        </w:rPr>
      </w:pPr>
    </w:p>
    <w:p w14:paraId="7296C1C0">
      <w:pPr>
        <w:pStyle w:val="3"/>
        <w:rPr>
          <w:rStyle w:val="19"/>
          <w:rFonts w:hint="eastAsia" w:ascii="仿宋" w:hAnsi="仿宋" w:eastAsia="仿宋"/>
          <w:color w:val="auto"/>
          <w:sz w:val="32"/>
          <w:szCs w:val="32"/>
          <w:lang w:val="en-US" w:eastAsia="zh-CN"/>
        </w:rPr>
      </w:pPr>
    </w:p>
    <w:p w14:paraId="18386AB6">
      <w:pPr>
        <w:rPr>
          <w:rStyle w:val="19"/>
          <w:rFonts w:hint="eastAsia" w:ascii="仿宋" w:hAnsi="仿宋" w:eastAsia="仿宋"/>
          <w:color w:val="auto"/>
          <w:sz w:val="32"/>
          <w:szCs w:val="32"/>
          <w:lang w:val="en-US" w:eastAsia="zh-CN"/>
        </w:rPr>
      </w:pPr>
    </w:p>
    <w:p w14:paraId="7387BBF1">
      <w:pPr>
        <w:pStyle w:val="3"/>
        <w:rPr>
          <w:rStyle w:val="19"/>
          <w:rFonts w:hint="eastAsia" w:ascii="仿宋" w:hAnsi="仿宋" w:eastAsia="仿宋"/>
          <w:color w:val="auto"/>
          <w:sz w:val="32"/>
          <w:szCs w:val="32"/>
          <w:lang w:val="en-US" w:eastAsia="zh-CN"/>
        </w:rPr>
      </w:pPr>
    </w:p>
    <w:p w14:paraId="27AF9A4F">
      <w:pPr>
        <w:rPr>
          <w:rStyle w:val="19"/>
          <w:rFonts w:hint="eastAsia" w:ascii="仿宋" w:hAnsi="仿宋" w:eastAsia="仿宋"/>
          <w:color w:val="auto"/>
          <w:sz w:val="32"/>
          <w:szCs w:val="32"/>
          <w:lang w:val="en-US" w:eastAsia="zh-CN"/>
        </w:rPr>
      </w:pPr>
    </w:p>
    <w:p w14:paraId="0994F819">
      <w:pPr>
        <w:pStyle w:val="3"/>
        <w:rPr>
          <w:rStyle w:val="19"/>
          <w:rFonts w:hint="eastAsia" w:ascii="仿宋" w:hAnsi="仿宋" w:eastAsia="仿宋"/>
          <w:color w:val="auto"/>
          <w:sz w:val="32"/>
          <w:szCs w:val="32"/>
          <w:lang w:val="en-US" w:eastAsia="zh-CN"/>
        </w:rPr>
      </w:pPr>
    </w:p>
    <w:p w14:paraId="5DE1D801">
      <w:pPr>
        <w:rPr>
          <w:rStyle w:val="19"/>
          <w:rFonts w:hint="eastAsia" w:ascii="仿宋" w:hAnsi="仿宋" w:eastAsia="仿宋"/>
          <w:color w:val="auto"/>
          <w:sz w:val="32"/>
          <w:szCs w:val="32"/>
          <w:lang w:val="en-US" w:eastAsia="zh-CN"/>
        </w:rPr>
      </w:pPr>
    </w:p>
    <w:p w14:paraId="2EE150E3">
      <w:pPr>
        <w:pStyle w:val="3"/>
        <w:rPr>
          <w:rStyle w:val="19"/>
          <w:rFonts w:hint="eastAsia" w:ascii="仿宋" w:hAnsi="仿宋" w:eastAsia="仿宋"/>
          <w:color w:val="auto"/>
          <w:sz w:val="32"/>
          <w:szCs w:val="32"/>
          <w:lang w:val="en-US" w:eastAsia="zh-CN"/>
        </w:rPr>
      </w:pPr>
    </w:p>
    <w:p w14:paraId="7FC90DBB">
      <w:pPr>
        <w:rPr>
          <w:rStyle w:val="19"/>
          <w:rFonts w:hint="eastAsia" w:ascii="仿宋" w:hAnsi="仿宋" w:eastAsia="仿宋"/>
          <w:color w:val="auto"/>
          <w:sz w:val="32"/>
          <w:szCs w:val="32"/>
          <w:lang w:val="en-US" w:eastAsia="zh-CN"/>
        </w:rPr>
      </w:pPr>
    </w:p>
    <w:p w14:paraId="41E8CBB5">
      <w:pPr>
        <w:pStyle w:val="3"/>
        <w:rPr>
          <w:rStyle w:val="19"/>
          <w:rFonts w:hint="eastAsia" w:ascii="仿宋" w:hAnsi="仿宋" w:eastAsia="仿宋"/>
          <w:color w:val="auto"/>
          <w:sz w:val="32"/>
          <w:szCs w:val="32"/>
          <w:lang w:val="en-US" w:eastAsia="zh-CN"/>
        </w:rPr>
      </w:pPr>
    </w:p>
    <w:p w14:paraId="2EF1E588">
      <w:pPr>
        <w:rPr>
          <w:rFonts w:hint="eastAsia"/>
          <w:lang w:val="en-US" w:eastAsia="zh-CN"/>
        </w:rPr>
      </w:pPr>
    </w:p>
    <w:p w14:paraId="70CC5C31">
      <w:pPr>
        <w:spacing w:line="560" w:lineRule="exact"/>
        <w:ind w:right="168" w:firstLine="210" w:firstLineChars="100"/>
        <w:rPr>
          <w:rStyle w:val="19"/>
          <w:rFonts w:ascii="仿宋" w:hAnsi="仿宋" w:eastAsia="仿宋"/>
          <w:color w:val="auto"/>
          <w:sz w:val="28"/>
          <w:szCs w:val="28"/>
        </w:rPr>
      </w:pPr>
      <w:r>
        <w:rPr>
          <w:color w:val="auto"/>
        </w:rPr>
        <mc:AlternateContent>
          <mc:Choice Requires="wps">
            <w:drawing>
              <wp:anchor distT="0" distB="0" distL="0" distR="0" simplePos="0" relativeHeight="251659264"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1026"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wps:spPr>
                      <wps:bodyPr/>
                    </wps:wsp>
                  </a:graphicData>
                </a:graphic>
              </wp:anchor>
            </w:drawing>
          </mc:Choice>
          <mc:Fallback>
            <w:pict>
              <v:line id="直线 17" o:spid="_x0000_s1026" o:spt="20" style="position:absolute;left:0pt;margin-left:2.15pt;margin-top:8.6pt;height:0.05pt;width:442.2pt;z-index:251659264;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w6KdUA&#10;AAAHAQAADwAAAAAAAAABACAAAAAiAAAAZHJzL2Rvd25yZXYueG1sUEsBAhQAFAAAAAgAh07iQNa0&#10;D9npAQAA3wMAAA4AAAAAAAAAAQAgAAAAJAEAAGRycy9lMm9Eb2MueG1sUEsFBgAAAAAGAAYAWQEA&#10;AH8FAAAAAA==&#10;">
                <v:fill on="f" focussize="0,0"/>
                <v:stroke color="#000000" joinstyle="miter"/>
                <v:imagedata o:title=""/>
                <o:lock v:ext="edit" aspectratio="f"/>
              </v:line>
            </w:pict>
          </mc:Fallback>
        </mc:AlternateContent>
      </w:r>
      <w:r>
        <w:rPr>
          <w:rStyle w:val="19"/>
          <w:rFonts w:hint="eastAsia" w:ascii="仿宋" w:hAnsi="仿宋" w:eastAsia="仿宋"/>
          <w:color w:val="auto"/>
          <w:sz w:val="28"/>
          <w:szCs w:val="28"/>
        </w:rPr>
        <w:t>鄂尔多斯市生态环境局东胜区分局</w:t>
      </w:r>
      <w:r>
        <w:rPr>
          <w:color w:val="auto"/>
        </w:rPr>
        <mc:AlternateContent>
          <mc:Choice Requires="wps">
            <w:drawing>
              <wp:anchor distT="0" distB="0" distL="0" distR="0" simplePos="0" relativeHeight="251659264"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027" name="直线 16"/>
                <wp:cNvGraphicFramePr/>
                <a:graphic xmlns:a="http://schemas.openxmlformats.org/drawingml/2006/main">
                  <a:graphicData uri="http://schemas.microsoft.com/office/word/2010/wordprocessingShape">
                    <wps:wsp>
                      <wps:cNvCnPr/>
                      <wps:spPr>
                        <a:xfrm>
                          <a:off x="0" y="0"/>
                          <a:ext cx="5615940" cy="634"/>
                        </a:xfrm>
                        <a:prstGeom prst="line">
                          <a:avLst/>
                        </a:prstGeom>
                        <a:ln w="9525" cap="flat" cmpd="sng">
                          <a:solidFill>
                            <a:srgbClr val="000000"/>
                          </a:solidFill>
                          <a:prstDash val="solid"/>
                          <a:miter/>
                          <a:headEnd type="none" w="med" len="med"/>
                          <a:tailEnd type="none" w="med" len="med"/>
                        </a:ln>
                      </wps:spPr>
                      <wps:bodyPr/>
                    </wps:wsp>
                  </a:graphicData>
                </a:graphic>
              </wp:anchor>
            </w:drawing>
          </mc:Choice>
          <mc:Fallback>
            <w:pict>
              <v:line id="直线 16" o:spid="_x0000_s1026" o:spt="20" style="position:absolute;left:0pt;margin-left:1.65pt;margin-top:26.65pt;height:0.05pt;width:442.2pt;z-index:251659264;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m5JUrW&#10;AAAABwEAAA8AAAAAAAAAAQAgAAAAIgAAAGRycy9kb3ducmV2LnhtbFBLAQIUABQAAAAIAIdO4kBM&#10;zTbP6QEAAN8DAAAOAAAAAAAAAAEAIAAAACUBAABkcnMvZTJvRG9jLnhtbFBLBQYAAAAABgAGAFkB&#10;AACABQAAAAA=&#10;">
                <v:fill on="f" focussize="0,0"/>
                <v:stroke color="#000000" joinstyle="miter"/>
                <v:imagedata o:title=""/>
                <o:lock v:ext="edit" aspectratio="f"/>
              </v:line>
            </w:pict>
          </mc:Fallback>
        </mc:AlternateContent>
      </w:r>
      <w:r>
        <w:rPr>
          <w:rStyle w:val="19"/>
          <w:rFonts w:ascii="仿宋" w:hAnsi="仿宋" w:eastAsia="仿宋"/>
          <w:color w:val="auto"/>
          <w:sz w:val="28"/>
          <w:szCs w:val="28"/>
        </w:rPr>
        <w:t xml:space="preserve">      </w:t>
      </w:r>
      <w:r>
        <w:rPr>
          <w:rStyle w:val="19"/>
          <w:rFonts w:hint="eastAsia" w:ascii="仿宋" w:hAnsi="仿宋" w:eastAsia="仿宋"/>
          <w:color w:val="auto"/>
          <w:sz w:val="28"/>
          <w:szCs w:val="28"/>
          <w:lang w:val="en-US" w:eastAsia="zh-CN"/>
        </w:rPr>
        <w:t xml:space="preserve">   </w:t>
      </w:r>
      <w:r>
        <w:rPr>
          <w:rStyle w:val="19"/>
          <w:rFonts w:ascii="仿宋" w:hAnsi="仿宋" w:eastAsia="仿宋"/>
          <w:color w:val="auto"/>
          <w:sz w:val="28"/>
          <w:szCs w:val="28"/>
        </w:rPr>
        <w:t xml:space="preserve"> 202</w:t>
      </w:r>
      <w:r>
        <w:rPr>
          <w:rStyle w:val="19"/>
          <w:rFonts w:hint="eastAsia" w:ascii="仿宋" w:hAnsi="仿宋" w:eastAsia="仿宋"/>
          <w:color w:val="auto"/>
          <w:sz w:val="28"/>
          <w:szCs w:val="28"/>
          <w:lang w:val="en-US" w:eastAsia="zh-CN"/>
        </w:rPr>
        <w:t>5</w:t>
      </w:r>
      <w:r>
        <w:rPr>
          <w:rStyle w:val="19"/>
          <w:rFonts w:hint="eastAsia" w:ascii="仿宋" w:hAnsi="仿宋" w:eastAsia="仿宋"/>
          <w:color w:val="auto"/>
          <w:sz w:val="28"/>
          <w:szCs w:val="28"/>
        </w:rPr>
        <w:t>年</w:t>
      </w:r>
      <w:r>
        <w:rPr>
          <w:rStyle w:val="19"/>
          <w:rFonts w:hint="eastAsia" w:ascii="仿宋" w:hAnsi="仿宋" w:eastAsia="仿宋"/>
          <w:color w:val="auto"/>
          <w:sz w:val="28"/>
          <w:szCs w:val="28"/>
          <w:lang w:val="en-US" w:eastAsia="zh-CN"/>
        </w:rPr>
        <w:t>7</w:t>
      </w:r>
      <w:r>
        <w:rPr>
          <w:rStyle w:val="19"/>
          <w:rFonts w:hint="eastAsia" w:ascii="仿宋" w:hAnsi="仿宋" w:eastAsia="仿宋"/>
          <w:color w:val="auto"/>
          <w:sz w:val="28"/>
          <w:szCs w:val="28"/>
        </w:rPr>
        <w:t>月</w:t>
      </w:r>
      <w:r>
        <w:rPr>
          <w:rStyle w:val="19"/>
          <w:rFonts w:hint="eastAsia" w:ascii="仿宋" w:hAnsi="仿宋" w:eastAsia="仿宋"/>
          <w:color w:val="auto"/>
          <w:sz w:val="28"/>
          <w:szCs w:val="28"/>
          <w:lang w:val="en-US" w:eastAsia="zh-CN"/>
        </w:rPr>
        <w:t>16</w:t>
      </w:r>
      <w:r>
        <w:rPr>
          <w:rStyle w:val="19"/>
          <w:rFonts w:hint="eastAsia" w:ascii="仿宋" w:hAnsi="仿宋" w:eastAsia="仿宋"/>
          <w:color w:val="auto"/>
          <w:sz w:val="28"/>
          <w:szCs w:val="28"/>
        </w:rPr>
        <w:t>日印发</w:t>
      </w:r>
      <w:r>
        <w:rPr>
          <w:rStyle w:val="19"/>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93C9">
    <w:pPr>
      <w:pStyle w:val="11"/>
      <w:jc w:val="right"/>
      <w:rPr>
        <w:rStyle w:val="19"/>
      </w:rPr>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9"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2239FEF">
                          <w:pPr>
                            <w:pStyle w:val="11"/>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rect id="文本框 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l1uVLQAAAABQEAAA8AAAAAAAAAAQAgAAAAIgAAAGRycy9kb3ducmV2LnhtbFBLAQIUABQAAAAI&#10;AIdO4kCvTDjKvAEAAHsDAAAOAAAAAAAAAAEAIAAAAB8BAABkcnMvZTJvRG9jLnhtbFBLBQYAAAAA&#10;BgAGAFkBAABNBQAAAAA=&#10;">
              <v:fill on="f" focussize="0,0"/>
              <v:stroke on="f"/>
              <v:imagedata o:title=""/>
              <o:lock v:ext="edit" aspectratio="f"/>
              <v:textbox inset="0mm,0mm,0mm,0mm" style="mso-fit-shape-to-text:t;">
                <w:txbxContent>
                  <w:p w14:paraId="72239FEF">
                    <w:pPr>
                      <w:pStyle w:val="11"/>
                    </w:pPr>
                    <w:r>
                      <w:fldChar w:fldCharType="begin"/>
                    </w:r>
                    <w:r>
                      <w:instrText xml:space="preserve"> PAGE  \* MERGEFORMAT </w:instrText>
                    </w:r>
                    <w:r>
                      <w:fldChar w:fldCharType="separate"/>
                    </w:r>
                    <w:r>
                      <w:t>- 3 -</w:t>
                    </w:r>
                    <w:r>
                      <w:fldChar w:fldCharType="end"/>
                    </w:r>
                  </w:p>
                </w:txbxContent>
              </v:textbox>
            </v:rect>
          </w:pict>
        </mc:Fallback>
      </mc:AlternateContent>
    </w:r>
  </w:p>
  <w:p w14:paraId="7B0712E6">
    <w:pPr>
      <w:snapToGrid w:val="0"/>
      <w:spacing w:line="240" w:lineRule="atLeast"/>
      <w:jc w:val="center"/>
      <w:rPr>
        <w:rStyle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5F31C">
    <w:pPr>
      <w:pStyle w:val="11"/>
      <w:ind w:right="720"/>
      <w:rPr>
        <w:rStyle w:val="19"/>
      </w:rPr>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ED87425">
                          <w:pPr>
                            <w:pStyle w:val="11"/>
                          </w:pPr>
                          <w:r>
                            <w:fldChar w:fldCharType="begin"/>
                          </w:r>
                          <w:r>
                            <w:instrText xml:space="preserve"> PAGE  \* MERGEFORMAT </w:instrText>
                          </w:r>
                          <w:r>
                            <w:fldChar w:fldCharType="separate"/>
                          </w:r>
                          <w:r>
                            <w:t>- 2 -</w:t>
                          </w:r>
                          <w:r>
                            <w:fldChar w:fldCharType="end"/>
                          </w:r>
                        </w:p>
                      </w:txbxContent>
                    </wps:txbx>
                    <wps:bodyPr wrap="none" lIns="0" tIns="0" rIns="0" bIns="0">
                      <a:spAutoFit/>
                    </wps:bodyPr>
                  </wps:wsp>
                </a:graphicData>
              </a:graphic>
            </wp:anchor>
          </w:drawing>
        </mc:Choice>
        <mc:Fallback>
          <w:pict>
            <v:rect id="文本框 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l1uVLQAAAABQEAAA8AAAAAAAAAAQAgAAAAIgAAAGRycy9kb3ducmV2LnhtbFBLAQIUABQAAAAI&#10;AIdO4kDzaL+xvAEAAHsDAAAOAAAAAAAAAAEAIAAAAB8BAABkcnMvZTJvRG9jLnhtbFBLBQYAAAAA&#10;BgAGAFkBAABNBQAAAAA=&#10;">
              <v:fill on="f" focussize="0,0"/>
              <v:stroke on="f"/>
              <v:imagedata o:title=""/>
              <o:lock v:ext="edit" aspectratio="f"/>
              <v:textbox inset="0mm,0mm,0mm,0mm" style="mso-fit-shape-to-text:t;">
                <w:txbxContent>
                  <w:p w14:paraId="4ED87425">
                    <w:pPr>
                      <w:pStyle w:val="11"/>
                    </w:pPr>
                    <w:r>
                      <w:fldChar w:fldCharType="begin"/>
                    </w:r>
                    <w:r>
                      <w:instrText xml:space="preserve"> PAGE  \* MERGEFORMAT </w:instrText>
                    </w:r>
                    <w:r>
                      <w:fldChar w:fldCharType="separate"/>
                    </w:r>
                    <w:r>
                      <w:t>- 2 -</w:t>
                    </w:r>
                    <w:r>
                      <w:fldChar w:fldCharType="end"/>
                    </w:r>
                  </w:p>
                </w:txbxContent>
              </v:textbox>
            </v:rect>
          </w:pict>
        </mc:Fallback>
      </mc:AlternateContent>
    </w:r>
  </w:p>
  <w:p w14:paraId="4A19255F">
    <w:pPr>
      <w:pStyle w:val="11"/>
      <w:rPr>
        <w:rStyle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0F2DC">
    <w:pPr>
      <w:snapToGrid w:val="0"/>
      <w:spacing w:line="240" w:lineRule="atLeast"/>
      <w:rPr>
        <w:rStyle w:val="19"/>
      </w:rPr>
    </w:pPr>
    <w:r>
      <mc:AlternateContent>
        <mc:Choice Requires="wps">
          <w:drawing>
            <wp:anchor distT="0" distB="0" distL="0" distR="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4097" name="文本框 1"/>
              <wp:cNvGraphicFramePr/>
              <a:graphic xmlns:a="http://schemas.openxmlformats.org/drawingml/2006/main">
                <a:graphicData uri="http://schemas.microsoft.com/office/word/2010/wordprocessingShape">
                  <wps:wsp>
                    <wps:cNvSpPr/>
                    <wps:spPr>
                      <a:xfrm>
                        <a:off x="0" y="0"/>
                        <a:ext cx="5579744" cy="179704"/>
                      </a:xfrm>
                      <a:prstGeom prst="rect">
                        <a:avLst/>
                      </a:prstGeom>
                      <a:ln>
                        <a:noFill/>
                      </a:ln>
                      <a:effectLst>
                        <a:outerShdw dist="25400" dir="2699999" algn="ctr" rotWithShape="0">
                          <a:srgbClr val="A0A0A4"/>
                        </a:outerShdw>
                      </a:effectLst>
                    </wps:spPr>
                    <wps:bodyPr/>
                  </wps:wsp>
                </a:graphicData>
              </a:graphic>
            </wp:anchor>
          </w:drawing>
        </mc:Choice>
        <mc:Fallback>
          <w:pict>
            <v:rect id="文本框 1" o:spid="_x0000_s1026" o:spt="1"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I9L53nbAAAACgEA&#10;AA8AAAAAAAAAAQAgAAAAIgAAAGRycy9kb3ducmV2LnhtbFBLAQIUABQAAAAIAIdO4kDWrnCf3gEA&#10;AKsDAAAOAAAAAAAAAAEAIAAAACoBAABkcnMvZTJvRG9jLnhtbFBLBQYAAAAABgAGAFkBAAB6BQAA&#10;AAA=&#10;">
              <v:fill on="f" focussize="0,0"/>
              <v:stroke on="f"/>
              <v:imagedata o:title=""/>
              <o:lock v:ext="edit" aspectratio="f"/>
              <v:shadow on="t" color="#A0A0A4" offset="1.41425196850394pt,1.41425196850394pt" origin="0f,0f" matrix="65536f,0f,0f,65536f"/>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bullet"/>
      <w:pStyle w:val="8"/>
      <w:lvlText w:val=""/>
      <w:lvlJc w:val="left"/>
      <w:pPr>
        <w:tabs>
          <w:tab w:val="left" w:pos="2040"/>
        </w:tabs>
        <w:ind w:left="2040" w:hanging="360"/>
      </w:pPr>
      <w:rPr>
        <w:rFonts w:hint="default" w:ascii="Wingdings" w:hAnsi="Wingdings"/>
      </w:rPr>
    </w:lvl>
  </w:abstractNum>
  <w:abstractNum w:abstractNumId="1">
    <w:nsid w:val="00000001"/>
    <w:multiLevelType w:val="singleLevel"/>
    <w:tmpl w:val="00000001"/>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802A7E"/>
    <w:rsid w:val="4FCD18A1"/>
    <w:rsid w:val="5EDB5409"/>
    <w:rsid w:val="757B0F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99"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5">
    <w:name w:val="heading 4"/>
    <w:basedOn w:val="1"/>
    <w:next w:val="1"/>
    <w:link w:val="54"/>
    <w:qFormat/>
    <w:uiPriority w:val="0"/>
    <w:pPr>
      <w:keepNext/>
      <w:keepLines/>
      <w:tabs>
        <w:tab w:val="left" w:pos="864"/>
      </w:tabs>
      <w:ind w:left="862" w:firstLine="602"/>
      <w:outlineLvl w:val="3"/>
    </w:pPr>
    <w:rPr>
      <w:rFonts w:ascii="Calibri" w:hAnsi="Calibri"/>
      <w:b/>
      <w:bCs/>
      <w:kern w:val="0"/>
      <w:sz w:val="24"/>
      <w:szCs w:val="28"/>
    </w:rPr>
  </w:style>
  <w:style w:type="character" w:default="1" w:styleId="17">
    <w:name w:val="Default Paragraph Font"/>
    <w:qFormat/>
    <w:uiPriority w:val="1"/>
  </w:style>
  <w:style w:type="table" w:default="1" w:styleId="16">
    <w:name w:val="Normal Table"/>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next w:val="8"/>
    <w:link w:val="24"/>
    <w:qFormat/>
    <w:uiPriority w:val="99"/>
    <w:pPr>
      <w:spacing w:after="120"/>
    </w:pPr>
    <w:rPr>
      <w:rFonts w:ascii="Calibri" w:hAnsi="Calibri"/>
      <w:szCs w:val="22"/>
    </w:rPr>
  </w:style>
  <w:style w:type="paragraph" w:styleId="8">
    <w:name w:val="List Bullet 5"/>
    <w:basedOn w:val="1"/>
    <w:qFormat/>
    <w:uiPriority w:val="99"/>
    <w:pPr>
      <w:numPr>
        <w:ilvl w:val="0"/>
        <w:numId w:val="1"/>
      </w:numPr>
    </w:pPr>
  </w:style>
  <w:style w:type="paragraph" w:styleId="9">
    <w:name w:val="Plain Text"/>
    <w:basedOn w:val="1"/>
    <w:qFormat/>
    <w:uiPriority w:val="0"/>
    <w:rPr>
      <w:rFonts w:ascii="宋体" w:hAnsi="Courier New"/>
      <w:szCs w:val="21"/>
    </w:rPr>
  </w:style>
  <w:style w:type="paragraph" w:styleId="10">
    <w:name w:val="Date"/>
    <w:basedOn w:val="1"/>
    <w:next w:val="1"/>
    <w:link w:val="25"/>
    <w:qFormat/>
    <w:uiPriority w:val="99"/>
    <w:pPr>
      <w:ind w:left="100" w:leftChars="2500"/>
    </w:pPr>
  </w:style>
  <w:style w:type="paragraph" w:styleId="11">
    <w:name w:val="footer"/>
    <w:basedOn w:val="1"/>
    <w:link w:val="26"/>
    <w:qFormat/>
    <w:uiPriority w:val="99"/>
    <w:pPr>
      <w:tabs>
        <w:tab w:val="center" w:pos="4153"/>
        <w:tab w:val="right" w:pos="8306"/>
      </w:tabs>
      <w:snapToGrid w:val="0"/>
      <w:jc w:val="left"/>
    </w:pPr>
    <w:rPr>
      <w:sz w:val="18"/>
    </w:rPr>
  </w:style>
  <w:style w:type="paragraph" w:styleId="12">
    <w:name w:val="header"/>
    <w:basedOn w:val="1"/>
    <w:link w:val="27"/>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3">
    <w:name w:val="table of figures"/>
    <w:basedOn w:val="1"/>
    <w:next w:val="1"/>
    <w:qFormat/>
    <w:uiPriority w:val="0"/>
    <w:pPr>
      <w:ind w:left="200" w:leftChars="200" w:hanging="200" w:hangingChars="200"/>
    </w:pPr>
  </w:style>
  <w:style w:type="paragraph" w:styleId="14">
    <w:name w:val="Body Text 2"/>
    <w:basedOn w:val="1"/>
    <w:next w:val="1"/>
    <w:qFormat/>
    <w:uiPriority w:val="0"/>
    <w:rPr>
      <w:sz w:val="24"/>
      <w:szCs w:val="22"/>
    </w:rPr>
  </w:style>
  <w:style w:type="paragraph" w:styleId="15">
    <w:name w:val="Body Text First Indent"/>
    <w:basedOn w:val="7"/>
    <w:next w:val="1"/>
    <w:qFormat/>
    <w:uiPriority w:val="0"/>
    <w:pPr>
      <w:ind w:firstLine="420" w:firstLineChars="100"/>
    </w:pPr>
  </w:style>
  <w:style w:type="character" w:styleId="18">
    <w:name w:val="Strong"/>
    <w:basedOn w:val="19"/>
    <w:qFormat/>
    <w:uiPriority w:val="99"/>
    <w:rPr>
      <w:rFonts w:cs="Times New Roman"/>
      <w:b/>
    </w:rPr>
  </w:style>
  <w:style w:type="character" w:customStyle="1" w:styleId="19">
    <w:name w:val="NormalCharacter"/>
    <w:qFormat/>
    <w:uiPriority w:val="99"/>
  </w:style>
  <w:style w:type="character" w:styleId="20">
    <w:name w:val="annotation reference"/>
    <w:qFormat/>
    <w:uiPriority w:val="0"/>
    <w:rPr>
      <w:sz w:val="21"/>
      <w:szCs w:val="21"/>
    </w:rPr>
  </w:style>
  <w:style w:type="paragraph" w:customStyle="1" w:styleId="21">
    <w:name w:val="样式 正文缩进正文缩进2正文缩进 Char Char正文缩进 Char Char Char Char正文缩进 Char ..."/>
    <w:basedOn w:val="2"/>
    <w:qFormat/>
    <w:uiPriority w:val="0"/>
    <w:pPr>
      <w:spacing w:line="360" w:lineRule="auto"/>
      <w:ind w:firstLine="200"/>
      <w:jc w:val="left"/>
      <w:textAlignment w:val="auto"/>
    </w:pPr>
    <w:rPr>
      <w:rFonts w:cs="宋体"/>
      <w:szCs w:val="22"/>
    </w:rPr>
  </w:style>
  <w:style w:type="paragraph" w:customStyle="1" w:styleId="22">
    <w:name w:val="正文首行缩进 21"/>
    <w:basedOn w:val="4"/>
    <w:next w:val="1"/>
    <w:qFormat/>
    <w:uiPriority w:val="0"/>
    <w:pPr>
      <w:ind w:firstLine="420" w:firstLineChars="200"/>
    </w:pPr>
  </w:style>
  <w:style w:type="paragraph" w:customStyle="1" w:styleId="23">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4">
    <w:name w:val="正文文本 字符"/>
    <w:basedOn w:val="17"/>
    <w:link w:val="7"/>
    <w:qFormat/>
    <w:uiPriority w:val="99"/>
    <w:rPr>
      <w:color w:val="000000"/>
      <w:kern w:val="0"/>
      <w:szCs w:val="20"/>
    </w:rPr>
  </w:style>
  <w:style w:type="character" w:customStyle="1" w:styleId="25">
    <w:name w:val="日期 字符"/>
    <w:basedOn w:val="17"/>
    <w:link w:val="10"/>
    <w:qFormat/>
    <w:uiPriority w:val="99"/>
    <w:rPr>
      <w:color w:val="000000"/>
      <w:kern w:val="0"/>
      <w:szCs w:val="20"/>
    </w:rPr>
  </w:style>
  <w:style w:type="character" w:customStyle="1" w:styleId="26">
    <w:name w:val="页脚 字符"/>
    <w:basedOn w:val="19"/>
    <w:link w:val="11"/>
    <w:qFormat/>
    <w:uiPriority w:val="99"/>
    <w:rPr>
      <w:rFonts w:cs="Times New Roman"/>
      <w:color w:val="000000"/>
      <w:sz w:val="18"/>
    </w:rPr>
  </w:style>
  <w:style w:type="character" w:customStyle="1" w:styleId="27">
    <w:name w:val="页眉 字符"/>
    <w:basedOn w:val="19"/>
    <w:link w:val="12"/>
    <w:qFormat/>
    <w:uiPriority w:val="99"/>
    <w:rPr>
      <w:rFonts w:cs="Times New Roman"/>
      <w:color w:val="000000"/>
      <w:sz w:val="18"/>
      <w:szCs w:val="18"/>
    </w:rPr>
  </w:style>
  <w:style w:type="paragraph" w:customStyle="1" w:styleId="28">
    <w:name w:val="BodyText"/>
    <w:basedOn w:val="1"/>
    <w:qFormat/>
    <w:uiPriority w:val="99"/>
    <w:pPr>
      <w:spacing w:after="120"/>
    </w:pPr>
    <w:rPr>
      <w:rFonts w:ascii="Calibri" w:hAnsi="Calibri"/>
      <w:szCs w:val="22"/>
    </w:rPr>
  </w:style>
  <w:style w:type="table" w:customStyle="1" w:styleId="29">
    <w:name w:val="TableNormal"/>
    <w:qFormat/>
    <w:uiPriority w:val="99"/>
    <w:tblPr>
      <w:tblCellMar>
        <w:top w:w="0" w:type="dxa"/>
        <w:left w:w="0" w:type="dxa"/>
        <w:bottom w:w="0" w:type="dxa"/>
        <w:right w:w="0" w:type="dxa"/>
      </w:tblCellMar>
    </w:tblPr>
  </w:style>
  <w:style w:type="character" w:customStyle="1" w:styleId="30">
    <w:name w:val="UserStyle_0"/>
    <w:basedOn w:val="19"/>
    <w:qFormat/>
    <w:uiPriority w:val="99"/>
    <w:rPr>
      <w:rFonts w:ascii="Times New Roman" w:eastAsia="宋体" w:cs="Times New Roman"/>
      <w:color w:val="0000FF"/>
      <w:sz w:val="21"/>
      <w:u w:val="single"/>
      <w:lang w:val="en-US" w:eastAsia="zh-CN"/>
    </w:rPr>
  </w:style>
  <w:style w:type="character" w:customStyle="1" w:styleId="31">
    <w:name w:val="AnnotationReference"/>
    <w:qFormat/>
    <w:uiPriority w:val="99"/>
    <w:rPr>
      <w:sz w:val="21"/>
    </w:rPr>
  </w:style>
  <w:style w:type="character" w:customStyle="1" w:styleId="32">
    <w:name w:val="UserStyle_2"/>
    <w:basedOn w:val="19"/>
    <w:qFormat/>
    <w:uiPriority w:val="99"/>
    <w:rPr>
      <w:rFonts w:ascii="Times New Roman" w:eastAsia="宋体" w:cs="Times New Roman"/>
      <w:color w:val="0000FF"/>
      <w:sz w:val="21"/>
      <w:u w:val="single"/>
      <w:lang w:val="en-US" w:eastAsia="zh-CN"/>
    </w:rPr>
  </w:style>
  <w:style w:type="character" w:customStyle="1" w:styleId="33">
    <w:name w:val="UserStyle_3"/>
    <w:qFormat/>
    <w:uiPriority w:val="99"/>
    <w:rPr>
      <w:rFonts w:ascii="Times New Roman" w:hAnsi="Times New Roman" w:eastAsia="宋体"/>
      <w:kern w:val="2"/>
      <w:sz w:val="21"/>
      <w:lang w:val="en-US" w:eastAsia="zh-CN"/>
    </w:rPr>
  </w:style>
  <w:style w:type="paragraph" w:customStyle="1" w:styleId="34">
    <w:name w:val="UserStyle_5"/>
    <w:basedOn w:val="1"/>
    <w:next w:val="35"/>
    <w:qFormat/>
    <w:uiPriority w:val="99"/>
    <w:pPr>
      <w:spacing w:before="566" w:after="544" w:line="566" w:lineRule="atLeast"/>
      <w:jc w:val="center"/>
    </w:pPr>
    <w:rPr>
      <w:rFonts w:ascii="Arial" w:eastAsia="黑体"/>
      <w:sz w:val="54"/>
    </w:rPr>
  </w:style>
  <w:style w:type="paragraph" w:customStyle="1" w:styleId="35">
    <w:name w:val="UserStyle_6"/>
    <w:basedOn w:val="1"/>
    <w:next w:val="36"/>
    <w:qFormat/>
    <w:uiPriority w:val="99"/>
    <w:pPr>
      <w:spacing w:before="187" w:after="175" w:line="374" w:lineRule="atLeast"/>
      <w:jc w:val="center"/>
    </w:pPr>
    <w:rPr>
      <w:sz w:val="36"/>
    </w:rPr>
  </w:style>
  <w:style w:type="paragraph" w:customStyle="1" w:styleId="36">
    <w:name w:val="UserStyle_16"/>
    <w:basedOn w:val="1"/>
    <w:next w:val="37"/>
    <w:qFormat/>
    <w:uiPriority w:val="99"/>
    <w:pPr>
      <w:spacing w:before="158" w:after="153" w:line="323" w:lineRule="atLeast"/>
      <w:jc w:val="center"/>
    </w:pPr>
    <w:rPr>
      <w:rFonts w:ascii="Arial" w:eastAsia="黑体"/>
      <w:sz w:val="31"/>
    </w:rPr>
  </w:style>
  <w:style w:type="paragraph" w:customStyle="1" w:styleId="37">
    <w:name w:val="UserStyle_10"/>
    <w:basedOn w:val="1"/>
    <w:next w:val="38"/>
    <w:qFormat/>
    <w:uiPriority w:val="99"/>
    <w:pPr>
      <w:spacing w:line="289" w:lineRule="atLeast"/>
      <w:jc w:val="center"/>
    </w:pPr>
    <w:rPr>
      <w:sz w:val="28"/>
    </w:rPr>
  </w:style>
  <w:style w:type="paragraph" w:customStyle="1" w:styleId="38">
    <w:name w:val="UserStyle_11"/>
    <w:basedOn w:val="1"/>
    <w:next w:val="1"/>
    <w:qFormat/>
    <w:uiPriority w:val="99"/>
    <w:pPr>
      <w:spacing w:before="175" w:after="102" w:line="351" w:lineRule="atLeast"/>
    </w:pPr>
    <w:rPr>
      <w:rFonts w:eastAsia="黑体"/>
    </w:rPr>
  </w:style>
  <w:style w:type="paragraph" w:customStyle="1" w:styleId="39">
    <w:name w:val="UserStyle_7"/>
    <w:basedOn w:val="1"/>
    <w:next w:val="1"/>
    <w:qFormat/>
    <w:uiPriority w:val="99"/>
    <w:pPr>
      <w:tabs>
        <w:tab w:val="left" w:leader="dot" w:pos="8503"/>
      </w:tabs>
      <w:spacing w:line="317" w:lineRule="atLeast"/>
      <w:ind w:firstLine="629"/>
    </w:pPr>
  </w:style>
  <w:style w:type="paragraph" w:customStyle="1" w:styleId="40">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1">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2">
    <w:name w:val="UserStyle_9"/>
    <w:basedOn w:val="1"/>
    <w:next w:val="1"/>
    <w:qFormat/>
    <w:uiPriority w:val="99"/>
    <w:pPr>
      <w:tabs>
        <w:tab w:val="left" w:leader="dot" w:pos="8503"/>
      </w:tabs>
      <w:spacing w:line="317" w:lineRule="atLeast"/>
      <w:ind w:firstLine="419"/>
    </w:pPr>
  </w:style>
  <w:style w:type="paragraph" w:customStyle="1" w:styleId="43">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4">
    <w:name w:val="UserStyle_13"/>
    <w:basedOn w:val="1"/>
    <w:qFormat/>
    <w:uiPriority w:val="99"/>
    <w:pPr>
      <w:spacing w:line="240" w:lineRule="auto"/>
      <w:textAlignment w:val="auto"/>
    </w:pPr>
    <w:rPr>
      <w:sz w:val="32"/>
      <w:szCs w:val="32"/>
    </w:rPr>
  </w:style>
  <w:style w:type="paragraph" w:customStyle="1" w:styleId="45">
    <w:name w:val="UserStyle_14"/>
    <w:basedOn w:val="1"/>
    <w:qFormat/>
    <w:uiPriority w:val="99"/>
    <w:pPr>
      <w:spacing w:line="600" w:lineRule="atLeast"/>
      <w:jc w:val="center"/>
      <w:textAlignment w:val="auto"/>
    </w:pPr>
    <w:rPr>
      <w:rFonts w:ascii="Arial" w:hAnsi="Arial"/>
      <w:sz w:val="24"/>
      <w:szCs w:val="24"/>
    </w:rPr>
  </w:style>
  <w:style w:type="paragraph" w:customStyle="1" w:styleId="46">
    <w:name w:val="UserStyle_15"/>
    <w:basedOn w:val="1"/>
    <w:next w:val="1"/>
    <w:qFormat/>
    <w:uiPriority w:val="99"/>
    <w:pPr>
      <w:tabs>
        <w:tab w:val="left" w:leader="dot" w:pos="8503"/>
      </w:tabs>
      <w:spacing w:line="317" w:lineRule="atLeast"/>
      <w:ind w:firstLine="209"/>
    </w:pPr>
  </w:style>
  <w:style w:type="paragraph" w:customStyle="1" w:styleId="47">
    <w:name w:val="UserStyle_17"/>
    <w:basedOn w:val="1"/>
    <w:qFormat/>
    <w:uiPriority w:val="99"/>
    <w:pPr>
      <w:spacing w:line="480" w:lineRule="exact"/>
      <w:ind w:firstLine="420" w:firstLineChars="200"/>
      <w:textAlignment w:val="auto"/>
    </w:pPr>
    <w:rPr>
      <w:kern w:val="2"/>
      <w:sz w:val="24"/>
      <w:szCs w:val="24"/>
    </w:rPr>
  </w:style>
  <w:style w:type="table" w:customStyle="1" w:styleId="48">
    <w:name w:val="TableGrid"/>
    <w:basedOn w:val="29"/>
    <w:qFormat/>
    <w:uiPriority w:val="99"/>
  </w:style>
  <w:style w:type="paragraph" w:customStyle="1" w:styleId="49">
    <w:name w:val="BodyTextIndent"/>
    <w:basedOn w:val="1"/>
    <w:qFormat/>
    <w:uiPriority w:val="99"/>
    <w:pPr>
      <w:spacing w:after="120"/>
      <w:ind w:left="420" w:leftChars="200"/>
    </w:pPr>
  </w:style>
  <w:style w:type="paragraph" w:customStyle="1" w:styleId="50">
    <w:name w:val="BodyText1I2"/>
    <w:basedOn w:val="49"/>
    <w:qFormat/>
    <w:uiPriority w:val="99"/>
    <w:pPr>
      <w:ind w:firstLine="420" w:firstLineChars="200"/>
    </w:pPr>
  </w:style>
  <w:style w:type="paragraph" w:customStyle="1" w:styleId="51">
    <w:name w:val="ZSZW-正文"/>
    <w:basedOn w:val="1"/>
    <w:qFormat/>
    <w:uiPriority w:val="0"/>
    <w:pPr>
      <w:adjustRightInd w:val="0"/>
      <w:snapToGrid w:val="0"/>
      <w:spacing w:line="360" w:lineRule="auto"/>
      <w:ind w:firstLine="200" w:firstLineChars="200"/>
    </w:pPr>
    <w:rPr>
      <w:sz w:val="24"/>
    </w:rPr>
  </w:style>
  <w:style w:type="paragraph" w:customStyle="1" w:styleId="52">
    <w:name w:val="Table Paragraph"/>
    <w:basedOn w:val="1"/>
    <w:qFormat/>
    <w:uiPriority w:val="1"/>
  </w:style>
  <w:style w:type="paragraph" w:customStyle="1" w:styleId="5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54">
    <w:name w:val="标题 4 Char"/>
    <w:link w:val="5"/>
    <w:qFormat/>
    <w:uiPriority w:val="0"/>
    <w:rPr>
      <w:rFonts w:ascii="Calibri" w:hAnsi="Calibri"/>
      <w:b/>
      <w:bCs/>
      <w:kern w:val="0"/>
      <w:sz w:val="24"/>
      <w:szCs w:val="28"/>
    </w:rPr>
  </w:style>
  <w:style w:type="paragraph" w:customStyle="1" w:styleId="55">
    <w:name w:val="报告书正文"/>
    <w:basedOn w:val="15"/>
    <w:next w:val="1"/>
    <w:qFormat/>
    <w:uiPriority w:val="0"/>
    <w:pPr>
      <w:adjustRightInd w:val="0"/>
      <w:spacing w:line="360" w:lineRule="auto"/>
      <w:ind w:firstLine="425"/>
      <w:textAlignment w:val="baseline"/>
    </w:pPr>
    <w:rPr>
      <w:rFonts w:ascii="Arial" w:hAnsi="Arial"/>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2009</Words>
  <Characters>2177</Characters>
  <Paragraphs>100</Paragraphs>
  <TotalTime>1</TotalTime>
  <ScaleCrop>false</ScaleCrop>
  <LinksUpToDate>false</LinksUpToDate>
  <CharactersWithSpaces>2254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2024-07-03T03:00:00Z</cp:lastPrinted>
  <dcterms:modified xsi:type="dcterms:W3CDTF">2025-07-09T03:08:13Z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75101FE560B34AF7A49B633E24E6AEB8_13</vt:lpwstr>
  </property>
  <property fmtid="{D5CDD505-2E9C-101B-9397-08002B2CF9AE}" pid="4" name="KSOTemplateDocerSaveRecord">
    <vt:lpwstr>eyJoZGlkIjoiM2VkNTk1MmVhODkwYTdlM2UzNDI2NDIyNmU0MzQwNDkiLCJ1c2VySWQiOiIzMzQyNjE5NjcifQ==</vt:lpwstr>
  </property>
</Properties>
</file>