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AA984">
      <w:pPr>
        <w:snapToGrid w:val="0"/>
        <w:spacing w:line="580" w:lineRule="exact"/>
        <w:jc w:val="center"/>
        <w:rPr>
          <w:rStyle w:val="17"/>
          <w:rFonts w:ascii="仿宋_GB2312" w:eastAsia="仿宋_GB2312"/>
          <w:color w:val="auto"/>
          <w:sz w:val="32"/>
          <w:szCs w:val="32"/>
        </w:rPr>
      </w:pPr>
    </w:p>
    <w:p w14:paraId="475B8270">
      <w:pPr>
        <w:snapToGrid w:val="0"/>
        <w:spacing w:line="580" w:lineRule="exact"/>
        <w:jc w:val="center"/>
        <w:rPr>
          <w:rStyle w:val="17"/>
          <w:rFonts w:ascii="仿宋_GB2312" w:eastAsia="仿宋_GB2312"/>
          <w:color w:val="auto"/>
          <w:sz w:val="32"/>
          <w:szCs w:val="32"/>
        </w:rPr>
      </w:pPr>
    </w:p>
    <w:p w14:paraId="6D4E8DA1">
      <w:pPr>
        <w:snapToGrid w:val="0"/>
        <w:spacing w:line="580" w:lineRule="exact"/>
        <w:jc w:val="center"/>
        <w:rPr>
          <w:rStyle w:val="17"/>
          <w:rFonts w:ascii="仿宋_GB2312" w:eastAsia="仿宋_GB2312"/>
          <w:color w:val="auto"/>
          <w:sz w:val="32"/>
          <w:szCs w:val="32"/>
        </w:rPr>
      </w:pPr>
    </w:p>
    <w:p w14:paraId="7DAF7F46">
      <w:pPr>
        <w:snapToGrid w:val="0"/>
        <w:spacing w:line="580" w:lineRule="exact"/>
        <w:jc w:val="center"/>
        <w:rPr>
          <w:rStyle w:val="17"/>
          <w:rFonts w:ascii="仿宋_GB2312" w:eastAsia="仿宋_GB2312"/>
          <w:color w:val="auto"/>
          <w:sz w:val="32"/>
          <w:szCs w:val="32"/>
        </w:rPr>
      </w:pPr>
    </w:p>
    <w:p w14:paraId="40D5A416">
      <w:pPr>
        <w:snapToGrid w:val="0"/>
        <w:spacing w:line="580" w:lineRule="exact"/>
        <w:jc w:val="center"/>
        <w:rPr>
          <w:rStyle w:val="17"/>
          <w:rFonts w:ascii="仿宋_GB2312" w:eastAsia="仿宋_GB2312"/>
          <w:color w:val="auto"/>
          <w:sz w:val="32"/>
          <w:szCs w:val="32"/>
        </w:rPr>
      </w:pPr>
    </w:p>
    <w:p w14:paraId="6633C335">
      <w:pPr>
        <w:snapToGrid w:val="0"/>
        <w:spacing w:line="580" w:lineRule="exact"/>
        <w:jc w:val="center"/>
        <w:rPr>
          <w:rStyle w:val="17"/>
          <w:rFonts w:ascii="仿宋_GB2312" w:eastAsia="仿宋_GB2312"/>
          <w:color w:val="auto"/>
          <w:sz w:val="32"/>
          <w:szCs w:val="32"/>
        </w:rPr>
      </w:pPr>
    </w:p>
    <w:p w14:paraId="4FA462C3">
      <w:pPr>
        <w:tabs>
          <w:tab w:val="left" w:pos="2105"/>
        </w:tabs>
        <w:snapToGrid w:val="0"/>
        <w:spacing w:line="580" w:lineRule="exact"/>
        <w:jc w:val="left"/>
        <w:rPr>
          <w:rStyle w:val="17"/>
          <w:rFonts w:hint="eastAsia" w:ascii="仿宋_GB2312" w:eastAsia="仿宋_GB2312"/>
          <w:color w:val="auto"/>
          <w:sz w:val="32"/>
          <w:szCs w:val="32"/>
          <w:lang w:eastAsia="zh-CN"/>
        </w:rPr>
      </w:pPr>
      <w:r>
        <w:rPr>
          <w:rStyle w:val="17"/>
          <w:rFonts w:hint="eastAsia" w:ascii="仿宋_GB2312" w:eastAsia="仿宋_GB2312"/>
          <w:color w:val="auto"/>
          <w:sz w:val="32"/>
          <w:szCs w:val="32"/>
          <w:lang w:eastAsia="zh-CN"/>
        </w:rPr>
        <w:tab/>
      </w:r>
    </w:p>
    <w:p w14:paraId="2289ED41">
      <w:pPr>
        <w:snapToGrid w:val="0"/>
        <w:spacing w:line="580" w:lineRule="exact"/>
        <w:jc w:val="center"/>
        <w:rPr>
          <w:rStyle w:val="17"/>
          <w:rFonts w:ascii="仿宋_GB2312" w:eastAsia="仿宋_GB2312"/>
          <w:color w:val="auto"/>
          <w:sz w:val="32"/>
          <w:szCs w:val="32"/>
        </w:rPr>
      </w:pPr>
    </w:p>
    <w:p w14:paraId="375EA479">
      <w:pPr>
        <w:pStyle w:val="26"/>
        <w:rPr>
          <w:rStyle w:val="17"/>
          <w:color w:val="auto"/>
        </w:rPr>
      </w:pPr>
    </w:p>
    <w:p w14:paraId="45ADE329">
      <w:pPr>
        <w:snapToGrid w:val="0"/>
        <w:spacing w:line="600" w:lineRule="exact"/>
        <w:rPr>
          <w:rStyle w:val="17"/>
          <w:rFonts w:ascii="仿宋_GB2312" w:eastAsia="仿宋_GB2312"/>
          <w:color w:val="auto"/>
          <w:sz w:val="32"/>
          <w:szCs w:val="32"/>
        </w:rPr>
      </w:pPr>
    </w:p>
    <w:p w14:paraId="60330016">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13</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7C647FD1">
      <w:pPr>
        <w:spacing w:line="600" w:lineRule="exact"/>
        <w:jc w:val="center"/>
        <w:rPr>
          <w:rStyle w:val="17"/>
          <w:rFonts w:ascii="宋体" w:hAnsi="宋体" w:cs="宋体"/>
          <w:b/>
          <w:color w:val="auto"/>
          <w:sz w:val="44"/>
          <w:szCs w:val="44"/>
        </w:rPr>
      </w:pPr>
    </w:p>
    <w:p w14:paraId="71D8DFD5">
      <w:pPr>
        <w:spacing w:line="600" w:lineRule="exact"/>
        <w:jc w:val="center"/>
        <w:rPr>
          <w:rStyle w:val="17"/>
          <w:rFonts w:ascii="宋体" w:hAnsi="宋体"/>
          <w:b/>
          <w:color w:val="auto"/>
          <w:sz w:val="44"/>
          <w:szCs w:val="44"/>
        </w:rPr>
      </w:pPr>
      <w:r>
        <w:rPr>
          <w:rStyle w:val="17"/>
          <w:rFonts w:hint="eastAsia" w:ascii="宋体" w:hAnsi="宋体"/>
          <w:b/>
          <w:color w:val="auto"/>
          <w:sz w:val="44"/>
          <w:szCs w:val="44"/>
        </w:rPr>
        <w:t>鄂尔多斯市生态环境局东胜区分局关于</w:t>
      </w:r>
    </w:p>
    <w:p w14:paraId="3B1C6A09">
      <w:pPr>
        <w:spacing w:line="600" w:lineRule="exact"/>
        <w:jc w:val="center"/>
        <w:rPr>
          <w:rStyle w:val="17"/>
          <w:rFonts w:hint="eastAsia" w:ascii="宋体" w:hAnsi="宋体" w:cs="Times New Roman"/>
          <w:b/>
          <w:color w:val="auto"/>
          <w:sz w:val="44"/>
          <w:szCs w:val="44"/>
          <w:lang w:val="en-US" w:eastAsia="zh-CN"/>
        </w:rPr>
      </w:pPr>
      <w:r>
        <w:rPr>
          <w:rStyle w:val="17"/>
          <w:rFonts w:hint="eastAsia" w:ascii="宋体" w:hAnsi="宋体" w:cs="Times New Roman"/>
          <w:b/>
          <w:color w:val="auto"/>
          <w:sz w:val="44"/>
          <w:szCs w:val="44"/>
          <w:lang w:val="en-US" w:eastAsia="zh-CN"/>
        </w:rPr>
        <w:t>内蒙古蒙泰集团有限公司危废品</w:t>
      </w:r>
    </w:p>
    <w:p w14:paraId="56D71339">
      <w:pPr>
        <w:spacing w:line="600" w:lineRule="exact"/>
        <w:jc w:val="center"/>
        <w:rPr>
          <w:rStyle w:val="17"/>
          <w:rFonts w:hint="eastAsia" w:ascii="宋体" w:hAnsi="宋体" w:cs="宋体"/>
          <w:b/>
          <w:color w:val="auto"/>
          <w:sz w:val="44"/>
          <w:szCs w:val="44"/>
        </w:rPr>
      </w:pPr>
      <w:r>
        <w:rPr>
          <w:rStyle w:val="17"/>
          <w:rFonts w:hint="eastAsia" w:ascii="宋体" w:hAnsi="宋体" w:cs="Times New Roman"/>
          <w:b/>
          <w:color w:val="auto"/>
          <w:sz w:val="44"/>
          <w:szCs w:val="44"/>
          <w:lang w:val="en-US" w:eastAsia="zh-CN"/>
        </w:rPr>
        <w:t>暂存库变更建设项目</w:t>
      </w:r>
      <w:r>
        <w:rPr>
          <w:rStyle w:val="17"/>
          <w:rFonts w:hint="eastAsia" w:ascii="宋体" w:hAnsi="宋体" w:cs="宋体"/>
          <w:b/>
          <w:color w:val="auto"/>
          <w:sz w:val="44"/>
          <w:szCs w:val="44"/>
        </w:rPr>
        <w:t>环境</w:t>
      </w:r>
    </w:p>
    <w:p w14:paraId="727ECB8E">
      <w:pPr>
        <w:spacing w:line="600" w:lineRule="exact"/>
        <w:jc w:val="center"/>
        <w:rPr>
          <w:rStyle w:val="17"/>
          <w:rFonts w:ascii="宋体" w:hAnsi="宋体" w:cs="宋体"/>
          <w:b/>
          <w:color w:val="auto"/>
          <w:sz w:val="44"/>
          <w:szCs w:val="44"/>
        </w:rPr>
      </w:pPr>
      <w:r>
        <w:rPr>
          <w:rStyle w:val="17"/>
          <w:rFonts w:hint="eastAsia" w:ascii="宋体" w:hAnsi="宋体" w:cs="宋体"/>
          <w:b/>
          <w:color w:val="auto"/>
          <w:sz w:val="44"/>
          <w:szCs w:val="44"/>
        </w:rPr>
        <w:t>影响报告表的批复</w:t>
      </w:r>
    </w:p>
    <w:p w14:paraId="206506C8">
      <w:pPr>
        <w:spacing w:line="360" w:lineRule="auto"/>
        <w:ind w:left="0" w:leftChars="0" w:firstLine="0" w:firstLineChars="0"/>
        <w:textAlignment w:val="auto"/>
        <w:rPr>
          <w:rStyle w:val="17"/>
          <w:rFonts w:ascii="仿宋" w:hAnsi="仿宋" w:eastAsia="仿宋"/>
          <w:sz w:val="32"/>
          <w:szCs w:val="32"/>
        </w:rPr>
      </w:pPr>
    </w:p>
    <w:p w14:paraId="3F89CF89">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both"/>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内蒙古蒙泰集团有限公司：</w:t>
      </w:r>
    </w:p>
    <w:p w14:paraId="186219A9">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 xml:space="preserve">    你单位报送的由鄂尔多斯市嘉鑫环保科技有限责任公司编制的《内蒙古蒙泰集团有限公司危废品暂存库变更建设项目环境影响报告表》（以下简称《报告表》）已收悉。经组织专家评审，集体研究，形成如下审批意见：</w:t>
      </w:r>
    </w:p>
    <w:p w14:paraId="0A4B0D64">
      <w:pPr>
        <w:pStyle w:val="4"/>
        <w:keepNext w:val="0"/>
        <w:keepLines w:val="0"/>
        <w:pageBreakBefore w:val="0"/>
        <w:widowControl w:val="0"/>
        <w:kinsoku/>
        <w:wordWrap/>
        <w:overflowPunct/>
        <w:topLinePunct w:val="0"/>
        <w:autoSpaceDE/>
        <w:autoSpaceDN/>
        <w:bidi w:val="0"/>
        <w:adjustRightInd w:val="0"/>
        <w:spacing w:line="560" w:lineRule="exact"/>
        <w:ind w:left="0" w:leftChars="0" w:right="0" w:firstLine="640" w:firstLineChars="200"/>
        <w:textAlignment w:val="auto"/>
        <w:rPr>
          <w:rStyle w:val="17"/>
          <w:rFonts w:hint="default" w:ascii="仿宋" w:hAnsi="仿宋" w:eastAsia="仿宋" w:cs="Times New Roman"/>
          <w:color w:val="000000"/>
          <w:sz w:val="32"/>
          <w:szCs w:val="32"/>
          <w:highlight w:val="none"/>
          <w:lang w:val="en-US" w:eastAsia="zh-CN" w:bidi="ar-SA"/>
        </w:rPr>
      </w:pPr>
      <w:r>
        <w:rPr>
          <w:rStyle w:val="17"/>
          <w:rFonts w:hint="eastAsia" w:ascii="仿宋" w:hAnsi="仿宋" w:eastAsia="仿宋"/>
          <w:sz w:val="32"/>
          <w:szCs w:val="32"/>
          <w:lang w:eastAsia="zh-CN"/>
        </w:rPr>
        <w:t>一、</w:t>
      </w:r>
      <w:r>
        <w:rPr>
          <w:rStyle w:val="17"/>
          <w:rFonts w:hint="eastAsia" w:ascii="仿宋" w:hAnsi="仿宋" w:eastAsia="仿宋"/>
          <w:sz w:val="32"/>
          <w:szCs w:val="32"/>
        </w:rPr>
        <w:t>该项目属于</w:t>
      </w:r>
      <w:r>
        <w:rPr>
          <w:rStyle w:val="17"/>
          <w:rFonts w:hint="eastAsia" w:ascii="仿宋" w:hAnsi="仿宋" w:eastAsia="仿宋"/>
          <w:sz w:val="32"/>
          <w:szCs w:val="32"/>
          <w:lang w:val="en-US" w:eastAsia="zh-CN"/>
        </w:rPr>
        <w:t>改</w:t>
      </w:r>
      <w:r>
        <w:rPr>
          <w:rStyle w:val="17"/>
          <w:rFonts w:hint="eastAsia" w:ascii="仿宋" w:hAnsi="仿宋" w:eastAsia="仿宋"/>
          <w:sz w:val="32"/>
          <w:szCs w:val="32"/>
        </w:rPr>
        <w:t>建</w:t>
      </w:r>
      <w:r>
        <w:rPr>
          <w:rStyle w:val="17"/>
          <w:rFonts w:hint="eastAsia" w:ascii="仿宋" w:hAnsi="仿宋" w:eastAsia="仿宋" w:cs="Times New Roman"/>
          <w:color w:val="000000"/>
          <w:sz w:val="32"/>
          <w:szCs w:val="32"/>
          <w:lang w:val="en-US" w:eastAsia="zh-CN" w:bidi="ar-SA"/>
        </w:rPr>
        <w:t>项目，位于</w:t>
      </w:r>
      <w:bookmarkStart w:id="0" w:name="OLE_LINK1"/>
      <w:r>
        <w:rPr>
          <w:rStyle w:val="17"/>
          <w:rFonts w:hint="eastAsia" w:ascii="仿宋" w:hAnsi="仿宋" w:eastAsia="仿宋" w:cs="Times New Roman"/>
          <w:color w:val="000000"/>
          <w:sz w:val="32"/>
          <w:szCs w:val="32"/>
          <w:lang w:val="en-US" w:eastAsia="zh-CN" w:bidi="ar-SA"/>
        </w:rPr>
        <w:t>东胜区伊煤北路35号</w:t>
      </w:r>
      <w:bookmarkEnd w:id="0"/>
      <w:r>
        <w:rPr>
          <w:rStyle w:val="17"/>
          <w:rFonts w:hint="eastAsia" w:ascii="仿宋" w:hAnsi="仿宋" w:eastAsia="仿宋" w:cs="Times New Roman"/>
          <w:color w:val="000000"/>
          <w:sz w:val="32"/>
          <w:szCs w:val="32"/>
          <w:lang w:val="en-US" w:eastAsia="zh-CN" w:bidi="ar-SA"/>
        </w:rPr>
        <w:t>。项目总占地面积360平方米，本次不新增用地，总投资0.1万元，全部为环保投资。主要建设内容及规模：仅</w:t>
      </w:r>
      <w:r>
        <w:rPr>
          <w:rStyle w:val="17"/>
          <w:rFonts w:hint="eastAsia" w:ascii="仿宋" w:hAnsi="仿宋" w:eastAsia="仿宋" w:cs="Times New Roman"/>
          <w:color w:val="000000"/>
          <w:sz w:val="32"/>
          <w:szCs w:val="32"/>
          <w:highlight w:val="none"/>
          <w:lang w:val="en-US" w:eastAsia="zh-CN" w:bidi="ar-SA"/>
        </w:rPr>
        <w:t>对现有</w:t>
      </w:r>
      <w:r>
        <w:rPr>
          <w:rStyle w:val="17"/>
          <w:rFonts w:hint="default" w:ascii="仿宋" w:hAnsi="仿宋" w:eastAsia="仿宋" w:cs="Times New Roman"/>
          <w:color w:val="000000"/>
          <w:sz w:val="32"/>
          <w:szCs w:val="32"/>
          <w:highlight w:val="none"/>
          <w:lang w:val="en-US" w:eastAsia="zh-CN" w:bidi="ar-SA"/>
        </w:rPr>
        <w:t>危废品暂存库</w:t>
      </w:r>
      <w:r>
        <w:rPr>
          <w:rFonts w:hint="eastAsia" w:ascii="仿宋" w:hAnsi="仿宋" w:eastAsia="仿宋" w:cs="仿宋"/>
          <w:color w:val="auto"/>
          <w:sz w:val="32"/>
          <w:szCs w:val="32"/>
          <w:highlight w:val="none"/>
          <w:lang w:eastAsia="zh-CN"/>
        </w:rPr>
        <w:t>调整分区</w:t>
      </w:r>
      <w:r>
        <w:rPr>
          <w:rStyle w:val="17"/>
          <w:rFonts w:hint="eastAsia" w:ascii="仿宋" w:hAnsi="仿宋" w:eastAsia="仿宋" w:cs="Times New Roman"/>
          <w:color w:val="000000"/>
          <w:sz w:val="32"/>
          <w:szCs w:val="32"/>
          <w:highlight w:val="none"/>
          <w:lang w:val="en-US" w:eastAsia="zh-CN" w:bidi="ar-SA"/>
        </w:rPr>
        <w:t>，其他工程全部依托原有</w:t>
      </w:r>
      <w:r>
        <w:rPr>
          <w:rFonts w:hint="eastAsia" w:ascii="仿宋" w:hAnsi="仿宋" w:eastAsia="仿宋" w:cs="仿宋"/>
          <w:color w:val="auto"/>
          <w:sz w:val="32"/>
          <w:szCs w:val="32"/>
          <w:highlight w:val="none"/>
          <w:lang w:eastAsia="zh-CN"/>
        </w:rPr>
        <w:t>。</w:t>
      </w:r>
      <w:r>
        <w:rPr>
          <w:rStyle w:val="17"/>
          <w:rFonts w:hint="eastAsia" w:ascii="仿宋" w:hAnsi="仿宋" w:eastAsia="仿宋" w:cs="Times New Roman"/>
          <w:color w:val="000000"/>
          <w:sz w:val="32"/>
          <w:szCs w:val="32"/>
          <w:highlight w:val="none"/>
          <w:lang w:val="en-US" w:eastAsia="zh-CN" w:bidi="ar-SA"/>
        </w:rPr>
        <w:t>变更后新增暂存煤水油化验室废液和北源电厂在线监测废液。</w:t>
      </w:r>
    </w:p>
    <w:p w14:paraId="6EB2B54B">
      <w:pPr>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Style w:val="17"/>
          <w:rFonts w:ascii="仿宋" w:hAnsi="仿宋" w:eastAsia="仿宋"/>
          <w:sz w:val="32"/>
          <w:szCs w:val="32"/>
        </w:rPr>
      </w:pPr>
      <w:bookmarkStart w:id="1" w:name="_GoBack"/>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50A77A6">
      <w:pPr>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Style w:val="17"/>
          <w:rFonts w:ascii="仿宋" w:hAnsi="仿宋" w:eastAsia="仿宋"/>
          <w:color w:val="auto"/>
          <w:sz w:val="32"/>
          <w:szCs w:val="32"/>
        </w:rPr>
      </w:pPr>
      <w:r>
        <w:rPr>
          <w:rStyle w:val="17"/>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14:paraId="387514AB">
      <w:pPr>
        <w:keepNext w:val="0"/>
        <w:keepLines w:val="0"/>
        <w:pageBreakBefore w:val="0"/>
        <w:widowControl w:val="0"/>
        <w:kinsoku/>
        <w:wordWrap/>
        <w:overflowPunct/>
        <w:topLinePunct w:val="0"/>
        <w:autoSpaceDE/>
        <w:autoSpaceDN/>
        <w:bidi w:val="0"/>
        <w:spacing w:line="560" w:lineRule="exact"/>
        <w:ind w:left="0" w:leftChars="0"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14:paraId="038F9F13">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color w:val="auto"/>
          <w:sz w:val="32"/>
          <w:szCs w:val="32"/>
          <w:lang w:val="en-US" w:eastAsia="zh-CN"/>
        </w:rPr>
      </w:pPr>
      <w:r>
        <w:rPr>
          <w:rFonts w:hint="default" w:ascii="仿宋" w:hAnsi="仿宋" w:eastAsia="仿宋" w:cs="仿宋"/>
          <w:color w:val="auto"/>
          <w:sz w:val="32"/>
          <w:szCs w:val="32"/>
          <w:lang w:eastAsia="zh-CN"/>
        </w:rPr>
        <w:t>项目</w:t>
      </w:r>
      <w:r>
        <w:rPr>
          <w:rFonts w:hint="eastAsia" w:ascii="仿宋" w:hAnsi="仿宋" w:eastAsia="仿宋" w:cs="仿宋"/>
          <w:color w:val="auto"/>
          <w:sz w:val="32"/>
          <w:szCs w:val="32"/>
          <w:lang w:val="en-US" w:eastAsia="zh-CN"/>
        </w:rPr>
        <w:t>已建成</w:t>
      </w:r>
      <w:r>
        <w:rPr>
          <w:rFonts w:hint="eastAsia" w:ascii="仿宋" w:hAnsi="仿宋" w:eastAsia="仿宋" w:cs="仿宋"/>
          <w:color w:val="auto"/>
          <w:sz w:val="32"/>
          <w:szCs w:val="32"/>
          <w:lang w:eastAsia="zh-CN"/>
        </w:rPr>
        <w:t>，仅调整分区，</w:t>
      </w:r>
      <w:r>
        <w:rPr>
          <w:rFonts w:hint="eastAsia" w:ascii="仿宋" w:hAnsi="仿宋" w:eastAsia="仿宋" w:cs="仿宋"/>
          <w:color w:val="auto"/>
          <w:sz w:val="32"/>
          <w:szCs w:val="32"/>
          <w:lang w:val="en-US" w:eastAsia="zh-CN"/>
        </w:rPr>
        <w:t>不涉及施工期环境污染。</w:t>
      </w:r>
    </w:p>
    <w:p w14:paraId="7F94500C">
      <w:pPr>
        <w:keepNext w:val="0"/>
        <w:keepLines w:val="0"/>
        <w:pageBreakBefore w:val="0"/>
        <w:widowControl w:val="0"/>
        <w:kinsoku/>
        <w:wordWrap/>
        <w:overflowPunct/>
        <w:topLinePunct w:val="0"/>
        <w:autoSpaceDE/>
        <w:autoSpaceDN/>
        <w:bidi w:val="0"/>
        <w:spacing w:line="560" w:lineRule="exact"/>
        <w:ind w:left="0" w:leftChars="0"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14:paraId="497BD046">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000000" w:themeColor="text1"/>
          <w:sz w:val="32"/>
          <w:szCs w:val="32"/>
          <w14:textFill>
            <w14:solidFill>
              <w14:schemeClr w14:val="tx1"/>
            </w14:solidFill>
          </w14:textFill>
        </w:rPr>
        <w:t>运</w:t>
      </w:r>
      <w:r>
        <w:rPr>
          <w:rStyle w:val="17"/>
          <w:rFonts w:hint="eastAsia" w:ascii="仿宋" w:hAnsi="仿宋" w:eastAsia="仿宋" w:cs="Times New Roman"/>
          <w:color w:val="000000" w:themeColor="text1"/>
          <w:sz w:val="32"/>
          <w:szCs w:val="32"/>
          <w:lang w:eastAsia="zh-CN"/>
          <w14:textFill>
            <w14:solidFill>
              <w14:schemeClr w14:val="tx1"/>
            </w14:solidFill>
          </w14:textFill>
        </w:rPr>
        <w:t>营期厂界大气污染物无组织排放执行《大气污染物综合排放标准》（GB16297-1996）表2中无组织排放监控浓度限值</w:t>
      </w:r>
      <w:r>
        <w:rPr>
          <w:rStyle w:val="17"/>
          <w:rFonts w:hint="eastAsia" w:ascii="仿宋" w:hAnsi="仿宋" w:eastAsia="仿宋" w:cs="Times New Roman"/>
          <w:color w:val="000000" w:themeColor="text1"/>
          <w:sz w:val="32"/>
          <w:szCs w:val="32"/>
          <w14:textFill>
            <w14:solidFill>
              <w14:schemeClr w14:val="tx1"/>
            </w14:solidFill>
          </w14:textFill>
        </w:rPr>
        <w:t>。</w:t>
      </w:r>
    </w:p>
    <w:p w14:paraId="711DC26C">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运营期不产生生产废水，</w:t>
      </w:r>
      <w:r>
        <w:rPr>
          <w:rStyle w:val="17"/>
          <w:rFonts w:hint="eastAsia" w:ascii="仿宋" w:hAnsi="仿宋" w:eastAsia="仿宋"/>
          <w:color w:val="auto"/>
          <w:sz w:val="32"/>
          <w:szCs w:val="32"/>
          <w:lang w:eastAsia="zh-CN"/>
        </w:rPr>
        <w:t>不新增生活污水</w:t>
      </w:r>
      <w:r>
        <w:rPr>
          <w:rStyle w:val="17"/>
          <w:rFonts w:hint="eastAsia" w:ascii="仿宋" w:hAnsi="仿宋" w:eastAsia="仿宋"/>
          <w:color w:val="auto"/>
          <w:sz w:val="32"/>
          <w:szCs w:val="32"/>
        </w:rPr>
        <w:t>。</w:t>
      </w:r>
    </w:p>
    <w:p w14:paraId="50ECEABE">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运营期厂界噪声执行《工业企业厂界环境噪声排放标准》（GB12348-2008）中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14:paraId="1C0F49A8">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《一般工业固体废物贮存和填埋污染控制标准》（GB18599-2020）处置一般固废，不得乱弃。危废</w:t>
      </w:r>
      <w:r>
        <w:rPr>
          <w:rFonts w:hint="eastAsia" w:ascii="仿宋" w:hAnsi="仿宋" w:eastAsia="仿宋" w:cs="仿宋"/>
          <w:color w:val="auto"/>
          <w:sz w:val="32"/>
          <w:szCs w:val="32"/>
          <w:lang w:eastAsia="zh-CN"/>
        </w:rPr>
        <w:t>暂存</w:t>
      </w:r>
      <w:r>
        <w:rPr>
          <w:rFonts w:hint="eastAsia" w:ascii="仿宋" w:hAnsi="仿宋" w:eastAsia="仿宋" w:cs="仿宋"/>
          <w:color w:val="auto"/>
          <w:sz w:val="32"/>
          <w:szCs w:val="32"/>
        </w:rPr>
        <w:t>库须严格按照《危险废物贮存污染控制标准》（GB18597-2023）进行设计、建设和管理。危险废物收集和运输等均按照《危险废物收集 贮存 运输技术规范》(HJ2025-2012)要求执行。危废必须由有资质单位处置。非正常情况下泄露的危险废物进入废液池中，收集后交由有资质单位处置。</w:t>
      </w:r>
    </w:p>
    <w:p w14:paraId="0B0EFA0C">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地面须按相关要求做好防渗措施，确保不会对地下水造成影响。</w:t>
      </w:r>
    </w:p>
    <w:p w14:paraId="0213B840">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强化环境风险防范，制定突发环境事件应急预案，落实环境风险事故防范措施，提高事故风险防范和污染控制能力。</w:t>
      </w:r>
    </w:p>
    <w:p w14:paraId="2B6EB664">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31E8800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707A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lang w:val="en-US" w:eastAsia="zh-CN"/>
        </w:rPr>
        <w:t>五、</w:t>
      </w:r>
      <w:r>
        <w:rPr>
          <w:rStyle w:val="17"/>
          <w:rFonts w:hint="eastAsia" w:ascii="仿宋" w:hAnsi="仿宋" w:eastAsia="仿宋" w:cs="Times New Roman"/>
          <w:color w:val="auto"/>
          <w:sz w:val="32"/>
          <w:szCs w:val="32"/>
        </w:rPr>
        <w:t>该项目事中事后监管由鄂尔多斯市生态环境综合行政执法支队东胜区大队负责</w:t>
      </w:r>
      <w:r>
        <w:rPr>
          <w:rStyle w:val="17"/>
          <w:rFonts w:hint="eastAsia" w:ascii="仿宋" w:hAnsi="仿宋" w:eastAsia="仿宋" w:cs="Times New Roman"/>
          <w:color w:val="auto"/>
          <w:sz w:val="32"/>
          <w:szCs w:val="32"/>
          <w:lang w:eastAsia="zh-CN"/>
        </w:rPr>
        <w:t>。</w:t>
      </w:r>
    </w:p>
    <w:p w14:paraId="54A89A66">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六、</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bookmarkEnd w:id="1"/>
      <w:r>
        <w:rPr>
          <w:rStyle w:val="17"/>
          <w:rFonts w:ascii="仿宋" w:hAnsi="仿宋" w:eastAsia="仿宋"/>
          <w:color w:val="auto"/>
          <w:sz w:val="32"/>
          <w:szCs w:val="32"/>
        </w:rPr>
        <w:t xml:space="preserve">                              </w:t>
      </w:r>
    </w:p>
    <w:p w14:paraId="033FC8B3">
      <w:pPr>
        <w:pStyle w:val="2"/>
        <w:keepNext w:val="0"/>
        <w:keepLines w:val="0"/>
        <w:pageBreakBefore w:val="0"/>
        <w:kinsoku/>
        <w:wordWrap/>
        <w:overflowPunct/>
        <w:topLinePunct w:val="0"/>
        <w:autoSpaceDE/>
        <w:autoSpaceDN/>
        <w:bidi w:val="0"/>
        <w:spacing w:line="560" w:lineRule="exact"/>
        <w:ind w:left="0" w:leftChars="0"/>
      </w:pPr>
    </w:p>
    <w:p w14:paraId="6B3A1FE3">
      <w:pPr>
        <w:keepNext w:val="0"/>
        <w:keepLines w:val="0"/>
        <w:pageBreakBefore w:val="0"/>
        <w:kinsoku/>
        <w:wordWrap/>
        <w:overflowPunct/>
        <w:topLinePunct w:val="0"/>
        <w:autoSpaceDE/>
        <w:autoSpaceDN/>
        <w:bidi w:val="0"/>
        <w:spacing w:line="560" w:lineRule="exact"/>
        <w:ind w:left="0" w:leftChars="0"/>
        <w:jc w:val="left"/>
      </w:pPr>
    </w:p>
    <w:p w14:paraId="2FA25CAE">
      <w:pPr>
        <w:keepNext w:val="0"/>
        <w:keepLines w:val="0"/>
        <w:pageBreakBefore w:val="0"/>
        <w:kinsoku/>
        <w:wordWrap/>
        <w:overflowPunct/>
        <w:topLinePunct w:val="0"/>
        <w:autoSpaceDE/>
        <w:autoSpaceDN/>
        <w:bidi w:val="0"/>
        <w:spacing w:line="560" w:lineRule="exact"/>
        <w:ind w:left="0" w:leftChars="0"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0FBADA6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color w:val="auto"/>
          <w:lang w:val="en-US" w:eastAsia="zh-CN"/>
        </w:rPr>
      </w:pPr>
      <w:r>
        <w:rPr>
          <w:rStyle w:val="17"/>
          <w:rFonts w:ascii="仿宋" w:hAnsi="仿宋" w:eastAsia="仿宋"/>
          <w:color w:val="auto"/>
          <w:sz w:val="32"/>
          <w:szCs w:val="32"/>
        </w:rPr>
        <w:t xml:space="preserve">                        </w:t>
      </w:r>
      <w:r>
        <w:rPr>
          <w:rStyle w:val="17"/>
          <w:rFonts w:hint="eastAsia" w:ascii="仿宋" w:hAnsi="仿宋" w:eastAsia="仿宋"/>
          <w:color w:val="auto"/>
          <w:sz w:val="32"/>
          <w:szCs w:val="32"/>
          <w:lang w:val="en-US" w:eastAsia="zh-CN"/>
        </w:rPr>
        <w:t xml:space="preserve"> </w:t>
      </w: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24日</w:t>
      </w:r>
    </w:p>
    <w:p w14:paraId="59CCBB1C">
      <w:pPr>
        <w:widowControl w:val="0"/>
        <w:numPr>
          <w:ilvl w:val="-1"/>
          <w:numId w:val="0"/>
        </w:numPr>
        <w:spacing w:line="360" w:lineRule="auto"/>
        <w:ind w:firstLine="0" w:firstLineChars="0"/>
        <w:textAlignment w:val="auto"/>
        <w:rPr>
          <w:rStyle w:val="17"/>
          <w:rFonts w:hint="eastAsia" w:ascii="仿宋" w:hAnsi="仿宋" w:eastAsia="仿宋"/>
          <w:color w:val="auto"/>
          <w:sz w:val="32"/>
          <w:szCs w:val="32"/>
          <w:lang w:eastAsia="zh-CN"/>
        </w:rPr>
      </w:pPr>
      <w:r>
        <w:rPr>
          <w:rStyle w:val="17"/>
          <w:rFonts w:hint="eastAsia" w:ascii="仿宋" w:hAnsi="仿宋" w:eastAsia="仿宋"/>
          <w:color w:val="auto"/>
          <w:sz w:val="32"/>
          <w:szCs w:val="32"/>
          <w:lang w:eastAsia="zh-CN"/>
        </w:rPr>
        <w:t>（本页无正文）</w:t>
      </w:r>
    </w:p>
    <w:p w14:paraId="59B2DACB">
      <w:pPr>
        <w:pStyle w:val="26"/>
        <w:rPr>
          <w:rFonts w:hint="eastAsia"/>
          <w:color w:val="auto"/>
          <w:lang w:val="en-US" w:eastAsia="zh-CN"/>
        </w:rPr>
      </w:pPr>
    </w:p>
    <w:p w14:paraId="285F1789">
      <w:pPr>
        <w:pStyle w:val="26"/>
        <w:rPr>
          <w:rFonts w:hint="eastAsia"/>
          <w:color w:val="auto"/>
          <w:lang w:val="en-US" w:eastAsia="zh-CN"/>
        </w:rPr>
      </w:pPr>
    </w:p>
    <w:p w14:paraId="76620F48">
      <w:pPr>
        <w:pStyle w:val="26"/>
        <w:rPr>
          <w:rFonts w:hint="eastAsia"/>
          <w:color w:val="auto"/>
          <w:lang w:val="en-US" w:eastAsia="zh-CN"/>
        </w:rPr>
      </w:pPr>
    </w:p>
    <w:p w14:paraId="1C65F6CF">
      <w:pPr>
        <w:pStyle w:val="26"/>
        <w:rPr>
          <w:rFonts w:hint="eastAsia"/>
          <w:color w:val="auto"/>
          <w:lang w:val="en-US" w:eastAsia="zh-CN"/>
        </w:rPr>
      </w:pPr>
    </w:p>
    <w:p w14:paraId="06809E40">
      <w:pPr>
        <w:pStyle w:val="26"/>
        <w:rPr>
          <w:rFonts w:hint="eastAsia"/>
          <w:color w:val="auto"/>
          <w:lang w:val="en-US" w:eastAsia="zh-CN"/>
        </w:rPr>
      </w:pPr>
    </w:p>
    <w:p w14:paraId="6861006C">
      <w:pPr>
        <w:pStyle w:val="26"/>
        <w:rPr>
          <w:rFonts w:hint="eastAsia"/>
          <w:color w:val="auto"/>
          <w:lang w:val="en-US" w:eastAsia="zh-CN"/>
        </w:rPr>
      </w:pPr>
    </w:p>
    <w:p w14:paraId="4DEE4113">
      <w:pPr>
        <w:pStyle w:val="26"/>
        <w:rPr>
          <w:rFonts w:hint="eastAsia"/>
          <w:color w:val="auto"/>
          <w:lang w:val="en-US" w:eastAsia="zh-CN"/>
        </w:rPr>
      </w:pPr>
    </w:p>
    <w:p w14:paraId="174A3394">
      <w:pPr>
        <w:pStyle w:val="26"/>
        <w:rPr>
          <w:rFonts w:hint="eastAsia"/>
          <w:color w:val="auto"/>
          <w:lang w:val="en-US" w:eastAsia="zh-CN"/>
        </w:rPr>
      </w:pPr>
    </w:p>
    <w:p w14:paraId="4EC977CF">
      <w:pPr>
        <w:pStyle w:val="26"/>
        <w:rPr>
          <w:rFonts w:hint="eastAsia"/>
          <w:color w:val="auto"/>
          <w:lang w:val="en-US" w:eastAsia="zh-CN"/>
        </w:rPr>
      </w:pPr>
    </w:p>
    <w:p w14:paraId="68DB1AFE">
      <w:pPr>
        <w:pStyle w:val="26"/>
        <w:rPr>
          <w:rFonts w:hint="eastAsia"/>
          <w:color w:val="auto"/>
          <w:lang w:val="en-US" w:eastAsia="zh-CN"/>
        </w:rPr>
      </w:pPr>
    </w:p>
    <w:p w14:paraId="0F2C6C82">
      <w:pPr>
        <w:pStyle w:val="26"/>
        <w:rPr>
          <w:rFonts w:hint="eastAsia"/>
          <w:color w:val="auto"/>
          <w:lang w:val="en-US" w:eastAsia="zh-CN"/>
        </w:rPr>
      </w:pPr>
    </w:p>
    <w:p w14:paraId="72DB521A">
      <w:pPr>
        <w:pStyle w:val="26"/>
        <w:rPr>
          <w:rFonts w:hint="eastAsia"/>
          <w:color w:val="auto"/>
          <w:lang w:val="en-US" w:eastAsia="zh-CN"/>
        </w:rPr>
      </w:pPr>
    </w:p>
    <w:p w14:paraId="420B0D1F">
      <w:pPr>
        <w:pStyle w:val="26"/>
        <w:rPr>
          <w:rFonts w:hint="eastAsia"/>
          <w:color w:val="auto"/>
          <w:lang w:val="en-US" w:eastAsia="zh-CN"/>
        </w:rPr>
      </w:pPr>
    </w:p>
    <w:p w14:paraId="0B6B08A6">
      <w:pPr>
        <w:pStyle w:val="26"/>
        <w:rPr>
          <w:rFonts w:hint="eastAsia"/>
          <w:color w:val="auto"/>
          <w:lang w:val="en-US" w:eastAsia="zh-CN"/>
        </w:rPr>
      </w:pPr>
    </w:p>
    <w:p w14:paraId="120D563B">
      <w:pPr>
        <w:pStyle w:val="26"/>
        <w:rPr>
          <w:rFonts w:hint="eastAsia"/>
          <w:color w:val="auto"/>
          <w:lang w:val="en-US" w:eastAsia="zh-CN"/>
        </w:rPr>
      </w:pPr>
    </w:p>
    <w:p w14:paraId="02CDC14F">
      <w:pPr>
        <w:pStyle w:val="26"/>
        <w:rPr>
          <w:rFonts w:hint="eastAsia"/>
          <w:color w:val="auto"/>
          <w:lang w:val="en-US" w:eastAsia="zh-CN"/>
        </w:rPr>
      </w:pPr>
    </w:p>
    <w:p w14:paraId="196F312D">
      <w:pPr>
        <w:pStyle w:val="26"/>
        <w:rPr>
          <w:rFonts w:hint="eastAsia"/>
          <w:color w:val="auto"/>
          <w:lang w:val="en-US" w:eastAsia="zh-CN"/>
        </w:rPr>
      </w:pPr>
    </w:p>
    <w:p w14:paraId="04C336DB">
      <w:pPr>
        <w:pStyle w:val="26"/>
        <w:rPr>
          <w:rFonts w:hint="eastAsia"/>
          <w:color w:val="auto"/>
          <w:lang w:val="en-US" w:eastAsia="zh-CN"/>
        </w:rPr>
      </w:pPr>
    </w:p>
    <w:p w14:paraId="07B88691">
      <w:pPr>
        <w:pStyle w:val="26"/>
        <w:rPr>
          <w:rFonts w:hint="eastAsia"/>
          <w:color w:val="auto"/>
          <w:lang w:val="en-US" w:eastAsia="zh-CN"/>
        </w:rPr>
      </w:pPr>
    </w:p>
    <w:p w14:paraId="594156F5">
      <w:pPr>
        <w:pStyle w:val="26"/>
        <w:rPr>
          <w:rFonts w:hint="eastAsia"/>
          <w:color w:val="auto"/>
          <w:lang w:val="en-US" w:eastAsia="zh-CN"/>
        </w:rPr>
      </w:pPr>
    </w:p>
    <w:p w14:paraId="30E264E7">
      <w:pPr>
        <w:pStyle w:val="26"/>
        <w:rPr>
          <w:rFonts w:hint="eastAsia"/>
          <w:color w:val="auto"/>
          <w:lang w:val="en-US" w:eastAsia="zh-CN"/>
        </w:rPr>
      </w:pPr>
    </w:p>
    <w:p w14:paraId="2B5B5E38">
      <w:pPr>
        <w:pStyle w:val="26"/>
        <w:rPr>
          <w:rFonts w:hint="eastAsia"/>
          <w:color w:val="auto"/>
          <w:lang w:val="en-US" w:eastAsia="zh-CN"/>
        </w:rPr>
      </w:pPr>
    </w:p>
    <w:p w14:paraId="2E59A50C">
      <w:pPr>
        <w:pStyle w:val="26"/>
        <w:rPr>
          <w:rFonts w:hint="eastAsia"/>
          <w:color w:val="auto"/>
          <w:lang w:val="en-US" w:eastAsia="zh-CN"/>
        </w:rPr>
      </w:pPr>
    </w:p>
    <w:p w14:paraId="47E167B6">
      <w:pPr>
        <w:pStyle w:val="26"/>
        <w:rPr>
          <w:rFonts w:hint="eastAsia"/>
          <w:color w:val="auto"/>
          <w:lang w:val="en-US" w:eastAsia="zh-CN"/>
        </w:rPr>
      </w:pPr>
    </w:p>
    <w:p w14:paraId="4139A230">
      <w:pPr>
        <w:pStyle w:val="26"/>
        <w:rPr>
          <w:rFonts w:hint="eastAsia"/>
          <w:color w:val="auto"/>
          <w:lang w:val="en-US" w:eastAsia="zh-CN"/>
        </w:rPr>
      </w:pPr>
    </w:p>
    <w:p w14:paraId="797A29A5">
      <w:pPr>
        <w:pStyle w:val="26"/>
        <w:rPr>
          <w:rFonts w:hint="eastAsia"/>
          <w:color w:val="auto"/>
          <w:lang w:val="en-US" w:eastAsia="zh-CN"/>
        </w:rPr>
      </w:pPr>
    </w:p>
    <w:p w14:paraId="70CC5C31">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5</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6</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24</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93C9">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239FEF">
                          <w:pPr>
                            <w:pStyle w:val="10"/>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14:paraId="72239FEF">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7B0712E6">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F31C">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D87425">
                          <w:pPr>
                            <w:pStyle w:val="10"/>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14:paraId="4ED87425">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4A19255F">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0F2DC">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227D84"/>
    <w:rsid w:val="01AC556B"/>
    <w:rsid w:val="01D342B8"/>
    <w:rsid w:val="02866093"/>
    <w:rsid w:val="02DD4C33"/>
    <w:rsid w:val="02DD5B4F"/>
    <w:rsid w:val="02F3233D"/>
    <w:rsid w:val="035027C0"/>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50433F"/>
    <w:rsid w:val="085602CF"/>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ABA0FCF"/>
    <w:rsid w:val="0B440899"/>
    <w:rsid w:val="0B6446A4"/>
    <w:rsid w:val="0B8C3FEE"/>
    <w:rsid w:val="0BA55642"/>
    <w:rsid w:val="0BD72E57"/>
    <w:rsid w:val="0BDE1694"/>
    <w:rsid w:val="0C2B3A73"/>
    <w:rsid w:val="0C301322"/>
    <w:rsid w:val="0C3F13B2"/>
    <w:rsid w:val="0C5555BE"/>
    <w:rsid w:val="0C5C094C"/>
    <w:rsid w:val="0CAF1FCC"/>
    <w:rsid w:val="0CC65836"/>
    <w:rsid w:val="0CDD71F7"/>
    <w:rsid w:val="0CFC12E8"/>
    <w:rsid w:val="0D693F98"/>
    <w:rsid w:val="0D830185"/>
    <w:rsid w:val="0DA16476"/>
    <w:rsid w:val="0DF20A80"/>
    <w:rsid w:val="0E2F5220"/>
    <w:rsid w:val="0E364873"/>
    <w:rsid w:val="0E385A18"/>
    <w:rsid w:val="0E462B7A"/>
    <w:rsid w:val="0E570138"/>
    <w:rsid w:val="0E71409B"/>
    <w:rsid w:val="0E846C5B"/>
    <w:rsid w:val="0E9A33FF"/>
    <w:rsid w:val="0EB72A51"/>
    <w:rsid w:val="0EC36AE6"/>
    <w:rsid w:val="0EF75580"/>
    <w:rsid w:val="0F1B51C5"/>
    <w:rsid w:val="0F7E2F3B"/>
    <w:rsid w:val="0F8B77A7"/>
    <w:rsid w:val="0FB279DE"/>
    <w:rsid w:val="0FD03B40"/>
    <w:rsid w:val="0FF94348"/>
    <w:rsid w:val="10134CDE"/>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385187"/>
    <w:rsid w:val="13464D5E"/>
    <w:rsid w:val="1398649C"/>
    <w:rsid w:val="139A0B1F"/>
    <w:rsid w:val="13C532EF"/>
    <w:rsid w:val="144C07C7"/>
    <w:rsid w:val="1562595D"/>
    <w:rsid w:val="15652C35"/>
    <w:rsid w:val="156D1455"/>
    <w:rsid w:val="15C471A6"/>
    <w:rsid w:val="15E91737"/>
    <w:rsid w:val="16015C16"/>
    <w:rsid w:val="16041455"/>
    <w:rsid w:val="168C74C9"/>
    <w:rsid w:val="16E15B36"/>
    <w:rsid w:val="16FF6904"/>
    <w:rsid w:val="171F5F2F"/>
    <w:rsid w:val="1747459A"/>
    <w:rsid w:val="178F5508"/>
    <w:rsid w:val="17C4348D"/>
    <w:rsid w:val="17D90483"/>
    <w:rsid w:val="17E15C23"/>
    <w:rsid w:val="17F01967"/>
    <w:rsid w:val="181017CC"/>
    <w:rsid w:val="181C5F12"/>
    <w:rsid w:val="18207E93"/>
    <w:rsid w:val="188024B2"/>
    <w:rsid w:val="188A5136"/>
    <w:rsid w:val="18A37FC9"/>
    <w:rsid w:val="18AE27A5"/>
    <w:rsid w:val="18CC5434"/>
    <w:rsid w:val="18E54146"/>
    <w:rsid w:val="190478B9"/>
    <w:rsid w:val="19473B43"/>
    <w:rsid w:val="19AC1F9C"/>
    <w:rsid w:val="19E82D37"/>
    <w:rsid w:val="19EA6791"/>
    <w:rsid w:val="19F636A6"/>
    <w:rsid w:val="19F825D9"/>
    <w:rsid w:val="1A3C6F27"/>
    <w:rsid w:val="1A437161"/>
    <w:rsid w:val="1A6C6995"/>
    <w:rsid w:val="1A805ECF"/>
    <w:rsid w:val="1AFA27E4"/>
    <w:rsid w:val="1B570174"/>
    <w:rsid w:val="1BBA357C"/>
    <w:rsid w:val="1BBC5800"/>
    <w:rsid w:val="1BDD6112"/>
    <w:rsid w:val="1BF630B5"/>
    <w:rsid w:val="1C0715F0"/>
    <w:rsid w:val="1C1C4F1A"/>
    <w:rsid w:val="1C4C4477"/>
    <w:rsid w:val="1C5D600F"/>
    <w:rsid w:val="1C5E37FE"/>
    <w:rsid w:val="1C5F17DC"/>
    <w:rsid w:val="1C680F45"/>
    <w:rsid w:val="1C71170A"/>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337BA"/>
    <w:rsid w:val="208B0C0A"/>
    <w:rsid w:val="209F2E8C"/>
    <w:rsid w:val="20C94FCD"/>
    <w:rsid w:val="20CF0133"/>
    <w:rsid w:val="212154AC"/>
    <w:rsid w:val="212C2043"/>
    <w:rsid w:val="214A51DA"/>
    <w:rsid w:val="21500F9E"/>
    <w:rsid w:val="21502F09"/>
    <w:rsid w:val="217D77E0"/>
    <w:rsid w:val="21B87493"/>
    <w:rsid w:val="21DC075D"/>
    <w:rsid w:val="21EF70BE"/>
    <w:rsid w:val="21F52495"/>
    <w:rsid w:val="220E66BC"/>
    <w:rsid w:val="22135125"/>
    <w:rsid w:val="221B45B1"/>
    <w:rsid w:val="224449A1"/>
    <w:rsid w:val="2265588B"/>
    <w:rsid w:val="228C2292"/>
    <w:rsid w:val="22B115DB"/>
    <w:rsid w:val="22D91D1A"/>
    <w:rsid w:val="23541649"/>
    <w:rsid w:val="235E3785"/>
    <w:rsid w:val="23921405"/>
    <w:rsid w:val="23C9100A"/>
    <w:rsid w:val="24421E65"/>
    <w:rsid w:val="24855506"/>
    <w:rsid w:val="248F1032"/>
    <w:rsid w:val="24C456C6"/>
    <w:rsid w:val="24F868A6"/>
    <w:rsid w:val="25125EFC"/>
    <w:rsid w:val="25366867"/>
    <w:rsid w:val="2537664C"/>
    <w:rsid w:val="253C64B1"/>
    <w:rsid w:val="2548458A"/>
    <w:rsid w:val="25733248"/>
    <w:rsid w:val="25A20B86"/>
    <w:rsid w:val="25AA1BAB"/>
    <w:rsid w:val="25AF47C5"/>
    <w:rsid w:val="25D60BC4"/>
    <w:rsid w:val="25D873ED"/>
    <w:rsid w:val="25F75335"/>
    <w:rsid w:val="260007C3"/>
    <w:rsid w:val="261325BB"/>
    <w:rsid w:val="267000E4"/>
    <w:rsid w:val="269E1BDF"/>
    <w:rsid w:val="26B24DF9"/>
    <w:rsid w:val="26BB3CAD"/>
    <w:rsid w:val="26C86AE1"/>
    <w:rsid w:val="27063174"/>
    <w:rsid w:val="273B4DEE"/>
    <w:rsid w:val="273E668C"/>
    <w:rsid w:val="2745621A"/>
    <w:rsid w:val="274B306C"/>
    <w:rsid w:val="28150F91"/>
    <w:rsid w:val="288E0726"/>
    <w:rsid w:val="289A0EE5"/>
    <w:rsid w:val="28A2177B"/>
    <w:rsid w:val="28DA25CC"/>
    <w:rsid w:val="2956242B"/>
    <w:rsid w:val="29625978"/>
    <w:rsid w:val="29BE7B24"/>
    <w:rsid w:val="29EC1002"/>
    <w:rsid w:val="2A157B78"/>
    <w:rsid w:val="2A173A82"/>
    <w:rsid w:val="2A27019D"/>
    <w:rsid w:val="2A4A7282"/>
    <w:rsid w:val="2A77431C"/>
    <w:rsid w:val="2AB8571B"/>
    <w:rsid w:val="2ABD6442"/>
    <w:rsid w:val="2ACD268E"/>
    <w:rsid w:val="2AF53CB3"/>
    <w:rsid w:val="2B065713"/>
    <w:rsid w:val="2B496FAB"/>
    <w:rsid w:val="2B5B15BB"/>
    <w:rsid w:val="2B5F7DC4"/>
    <w:rsid w:val="2B876854"/>
    <w:rsid w:val="2BD26C46"/>
    <w:rsid w:val="2BDE5B5E"/>
    <w:rsid w:val="2C1F083A"/>
    <w:rsid w:val="2C3F708C"/>
    <w:rsid w:val="2C871D94"/>
    <w:rsid w:val="2CAE4D3A"/>
    <w:rsid w:val="2CE7407F"/>
    <w:rsid w:val="2CFB6C68"/>
    <w:rsid w:val="2D5C4C74"/>
    <w:rsid w:val="2D5F771D"/>
    <w:rsid w:val="2DD61302"/>
    <w:rsid w:val="2E013829"/>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1758AF"/>
    <w:rsid w:val="35352E7D"/>
    <w:rsid w:val="355422BA"/>
    <w:rsid w:val="3587701E"/>
    <w:rsid w:val="361479B3"/>
    <w:rsid w:val="362A341F"/>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05781"/>
    <w:rsid w:val="37FF7133"/>
    <w:rsid w:val="38114125"/>
    <w:rsid w:val="38176CB5"/>
    <w:rsid w:val="38252AC8"/>
    <w:rsid w:val="389B5401"/>
    <w:rsid w:val="38B32843"/>
    <w:rsid w:val="38E726E0"/>
    <w:rsid w:val="39050DB8"/>
    <w:rsid w:val="39625ABB"/>
    <w:rsid w:val="39750C1A"/>
    <w:rsid w:val="39815D3F"/>
    <w:rsid w:val="39CB16C6"/>
    <w:rsid w:val="39CE6D77"/>
    <w:rsid w:val="39CF3432"/>
    <w:rsid w:val="3A102EB3"/>
    <w:rsid w:val="3A1559AB"/>
    <w:rsid w:val="3A1716A8"/>
    <w:rsid w:val="3A2C25BF"/>
    <w:rsid w:val="3A4100A2"/>
    <w:rsid w:val="3A420ECD"/>
    <w:rsid w:val="3AEA62F0"/>
    <w:rsid w:val="3B164E12"/>
    <w:rsid w:val="3B343BD6"/>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925627"/>
    <w:rsid w:val="40A601F0"/>
    <w:rsid w:val="40B345F0"/>
    <w:rsid w:val="40BF08B4"/>
    <w:rsid w:val="411D0018"/>
    <w:rsid w:val="413328ED"/>
    <w:rsid w:val="41392B4A"/>
    <w:rsid w:val="413F1DCA"/>
    <w:rsid w:val="415B010F"/>
    <w:rsid w:val="41C31E09"/>
    <w:rsid w:val="41D47B54"/>
    <w:rsid w:val="42096DA4"/>
    <w:rsid w:val="422C3859"/>
    <w:rsid w:val="42427E61"/>
    <w:rsid w:val="42571ED3"/>
    <w:rsid w:val="426254CD"/>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520315"/>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15D53"/>
    <w:rsid w:val="4768372D"/>
    <w:rsid w:val="477C5B9E"/>
    <w:rsid w:val="4780431E"/>
    <w:rsid w:val="479235C6"/>
    <w:rsid w:val="481E12C4"/>
    <w:rsid w:val="482F22FC"/>
    <w:rsid w:val="483A153F"/>
    <w:rsid w:val="48714DBB"/>
    <w:rsid w:val="487F2935"/>
    <w:rsid w:val="48CB3DCC"/>
    <w:rsid w:val="48EC3D42"/>
    <w:rsid w:val="48FD5F50"/>
    <w:rsid w:val="49540677"/>
    <w:rsid w:val="49926C6C"/>
    <w:rsid w:val="49AA4FB0"/>
    <w:rsid w:val="49DB78B5"/>
    <w:rsid w:val="49E97A04"/>
    <w:rsid w:val="49EA569C"/>
    <w:rsid w:val="4A494A22"/>
    <w:rsid w:val="4A911B79"/>
    <w:rsid w:val="4ADF223E"/>
    <w:rsid w:val="4AF07DCC"/>
    <w:rsid w:val="4B094813"/>
    <w:rsid w:val="4B125F29"/>
    <w:rsid w:val="4B620F05"/>
    <w:rsid w:val="4B9F6E4A"/>
    <w:rsid w:val="4BA42C32"/>
    <w:rsid w:val="4BAD0F90"/>
    <w:rsid w:val="4BDC009E"/>
    <w:rsid w:val="4BE60F1D"/>
    <w:rsid w:val="4C2274BE"/>
    <w:rsid w:val="4CD95DD7"/>
    <w:rsid w:val="4D137AF0"/>
    <w:rsid w:val="4D377F90"/>
    <w:rsid w:val="4D743394"/>
    <w:rsid w:val="4D7C0517"/>
    <w:rsid w:val="4DD86D52"/>
    <w:rsid w:val="4DDE7B5E"/>
    <w:rsid w:val="4DF94F37"/>
    <w:rsid w:val="4E062159"/>
    <w:rsid w:val="4E2A50F1"/>
    <w:rsid w:val="4E543FF1"/>
    <w:rsid w:val="4EC56144"/>
    <w:rsid w:val="4F044A24"/>
    <w:rsid w:val="4F0B6B33"/>
    <w:rsid w:val="4F2B1F6E"/>
    <w:rsid w:val="4F440434"/>
    <w:rsid w:val="4F4437F3"/>
    <w:rsid w:val="4F506DD9"/>
    <w:rsid w:val="4F94752D"/>
    <w:rsid w:val="4F9668DE"/>
    <w:rsid w:val="4F9C3961"/>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516937"/>
    <w:rsid w:val="567F5F3C"/>
    <w:rsid w:val="56A96DCF"/>
    <w:rsid w:val="56DB6AC7"/>
    <w:rsid w:val="56DF16DC"/>
    <w:rsid w:val="57184CF1"/>
    <w:rsid w:val="575925A3"/>
    <w:rsid w:val="57780B5F"/>
    <w:rsid w:val="57B96494"/>
    <w:rsid w:val="57DD76E9"/>
    <w:rsid w:val="57FC658A"/>
    <w:rsid w:val="57FE5FE5"/>
    <w:rsid w:val="585D2567"/>
    <w:rsid w:val="586A1F97"/>
    <w:rsid w:val="589C6ECF"/>
    <w:rsid w:val="58BA13C1"/>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326087"/>
    <w:rsid w:val="60417BB4"/>
    <w:rsid w:val="60820DBC"/>
    <w:rsid w:val="60854409"/>
    <w:rsid w:val="60B2650C"/>
    <w:rsid w:val="60DB04CD"/>
    <w:rsid w:val="611D40E2"/>
    <w:rsid w:val="614462DE"/>
    <w:rsid w:val="61785D1C"/>
    <w:rsid w:val="61B516C4"/>
    <w:rsid w:val="61EF4764"/>
    <w:rsid w:val="625904A9"/>
    <w:rsid w:val="628730AA"/>
    <w:rsid w:val="62A64AED"/>
    <w:rsid w:val="62BE2B8C"/>
    <w:rsid w:val="62C80B4D"/>
    <w:rsid w:val="632D32DF"/>
    <w:rsid w:val="636B778B"/>
    <w:rsid w:val="63713FBD"/>
    <w:rsid w:val="63864720"/>
    <w:rsid w:val="63950102"/>
    <w:rsid w:val="640B03C3"/>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5D157A"/>
    <w:rsid w:val="698A3A01"/>
    <w:rsid w:val="698D0D6B"/>
    <w:rsid w:val="69E6116E"/>
    <w:rsid w:val="6A051C1C"/>
    <w:rsid w:val="6A461941"/>
    <w:rsid w:val="6A753740"/>
    <w:rsid w:val="6AA33CF1"/>
    <w:rsid w:val="6AAE5669"/>
    <w:rsid w:val="6ABD1719"/>
    <w:rsid w:val="6ACC25CE"/>
    <w:rsid w:val="6B275374"/>
    <w:rsid w:val="6B7632CC"/>
    <w:rsid w:val="6BEB28AD"/>
    <w:rsid w:val="6C1D1BAE"/>
    <w:rsid w:val="6C270BBC"/>
    <w:rsid w:val="6C32108A"/>
    <w:rsid w:val="6C495CD7"/>
    <w:rsid w:val="6C6C7186"/>
    <w:rsid w:val="6C71153E"/>
    <w:rsid w:val="6CA67BC0"/>
    <w:rsid w:val="6CE10EDA"/>
    <w:rsid w:val="6D2356D5"/>
    <w:rsid w:val="6D4F01B3"/>
    <w:rsid w:val="6D9B0E92"/>
    <w:rsid w:val="6DC319FF"/>
    <w:rsid w:val="6DD24A05"/>
    <w:rsid w:val="6E1844B8"/>
    <w:rsid w:val="6E541954"/>
    <w:rsid w:val="6E6D5C0E"/>
    <w:rsid w:val="6E7C3113"/>
    <w:rsid w:val="6EA67FA2"/>
    <w:rsid w:val="6ED56EAA"/>
    <w:rsid w:val="6EE92007"/>
    <w:rsid w:val="6F101C89"/>
    <w:rsid w:val="6F957251"/>
    <w:rsid w:val="70921C55"/>
    <w:rsid w:val="70B658E9"/>
    <w:rsid w:val="71283ECD"/>
    <w:rsid w:val="712B6906"/>
    <w:rsid w:val="713D11CB"/>
    <w:rsid w:val="7147364E"/>
    <w:rsid w:val="71502437"/>
    <w:rsid w:val="71E362C3"/>
    <w:rsid w:val="7219039A"/>
    <w:rsid w:val="72D059B7"/>
    <w:rsid w:val="731775B6"/>
    <w:rsid w:val="736F3422"/>
    <w:rsid w:val="737329F3"/>
    <w:rsid w:val="738B5A96"/>
    <w:rsid w:val="73BA11B9"/>
    <w:rsid w:val="73D60472"/>
    <w:rsid w:val="73F53D48"/>
    <w:rsid w:val="73F92CEC"/>
    <w:rsid w:val="741E6BF6"/>
    <w:rsid w:val="745443C6"/>
    <w:rsid w:val="7496752E"/>
    <w:rsid w:val="74A215D5"/>
    <w:rsid w:val="755B54D7"/>
    <w:rsid w:val="75765328"/>
    <w:rsid w:val="75882579"/>
    <w:rsid w:val="75A177EE"/>
    <w:rsid w:val="75A66EA3"/>
    <w:rsid w:val="75BE5F9B"/>
    <w:rsid w:val="75C71031"/>
    <w:rsid w:val="75D86CD4"/>
    <w:rsid w:val="760E7139"/>
    <w:rsid w:val="76496AA8"/>
    <w:rsid w:val="76745CA5"/>
    <w:rsid w:val="768559AF"/>
    <w:rsid w:val="76A05F87"/>
    <w:rsid w:val="76A730E4"/>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C30024"/>
    <w:rsid w:val="79E24199"/>
    <w:rsid w:val="7A281851"/>
    <w:rsid w:val="7A550F13"/>
    <w:rsid w:val="7A622564"/>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957F6"/>
    <w:rsid w:val="7D7C739E"/>
    <w:rsid w:val="7DBD5F66"/>
    <w:rsid w:val="7DC17EA6"/>
    <w:rsid w:val="7E0D5B2C"/>
    <w:rsid w:val="7E2115B9"/>
    <w:rsid w:val="7E7F66A4"/>
    <w:rsid w:val="7EA72D17"/>
    <w:rsid w:val="7EE04C7B"/>
    <w:rsid w:val="7F277A16"/>
    <w:rsid w:val="7F2F2002"/>
    <w:rsid w:val="7F385010"/>
    <w:rsid w:val="7F974E5C"/>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99"/>
    <w:pPr>
      <w:spacing w:line="240" w:lineRule="auto"/>
      <w:ind w:firstLine="420"/>
    </w:pPr>
  </w:style>
  <w:style w:type="paragraph" w:styleId="3">
    <w:name w:val="Body Text Indent"/>
    <w:basedOn w:val="1"/>
    <w:autoRedefine/>
    <w:qFormat/>
    <w:uiPriority w:val="99"/>
    <w:pPr>
      <w:ind w:left="420" w:leftChars="200"/>
    </w:pPr>
  </w:style>
  <w:style w:type="paragraph" w:styleId="4">
    <w:name w:val="Normal Indent"/>
    <w:basedOn w:val="1"/>
    <w:next w:val="5"/>
    <w:autoRedefine/>
    <w:qFormat/>
    <w:uiPriority w:val="0"/>
    <w:pPr>
      <w:ind w:firstLine="420"/>
    </w:pPr>
  </w:style>
  <w:style w:type="paragraph" w:styleId="5">
    <w:name w:val="table of figures"/>
    <w:basedOn w:val="1"/>
    <w:next w:val="1"/>
    <w:qFormat/>
    <w:uiPriority w:val="0"/>
    <w:pPr>
      <w:ind w:left="200" w:leftChars="200" w:hanging="200" w:hangingChars="200"/>
    </w:pPr>
  </w:style>
  <w:style w:type="paragraph" w:styleId="6">
    <w:name w:val="annotation text"/>
    <w:basedOn w:val="1"/>
    <w:qFormat/>
    <w:uiPriority w:val="0"/>
    <w:pPr>
      <w:jc w:val="left"/>
    </w:pPr>
  </w:style>
  <w:style w:type="paragraph" w:styleId="7">
    <w:name w:val="Body Text"/>
    <w:basedOn w:val="1"/>
    <w:link w:val="22"/>
    <w:qFormat/>
    <w:uiPriority w:val="99"/>
    <w:pPr>
      <w:spacing w:after="120"/>
    </w:pPr>
    <w:rPr>
      <w:rFonts w:ascii="Calibri" w:hAnsi="Calibri"/>
      <w:szCs w:val="22"/>
    </w:rPr>
  </w:style>
  <w:style w:type="paragraph" w:styleId="8">
    <w:name w:val="Plain Text"/>
    <w:basedOn w:val="1"/>
    <w:autoRedefine/>
    <w:qFormat/>
    <w:uiPriority w:val="0"/>
    <w:rPr>
      <w:rFonts w:ascii="宋体" w:hAnsi="Courier New"/>
      <w:szCs w:val="21"/>
    </w:rPr>
  </w:style>
  <w:style w:type="paragraph" w:styleId="9">
    <w:name w:val="Date"/>
    <w:basedOn w:val="1"/>
    <w:next w:val="1"/>
    <w:link w:val="23"/>
    <w:autoRedefine/>
    <w:qFormat/>
    <w:uiPriority w:val="99"/>
    <w:pPr>
      <w:ind w:left="100" w:leftChars="2500"/>
    </w:pPr>
  </w:style>
  <w:style w:type="paragraph" w:styleId="10">
    <w:name w:val="footer"/>
    <w:basedOn w:val="1"/>
    <w:link w:val="24"/>
    <w:autoRedefine/>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autoRedefine/>
    <w:qFormat/>
    <w:uiPriority w:val="0"/>
    <w:rPr>
      <w:sz w:val="24"/>
      <w:szCs w:val="22"/>
    </w:rPr>
  </w:style>
  <w:style w:type="paragraph" w:styleId="13">
    <w:name w:val="Body Text First Indent"/>
    <w:basedOn w:val="7"/>
    <w:next w:val="1"/>
    <w:autoRedefine/>
    <w:qFormat/>
    <w:uiPriority w:val="0"/>
    <w:pPr>
      <w:ind w:firstLine="420" w:firstLineChars="100"/>
    </w:pPr>
  </w:style>
  <w:style w:type="character" w:styleId="16">
    <w:name w:val="Strong"/>
    <w:basedOn w:val="17"/>
    <w:qFormat/>
    <w:uiPriority w:val="99"/>
    <w:rPr>
      <w:rFonts w:cs="Times New Roman"/>
      <w:b/>
    </w:rPr>
  </w:style>
  <w:style w:type="character" w:customStyle="1" w:styleId="17">
    <w:name w:val="NormalCharacter"/>
    <w:autoRedefine/>
    <w:semiHidden/>
    <w:qFormat/>
    <w:uiPriority w:val="99"/>
  </w:style>
  <w:style w:type="character" w:styleId="18">
    <w:name w:val="annotation reference"/>
    <w:autoRedefine/>
    <w:qFormat/>
    <w:uiPriority w:val="0"/>
    <w:rPr>
      <w:sz w:val="21"/>
      <w:szCs w:val="21"/>
    </w:rPr>
  </w:style>
  <w:style w:type="paragraph" w:customStyle="1" w:styleId="19">
    <w:name w:val="样式 正文缩进正文缩进2正文缩进 Char Char正文缩进 Char Char Char Char正文缩进 Char ..."/>
    <w:basedOn w:val="4"/>
    <w:autoRedefine/>
    <w:qFormat/>
    <w:uiPriority w:val="0"/>
    <w:pPr>
      <w:spacing w:line="360" w:lineRule="auto"/>
      <w:ind w:firstLine="200"/>
      <w:jc w:val="left"/>
      <w:textAlignment w:val="auto"/>
    </w:pPr>
    <w:rPr>
      <w:rFonts w:cs="宋体"/>
      <w:szCs w:val="22"/>
    </w:rPr>
  </w:style>
  <w:style w:type="paragraph" w:customStyle="1" w:styleId="20">
    <w:name w:val="正文首行缩进 21"/>
    <w:basedOn w:val="3"/>
    <w:next w:val="1"/>
    <w:qFormat/>
    <w:uiPriority w:val="0"/>
    <w:pPr>
      <w:ind w:firstLine="420" w:firstLineChars="200"/>
    </w:pPr>
  </w:style>
  <w:style w:type="paragraph" w:customStyle="1" w:styleId="21">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字符"/>
    <w:basedOn w:val="15"/>
    <w:link w:val="7"/>
    <w:autoRedefine/>
    <w:semiHidden/>
    <w:qFormat/>
    <w:uiPriority w:val="99"/>
    <w:rPr>
      <w:color w:val="000000"/>
      <w:kern w:val="0"/>
      <w:szCs w:val="20"/>
    </w:rPr>
  </w:style>
  <w:style w:type="character" w:customStyle="1" w:styleId="23">
    <w:name w:val="日期 字符"/>
    <w:basedOn w:val="15"/>
    <w:link w:val="9"/>
    <w:autoRedefine/>
    <w:semiHidden/>
    <w:qFormat/>
    <w:uiPriority w:val="99"/>
    <w:rPr>
      <w:color w:val="000000"/>
      <w:kern w:val="0"/>
      <w:szCs w:val="20"/>
    </w:rPr>
  </w:style>
  <w:style w:type="character" w:customStyle="1" w:styleId="24">
    <w:name w:val="页脚 字符"/>
    <w:basedOn w:val="17"/>
    <w:link w:val="10"/>
    <w:qFormat/>
    <w:locked/>
    <w:uiPriority w:val="99"/>
    <w:rPr>
      <w:rFonts w:cs="Times New Roman"/>
      <w:color w:val="000000"/>
      <w:sz w:val="18"/>
    </w:rPr>
  </w:style>
  <w:style w:type="character" w:customStyle="1" w:styleId="25">
    <w:name w:val="页眉 字符"/>
    <w:basedOn w:val="17"/>
    <w:link w:val="11"/>
    <w:autoRedefine/>
    <w:qFormat/>
    <w:locked/>
    <w:uiPriority w:val="99"/>
    <w:rPr>
      <w:rFonts w:cs="Times New Roman"/>
      <w:color w:val="000000"/>
      <w:sz w:val="18"/>
      <w:szCs w:val="18"/>
    </w:rPr>
  </w:style>
  <w:style w:type="paragraph" w:customStyle="1" w:styleId="26">
    <w:name w:val="BodyText"/>
    <w:basedOn w:val="1"/>
    <w:autoRedefine/>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autoRedefine/>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autoRedefine/>
    <w:qFormat/>
    <w:uiPriority w:val="99"/>
    <w:rPr>
      <w:rFonts w:ascii="Times New Roman" w:eastAsia="宋体" w:cs="Times New Roman"/>
      <w:color w:val="0000FF"/>
      <w:sz w:val="21"/>
      <w:u w:val="single"/>
      <w:lang w:val="en-US" w:eastAsia="zh-CN"/>
    </w:rPr>
  </w:style>
  <w:style w:type="character" w:customStyle="1" w:styleId="31">
    <w:name w:val="UserStyle_3"/>
    <w:autoRedefine/>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autoRedefine/>
    <w:qFormat/>
    <w:uiPriority w:val="99"/>
    <w:pPr>
      <w:spacing w:before="187" w:after="175" w:line="374" w:lineRule="atLeast"/>
      <w:jc w:val="center"/>
    </w:pPr>
    <w:rPr>
      <w:sz w:val="36"/>
    </w:rPr>
  </w:style>
  <w:style w:type="paragraph" w:customStyle="1" w:styleId="34">
    <w:name w:val="UserStyle_16"/>
    <w:basedOn w:val="1"/>
    <w:next w:val="35"/>
    <w:autoRedefine/>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autoRedefine/>
    <w:qFormat/>
    <w:uiPriority w:val="99"/>
    <w:pPr>
      <w:spacing w:before="175" w:after="102" w:line="351" w:lineRule="atLeast"/>
    </w:pPr>
    <w:rPr>
      <w:rFonts w:eastAsia="黑体"/>
    </w:rPr>
  </w:style>
  <w:style w:type="paragraph" w:customStyle="1" w:styleId="37">
    <w:name w:val="UserStyle_7"/>
    <w:basedOn w:val="1"/>
    <w:next w:val="1"/>
    <w:autoRedefine/>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autoRedefine/>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autoRedefine/>
    <w:qFormat/>
    <w:uiPriority w:val="99"/>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sz w:val="24"/>
    </w:rPr>
  </w:style>
  <w:style w:type="paragraph" w:customStyle="1" w:styleId="50">
    <w:name w:val="Table Paragraph"/>
    <w:basedOn w:val="1"/>
    <w:qFormat/>
    <w:uiPriority w:val="1"/>
  </w:style>
  <w:style w:type="paragraph" w:customStyle="1" w:styleId="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1198</Words>
  <Characters>1271</Characters>
  <Lines>12</Lines>
  <Paragraphs>3</Paragraphs>
  <TotalTime>7</TotalTime>
  <ScaleCrop>false</ScaleCrop>
  <LinksUpToDate>false</LinksUpToDate>
  <CharactersWithSpaces>1348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2025-06-17T07:25:36Z</cp:lastPrinted>
  <dcterms:modified xsi:type="dcterms:W3CDTF">2025-06-17T07:49:42Z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77383FB710FC4BB2AC403BEE1734CBE8_13</vt:lpwstr>
  </property>
  <property fmtid="{D5CDD505-2E9C-101B-9397-08002B2CF9AE}" pid="4" name="KSOTemplateDocerSaveRecord">
    <vt:lpwstr>eyJoZGlkIjoiM2VkNTk1MmVhODkwYTdlM2UzNDI2NDIyNmU0MzQwNDkiLCJ1c2VySWQiOiIzMzQyNjE5NjcifQ==</vt:lpwstr>
  </property>
</Properties>
</file>