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3"/>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ascii="Times New Roman" w:hAnsi="Times New Roman" w:eastAsia="宋体" w:cs="Times New Roman"/>
                <w:szCs w:val="22"/>
                <w:lang w:val="en-US" w:eastAsia="zh-CN"/>
              </w:rPr>
              <w:t>内蒙古蒙泰集团有限公司危废品暂存库变更建设项目</w:t>
            </w:r>
          </w:p>
        </w:tc>
        <w:tc>
          <w:tcPr>
            <w:tcW w:w="397" w:type="dxa"/>
            <w:vAlign w:val="center"/>
          </w:tcPr>
          <w:p w14:paraId="53D2BE93">
            <w:pPr>
              <w:spacing w:line="600" w:lineRule="exact"/>
              <w:jc w:val="center"/>
              <w:rPr>
                <w:color w:val="000000"/>
                <w:szCs w:val="21"/>
              </w:rPr>
            </w:pPr>
            <w:r>
              <w:rPr>
                <w:rFonts w:hint="eastAsia" w:ascii="Times New Roman" w:hAnsi="Times New Roman" w:eastAsia="宋体" w:cs="Times New Roman"/>
                <w:szCs w:val="22"/>
                <w:lang w:val="en-US" w:eastAsia="zh-CN"/>
              </w:rPr>
              <w:t>内蒙古鄂尔多斯市东胜区伊煤北路35号</w:t>
            </w:r>
          </w:p>
        </w:tc>
        <w:tc>
          <w:tcPr>
            <w:tcW w:w="465" w:type="dxa"/>
            <w:vAlign w:val="center"/>
          </w:tcPr>
          <w:p w14:paraId="25BCC080">
            <w:pPr>
              <w:spacing w:line="600" w:lineRule="exact"/>
              <w:jc w:val="center"/>
              <w:rPr>
                <w:color w:val="000000"/>
                <w:szCs w:val="21"/>
              </w:rPr>
            </w:pPr>
            <w:r>
              <w:rPr>
                <w:rFonts w:hint="eastAsia"/>
                <w:color w:val="000000"/>
                <w:szCs w:val="21"/>
                <w:lang w:val="en-US" w:eastAsia="zh-CN"/>
              </w:rPr>
              <w:t>内蒙古蒙泰集团有限公司</w:t>
            </w:r>
          </w:p>
        </w:tc>
        <w:tc>
          <w:tcPr>
            <w:tcW w:w="675" w:type="dxa"/>
            <w:vAlign w:val="center"/>
          </w:tcPr>
          <w:p w14:paraId="5D04F640">
            <w:pPr>
              <w:spacing w:line="600" w:lineRule="exact"/>
              <w:jc w:val="center"/>
              <w:rPr>
                <w:color w:val="000000"/>
                <w:szCs w:val="21"/>
              </w:rPr>
            </w:pPr>
            <w:r>
              <w:rPr>
                <w:rFonts w:hint="eastAsia" w:ascii="Times New Roman" w:hAnsi="Times New Roman" w:eastAsia="宋体" w:cs="Times New Roman"/>
                <w:szCs w:val="22"/>
              </w:rPr>
              <w:t>鄂尔多斯市嘉鑫环保科技有限责任公司</w:t>
            </w:r>
          </w:p>
        </w:tc>
        <w:tc>
          <w:tcPr>
            <w:tcW w:w="2555" w:type="dxa"/>
            <w:vAlign w:val="center"/>
          </w:tcPr>
          <w:p w14:paraId="0D3480A1">
            <w:pPr>
              <w:spacing w:line="360" w:lineRule="auto"/>
              <w:ind w:firstLine="420" w:firstLineChars="200"/>
              <w:rPr>
                <w:rFonts w:hint="default"/>
                <w:color w:val="000000"/>
                <w:szCs w:val="21"/>
                <w:lang w:val="en-US" w:eastAsia="zh-CN"/>
              </w:rPr>
            </w:pPr>
            <w:r>
              <w:rPr>
                <w:rFonts w:hint="eastAsia"/>
                <w:color w:val="000000"/>
                <w:szCs w:val="21"/>
                <w:lang w:eastAsia="zh-CN"/>
              </w:rPr>
              <w:t>一、</w:t>
            </w:r>
            <w:r>
              <w:rPr>
                <w:rFonts w:hint="eastAsia"/>
                <w:color w:val="000000"/>
                <w:szCs w:val="21"/>
              </w:rPr>
              <w:t>该项目属于</w:t>
            </w:r>
            <w:r>
              <w:rPr>
                <w:rFonts w:hint="eastAsia"/>
                <w:color w:val="000000"/>
                <w:szCs w:val="21"/>
                <w:lang w:val="en-US" w:eastAsia="zh-CN"/>
              </w:rPr>
              <w:t>改</w:t>
            </w:r>
            <w:r>
              <w:rPr>
                <w:rFonts w:hint="eastAsia"/>
                <w:color w:val="000000"/>
                <w:szCs w:val="21"/>
              </w:rPr>
              <w:t>建</w:t>
            </w:r>
            <w:r>
              <w:rPr>
                <w:rFonts w:hint="eastAsia"/>
                <w:color w:val="000000"/>
                <w:szCs w:val="21"/>
                <w:lang w:val="en-US" w:eastAsia="zh-CN"/>
              </w:rPr>
              <w:t>项目，位于</w:t>
            </w:r>
            <w:bookmarkStart w:id="0" w:name="OLE_LINK1"/>
            <w:r>
              <w:rPr>
                <w:rFonts w:hint="eastAsia"/>
                <w:color w:val="000000"/>
                <w:szCs w:val="21"/>
                <w:lang w:val="en-US" w:eastAsia="zh-CN"/>
              </w:rPr>
              <w:t>东胜区伊煤北路35号</w:t>
            </w:r>
            <w:bookmarkEnd w:id="0"/>
            <w:r>
              <w:rPr>
                <w:rFonts w:hint="eastAsia"/>
                <w:color w:val="000000"/>
                <w:szCs w:val="21"/>
                <w:lang w:val="en-US" w:eastAsia="zh-CN"/>
              </w:rPr>
              <w:t>。项目总占地面积360平方米，本次不新增用地，总投资0.1万元，全部为环保投资。主要建设内容及规模：仅对现有</w:t>
            </w:r>
            <w:r>
              <w:rPr>
                <w:rFonts w:hint="default"/>
                <w:color w:val="000000"/>
                <w:szCs w:val="21"/>
                <w:lang w:val="en-US" w:eastAsia="zh-CN"/>
              </w:rPr>
              <w:t>危废品暂存库</w:t>
            </w:r>
            <w:r>
              <w:rPr>
                <w:rFonts w:hint="eastAsia"/>
                <w:color w:val="000000"/>
                <w:szCs w:val="21"/>
                <w:lang w:eastAsia="zh-CN"/>
              </w:rPr>
              <w:t>调整分区</w:t>
            </w:r>
            <w:r>
              <w:rPr>
                <w:rFonts w:hint="eastAsia"/>
                <w:color w:val="000000"/>
                <w:szCs w:val="21"/>
                <w:lang w:val="en-US" w:eastAsia="zh-CN"/>
              </w:rPr>
              <w:t>，其他工程全部依托原有</w:t>
            </w:r>
            <w:r>
              <w:rPr>
                <w:rFonts w:hint="eastAsia"/>
                <w:color w:val="000000"/>
                <w:szCs w:val="21"/>
                <w:lang w:eastAsia="zh-CN"/>
              </w:rPr>
              <w:t>。</w:t>
            </w:r>
            <w:r>
              <w:rPr>
                <w:rFonts w:hint="eastAsia"/>
                <w:color w:val="000000"/>
                <w:szCs w:val="21"/>
                <w:lang w:val="en-US" w:eastAsia="zh-CN"/>
              </w:rPr>
              <w:t>变更后新增暂存煤水油化验室废液和北源电厂在线监测废液。</w:t>
            </w:r>
          </w:p>
          <w:p w14:paraId="78CC9239">
            <w:pPr>
              <w:spacing w:line="360" w:lineRule="auto"/>
              <w:ind w:firstLine="420" w:firstLineChars="200"/>
              <w:rPr>
                <w:color w:val="000000"/>
                <w:szCs w:val="21"/>
              </w:rPr>
            </w:pPr>
          </w:p>
        </w:tc>
        <w:tc>
          <w:tcPr>
            <w:tcW w:w="4877" w:type="dxa"/>
            <w:vAlign w:val="center"/>
          </w:tcPr>
          <w:p w14:paraId="2E2AEBF6">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47A7DA55">
            <w:pPr>
              <w:spacing w:line="360" w:lineRule="auto"/>
              <w:jc w:val="left"/>
              <w:rPr>
                <w:rFonts w:hint="eastAsia"/>
                <w:color w:val="000000"/>
                <w:szCs w:val="21"/>
              </w:rPr>
            </w:pPr>
            <w:r>
              <w:rPr>
                <w:rFonts w:hint="eastAsia"/>
                <w:color w:val="000000"/>
                <w:szCs w:val="21"/>
              </w:rPr>
              <w:t>二、在项目工程设计、建设和环境管理中，你单位必须严格落实《报告表》中提出的各项环保措施和要求，确保各项污染物稳定达标排放，并须着重做好以下工作：</w:t>
            </w:r>
          </w:p>
          <w:p w14:paraId="3BA46F00">
            <w:pPr>
              <w:spacing w:line="360" w:lineRule="auto"/>
              <w:jc w:val="left"/>
              <w:rPr>
                <w:rFonts w:hint="eastAsia"/>
                <w:color w:val="000000"/>
                <w:szCs w:val="21"/>
              </w:rPr>
            </w:pPr>
            <w:r>
              <w:rPr>
                <w:rFonts w:hint="eastAsia"/>
                <w:color w:val="000000"/>
                <w:szCs w:val="21"/>
              </w:rPr>
              <w:t>（一）严格落实施工期污染防治措施</w:t>
            </w:r>
          </w:p>
          <w:p w14:paraId="0112F611">
            <w:pPr>
              <w:spacing w:line="360" w:lineRule="auto"/>
              <w:jc w:val="left"/>
              <w:rPr>
                <w:rFonts w:hint="eastAsia"/>
                <w:color w:val="000000"/>
                <w:szCs w:val="21"/>
                <w:lang w:val="en-US" w:eastAsia="zh-CN"/>
              </w:rPr>
            </w:pPr>
            <w:r>
              <w:rPr>
                <w:rFonts w:hint="eastAsia"/>
                <w:color w:val="000000"/>
                <w:szCs w:val="21"/>
                <w:lang w:eastAsia="zh-CN"/>
              </w:rPr>
              <w:t>项目</w:t>
            </w:r>
            <w:r>
              <w:rPr>
                <w:rFonts w:hint="eastAsia"/>
                <w:color w:val="000000"/>
                <w:szCs w:val="21"/>
                <w:lang w:val="en-US" w:eastAsia="zh-CN"/>
              </w:rPr>
              <w:t>已建成</w:t>
            </w:r>
            <w:r>
              <w:rPr>
                <w:rFonts w:hint="eastAsia"/>
                <w:color w:val="000000"/>
                <w:szCs w:val="21"/>
                <w:lang w:eastAsia="zh-CN"/>
              </w:rPr>
              <w:t>，仅调整分区，</w:t>
            </w:r>
            <w:r>
              <w:rPr>
                <w:rFonts w:hint="eastAsia"/>
                <w:color w:val="000000"/>
                <w:szCs w:val="21"/>
                <w:lang w:val="en-US" w:eastAsia="zh-CN"/>
              </w:rPr>
              <w:t>不涉及施工期环境污染。</w:t>
            </w:r>
          </w:p>
          <w:p w14:paraId="6A794479">
            <w:pPr>
              <w:spacing w:line="360" w:lineRule="auto"/>
              <w:jc w:val="left"/>
              <w:rPr>
                <w:rFonts w:hint="eastAsia"/>
                <w:color w:val="000000"/>
                <w:szCs w:val="21"/>
              </w:rPr>
            </w:pPr>
            <w:r>
              <w:rPr>
                <w:rFonts w:hint="eastAsia"/>
                <w:color w:val="000000"/>
                <w:szCs w:val="21"/>
              </w:rPr>
              <w:t>（二）严格落实运营期污染防治措施</w:t>
            </w:r>
          </w:p>
          <w:p w14:paraId="06F28C54">
            <w:pPr>
              <w:spacing w:line="360" w:lineRule="auto"/>
              <w:jc w:val="left"/>
              <w:rPr>
                <w:rFonts w:hint="eastAsia"/>
                <w:color w:val="000000"/>
                <w:szCs w:val="21"/>
              </w:rPr>
            </w:pPr>
            <w:r>
              <w:rPr>
                <w:rFonts w:hint="eastAsia"/>
                <w:color w:val="000000"/>
                <w:szCs w:val="21"/>
                <w:lang w:val="en-US" w:eastAsia="zh-CN"/>
              </w:rPr>
              <w:t>1、</w:t>
            </w:r>
            <w:r>
              <w:rPr>
                <w:rFonts w:hint="eastAsia"/>
                <w:color w:val="000000"/>
                <w:szCs w:val="21"/>
              </w:rPr>
              <w:t>运</w:t>
            </w:r>
            <w:r>
              <w:rPr>
                <w:rFonts w:hint="eastAsia"/>
                <w:color w:val="000000"/>
                <w:szCs w:val="21"/>
                <w:lang w:eastAsia="zh-CN"/>
              </w:rPr>
              <w:t>营期厂界大气污染物无组织排放执行《大气污染物综合排放标准》（GB16297-1996）表2中无组织排放监控浓度限值</w:t>
            </w:r>
            <w:r>
              <w:rPr>
                <w:rFonts w:hint="eastAsia"/>
                <w:color w:val="000000"/>
                <w:szCs w:val="21"/>
              </w:rPr>
              <w:t>。</w:t>
            </w:r>
          </w:p>
          <w:p w14:paraId="2FAD5241">
            <w:pPr>
              <w:spacing w:line="360" w:lineRule="auto"/>
              <w:jc w:val="left"/>
              <w:rPr>
                <w:rFonts w:hint="eastAsia"/>
                <w:color w:val="000000"/>
                <w:szCs w:val="21"/>
              </w:rPr>
            </w:pPr>
            <w:r>
              <w:rPr>
                <w:rFonts w:hint="eastAsia"/>
                <w:color w:val="000000"/>
                <w:szCs w:val="21"/>
                <w:lang w:val="en-US" w:eastAsia="zh-CN"/>
              </w:rPr>
              <w:t>2、</w:t>
            </w:r>
            <w:r>
              <w:rPr>
                <w:rFonts w:hint="eastAsia"/>
                <w:color w:val="000000"/>
                <w:szCs w:val="21"/>
              </w:rPr>
              <w:t>运营期不产生生产废水，</w:t>
            </w:r>
            <w:r>
              <w:rPr>
                <w:rFonts w:hint="eastAsia"/>
                <w:color w:val="000000"/>
                <w:szCs w:val="21"/>
                <w:lang w:eastAsia="zh-CN"/>
              </w:rPr>
              <w:t>不新增生活污水</w:t>
            </w:r>
            <w:r>
              <w:rPr>
                <w:rFonts w:hint="eastAsia"/>
                <w:color w:val="000000"/>
                <w:szCs w:val="21"/>
              </w:rPr>
              <w:t>。</w:t>
            </w:r>
          </w:p>
          <w:p w14:paraId="434A21AF">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运营期厂界噪声执行《工业企业厂界环境噪声排放标准》（GB12348-2008）中</w:t>
            </w:r>
            <w:r>
              <w:rPr>
                <w:rFonts w:hint="eastAsia"/>
                <w:color w:val="000000"/>
                <w:szCs w:val="21"/>
                <w:lang w:val="en-US" w:eastAsia="zh-CN"/>
              </w:rPr>
              <w:t>3</w:t>
            </w:r>
            <w:r>
              <w:rPr>
                <w:rFonts w:hint="eastAsia"/>
                <w:color w:val="000000"/>
                <w:szCs w:val="21"/>
              </w:rPr>
              <w:t>类标准。</w:t>
            </w:r>
          </w:p>
          <w:p w14:paraId="273F6A32">
            <w:pPr>
              <w:spacing w:line="360" w:lineRule="auto"/>
              <w:jc w:val="left"/>
              <w:rPr>
                <w:rFonts w:hint="eastAsia"/>
                <w:color w:val="000000"/>
                <w:szCs w:val="21"/>
              </w:rPr>
            </w:pPr>
            <w:r>
              <w:rPr>
                <w:rFonts w:hint="eastAsia"/>
                <w:color w:val="000000"/>
                <w:szCs w:val="21"/>
                <w:lang w:val="en-US" w:eastAsia="zh-CN"/>
              </w:rPr>
              <w:t>4、</w:t>
            </w:r>
            <w:r>
              <w:rPr>
                <w:rFonts w:hint="eastAsia"/>
                <w:color w:val="000000"/>
                <w:szCs w:val="21"/>
              </w:rPr>
              <w:t>妥善处置各类固体废弃物。建设单位须严格按照《一般工业固体废物贮存和填埋污染控制标准》（GB18599-2020）处置一般固废，不得乱弃。危废</w:t>
            </w:r>
            <w:r>
              <w:rPr>
                <w:rFonts w:hint="eastAsia"/>
                <w:color w:val="000000"/>
                <w:szCs w:val="21"/>
                <w:lang w:eastAsia="zh-CN"/>
              </w:rPr>
              <w:t>暂存</w:t>
            </w:r>
            <w:r>
              <w:rPr>
                <w:rFonts w:hint="eastAsia"/>
                <w:color w:val="000000"/>
                <w:szCs w:val="21"/>
              </w:rPr>
              <w:t>库须严格按照《危险废物贮存污染控制标准》（GB18597-2023）进行设计、建设和管理。危险废物收集和运输等均按照《危险废物收集 贮存 运输技术规范》(HJ2025-2012)要求执行。危废必须由有资质单位处置。非正常情况下泄露的危险废物进入废液池中，收集后交由有资质单位处置。</w:t>
            </w:r>
          </w:p>
          <w:p w14:paraId="3FC35A01">
            <w:pPr>
              <w:spacing w:line="360" w:lineRule="auto"/>
              <w:jc w:val="left"/>
              <w:rPr>
                <w:rFonts w:hint="eastAsia"/>
                <w:color w:val="000000"/>
                <w:szCs w:val="21"/>
              </w:rPr>
            </w:pPr>
            <w:r>
              <w:rPr>
                <w:rFonts w:hint="eastAsia"/>
                <w:color w:val="000000"/>
                <w:szCs w:val="21"/>
                <w:lang w:val="en-US" w:eastAsia="zh-CN"/>
              </w:rPr>
              <w:t>5、</w:t>
            </w:r>
            <w:r>
              <w:rPr>
                <w:rFonts w:hint="eastAsia"/>
                <w:color w:val="000000"/>
                <w:szCs w:val="21"/>
              </w:rPr>
              <w:t>地面须按相关要求做好防渗措施，确保不会对地下水造成影响。</w:t>
            </w:r>
          </w:p>
          <w:p w14:paraId="3259CF9C">
            <w:pPr>
              <w:spacing w:line="360" w:lineRule="auto"/>
              <w:jc w:val="left"/>
              <w:rPr>
                <w:rFonts w:hint="eastAsia"/>
                <w:color w:val="000000"/>
                <w:szCs w:val="21"/>
              </w:rPr>
            </w:pPr>
            <w:r>
              <w:rPr>
                <w:rFonts w:hint="eastAsia"/>
                <w:color w:val="000000"/>
                <w:szCs w:val="21"/>
                <w:lang w:val="en-US" w:eastAsia="zh-CN"/>
              </w:rPr>
              <w:t>6、</w:t>
            </w:r>
            <w:r>
              <w:rPr>
                <w:rFonts w:hint="eastAsia"/>
                <w:color w:val="000000"/>
                <w:szCs w:val="21"/>
              </w:rPr>
              <w:t>强化环境风险防范，制定突发环境事件应急预案，落实环境风险事故防范措施，提高事故风险防范和污染控制能力。</w:t>
            </w:r>
          </w:p>
          <w:p w14:paraId="41B5FAF1">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29C7F943">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06F35363">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六、</w:t>
            </w:r>
            <w:r>
              <w:rPr>
                <w:rFonts w:hint="eastAsia"/>
                <w:color w:val="000000"/>
                <w:szCs w:val="21"/>
              </w:rPr>
              <w:t>该项目从批准之日起超过5年方决定开工建设，其环评文件应重新审核。如果建设地点、规模、防治污染和防止生态破坏的措施等发生重大变化时，需重新报批环评文件。</w:t>
            </w:r>
            <w:bookmarkStart w:id="1" w:name="_GoBack"/>
            <w:bookmarkEnd w:id="1"/>
            <w:r>
              <w:rPr>
                <w:rFonts w:hint="eastAsia"/>
                <w:color w:val="000000"/>
                <w:szCs w:val="21"/>
              </w:rPr>
              <w:t xml:space="preserve">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5C90A19"/>
    <w:rsid w:val="19B76A12"/>
    <w:rsid w:val="1EDD74A0"/>
    <w:rsid w:val="3E062DA7"/>
    <w:rsid w:val="43DC2BDE"/>
    <w:rsid w:val="44A80449"/>
    <w:rsid w:val="497150DD"/>
    <w:rsid w:val="4A7E49A9"/>
    <w:rsid w:val="4AD11E12"/>
    <w:rsid w:val="4DE41872"/>
    <w:rsid w:val="54973A8B"/>
    <w:rsid w:val="5E371149"/>
    <w:rsid w:val="641136E8"/>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5"/>
    <w:autoRedefine/>
    <w:semiHidden/>
    <w:unhideWhenUsed/>
    <w:qFormat/>
    <w:uiPriority w:val="99"/>
    <w:pPr>
      <w:ind w:firstLine="420" w:firstLineChars="200"/>
    </w:pPr>
  </w:style>
  <w:style w:type="paragraph" w:styleId="5">
    <w:name w:val="table of figures"/>
    <w:basedOn w:val="1"/>
    <w:next w:val="1"/>
    <w:qFormat/>
    <w:uiPriority w:val="0"/>
    <w:pPr>
      <w:ind w:left="200" w:leftChars="200" w:hanging="200" w:hangingChars="200"/>
    </w:pPr>
  </w:style>
  <w:style w:type="paragraph" w:styleId="6">
    <w:name w:val="annotation text"/>
    <w:basedOn w:val="1"/>
    <w:next w:val="1"/>
    <w:qFormat/>
    <w:uiPriority w:val="0"/>
    <w:pPr>
      <w:jc w:val="left"/>
    </w:pPr>
  </w:style>
  <w:style w:type="paragraph" w:styleId="7">
    <w:name w:val="Body Text"/>
    <w:basedOn w:val="1"/>
    <w:next w:val="8"/>
    <w:qFormat/>
    <w:uiPriority w:val="99"/>
    <w:pPr>
      <w:spacing w:after="120"/>
    </w:pPr>
    <w:rPr>
      <w:rFonts w:ascii="Calibri" w:hAnsi="Calibri"/>
      <w:szCs w:val="22"/>
    </w:rPr>
  </w:style>
  <w:style w:type="paragraph" w:customStyle="1" w:styleId="8">
    <w:name w:val="xl27"/>
    <w:basedOn w:val="1"/>
    <w:next w:val="6"/>
    <w:qFormat/>
    <w:uiPriority w:val="0"/>
    <w:pPr>
      <w:widowControl/>
      <w:spacing w:before="280" w:after="280"/>
      <w:jc w:val="center"/>
    </w:pPr>
    <w:rPr>
      <w:rFonts w:hAnsi="宋体" w:cs="宋体"/>
    </w:rPr>
  </w:style>
  <w:style w:type="paragraph" w:styleId="9">
    <w:name w:val="footer"/>
    <w:basedOn w:val="1"/>
    <w:link w:val="20"/>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19"/>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toc 2"/>
    <w:basedOn w:val="1"/>
    <w:next w:val="1"/>
    <w:unhideWhenUsed/>
    <w:qFormat/>
    <w:uiPriority w:val="39"/>
    <w:pPr>
      <w:ind w:left="420" w:leftChars="200"/>
    </w:pPr>
  </w:style>
  <w:style w:type="paragraph" w:styleId="12">
    <w:name w:val="Body Text 2"/>
    <w:basedOn w:val="1"/>
    <w:next w:val="1"/>
    <w:qFormat/>
    <w:uiPriority w:val="0"/>
    <w:pPr>
      <w:spacing w:after="120" w:line="480" w:lineRule="auto"/>
    </w:pPr>
  </w:style>
  <w:style w:type="paragraph" w:customStyle="1" w:styleId="15">
    <w:name w:val="Default"/>
    <w:basedOn w:val="16"/>
    <w:next w:val="17"/>
    <w:qFormat/>
    <w:uiPriority w:val="0"/>
    <w:pPr>
      <w:adjustRightInd w:val="0"/>
    </w:pPr>
    <w:rPr>
      <w:rFonts w:ascii="宋体" w:cs="宋体"/>
      <w:color w:val="000000"/>
      <w:sz w:val="24"/>
      <w:lang w:val="en-US"/>
    </w:rPr>
  </w:style>
  <w:style w:type="paragraph" w:customStyle="1" w:styleId="16">
    <w:name w:val="文本"/>
    <w:basedOn w:val="1"/>
    <w:next w:val="1"/>
    <w:qFormat/>
    <w:uiPriority w:val="0"/>
    <w:pPr>
      <w:autoSpaceDE w:val="0"/>
      <w:autoSpaceDN w:val="0"/>
      <w:ind w:firstLine="480"/>
    </w:pPr>
    <w:rPr>
      <w:lang w:val="zh-CN"/>
    </w:rPr>
  </w:style>
  <w:style w:type="paragraph" w:customStyle="1" w:styleId="17">
    <w:name w:val="表格文字"/>
    <w:basedOn w:val="7"/>
    <w:next w:val="1"/>
    <w:qFormat/>
    <w:uiPriority w:val="0"/>
    <w:pPr>
      <w:jc w:val="center"/>
    </w:pPr>
    <w:rPr>
      <w:rFonts w:ascii="Arial Narrow" w:hAnsi="Arial Narrow" w:eastAsia="汉鼎简书宋"/>
    </w:rPr>
  </w:style>
  <w:style w:type="paragraph" w:customStyle="1" w:styleId="18">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19">
    <w:name w:val="页眉 字符"/>
    <w:basedOn w:val="14"/>
    <w:link w:val="10"/>
    <w:autoRedefine/>
    <w:qFormat/>
    <w:uiPriority w:val="99"/>
    <w:rPr>
      <w:sz w:val="18"/>
      <w:szCs w:val="18"/>
    </w:rPr>
  </w:style>
  <w:style w:type="character" w:customStyle="1" w:styleId="20">
    <w:name w:val="页脚 字符"/>
    <w:basedOn w:val="14"/>
    <w:link w:val="9"/>
    <w:autoRedefine/>
    <w:qFormat/>
    <w:uiPriority w:val="99"/>
    <w:rPr>
      <w:sz w:val="18"/>
      <w:szCs w:val="18"/>
    </w:rPr>
  </w:style>
  <w:style w:type="character" w:customStyle="1" w:styleId="21">
    <w:name w:val="NormalCharacter"/>
    <w:autoRedefine/>
    <w:semiHidden/>
    <w:qFormat/>
    <w:uiPriority w:val="99"/>
  </w:style>
  <w:style w:type="paragraph" w:customStyle="1" w:styleId="22">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3">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1685</Words>
  <Characters>1780</Characters>
  <Lines>11</Lines>
  <Paragraphs>3</Paragraphs>
  <TotalTime>0</TotalTime>
  <ScaleCrop>false</ScaleCrop>
  <LinksUpToDate>false</LinksUpToDate>
  <CharactersWithSpaces>1845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2025-06-17T07:49:31Z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8A8837DC28804F048B97D671515894C8_12</vt:lpwstr>
  </property>
  <property fmtid="{D5CDD505-2E9C-101B-9397-08002B2CF9AE}" pid="4" name="KSOTemplateDocerSaveRecord">
    <vt:lpwstr>eyJoZGlkIjoiM2VkNTk1MmVhODkwYTdlM2UzNDI2NDIyNmU0MzQwNDkiLCJ1c2VySWQiOiIzMzQyNjE5NjcifQ==</vt:lpwstr>
  </property>
</Properties>
</file>