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9D5F535">
      <w:pPr>
        <w:ind w:firstLine="480" w:firstLineChars="200"/>
        <w:rPr>
          <w:color w:val="000000"/>
          <w:sz w:val="24"/>
          <w:szCs w:val="24"/>
        </w:rPr>
      </w:pPr>
      <w:r>
        <w:rPr>
          <w:rFonts w:hint="eastAsia"/>
          <w:color w:val="000000"/>
          <w:sz w:val="24"/>
          <w:szCs w:val="24"/>
        </w:rPr>
        <w:t>项目情况表</w:t>
      </w:r>
    </w:p>
    <w:tbl>
      <w:tblPr>
        <w:tblStyle w:val="10"/>
        <w:tblpPr w:leftFromText="180" w:rightFromText="180" w:vertAnchor="text" w:horzAnchor="margin" w:tblpXSpec="center" w:tblpY="179"/>
        <w:tblOverlap w:val="never"/>
        <w:tblW w:w="1023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88"/>
        <w:gridCol w:w="473"/>
        <w:gridCol w:w="397"/>
        <w:gridCol w:w="465"/>
        <w:gridCol w:w="675"/>
        <w:gridCol w:w="2555"/>
        <w:gridCol w:w="4877"/>
      </w:tblGrid>
      <w:tr w14:paraId="4D0A8D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88" w:type="dxa"/>
            <w:vAlign w:val="center"/>
          </w:tcPr>
          <w:p w14:paraId="0A270147">
            <w:pPr>
              <w:spacing w:line="240" w:lineRule="atLeast"/>
              <w:jc w:val="center"/>
              <w:rPr>
                <w:color w:val="000000"/>
                <w:szCs w:val="21"/>
              </w:rPr>
            </w:pPr>
            <w:r>
              <w:rPr>
                <w:color w:val="000000"/>
                <w:szCs w:val="21"/>
              </w:rPr>
              <w:t>编号</w:t>
            </w:r>
          </w:p>
        </w:tc>
        <w:tc>
          <w:tcPr>
            <w:tcW w:w="473" w:type="dxa"/>
            <w:vAlign w:val="center"/>
          </w:tcPr>
          <w:p w14:paraId="6EA36EB0">
            <w:pPr>
              <w:spacing w:line="240" w:lineRule="atLeast"/>
              <w:jc w:val="center"/>
              <w:rPr>
                <w:color w:val="000000"/>
                <w:szCs w:val="21"/>
              </w:rPr>
            </w:pPr>
            <w:r>
              <w:rPr>
                <w:color w:val="000000"/>
                <w:szCs w:val="21"/>
              </w:rPr>
              <w:t>项目名称</w:t>
            </w:r>
          </w:p>
        </w:tc>
        <w:tc>
          <w:tcPr>
            <w:tcW w:w="397" w:type="dxa"/>
            <w:vAlign w:val="center"/>
          </w:tcPr>
          <w:p w14:paraId="0388DA99">
            <w:pPr>
              <w:spacing w:line="240" w:lineRule="atLeast"/>
              <w:jc w:val="center"/>
              <w:rPr>
                <w:color w:val="000000"/>
                <w:szCs w:val="21"/>
              </w:rPr>
            </w:pPr>
            <w:r>
              <w:rPr>
                <w:color w:val="000000"/>
                <w:szCs w:val="21"/>
              </w:rPr>
              <w:t>建设地点</w:t>
            </w:r>
          </w:p>
        </w:tc>
        <w:tc>
          <w:tcPr>
            <w:tcW w:w="465" w:type="dxa"/>
            <w:vAlign w:val="center"/>
          </w:tcPr>
          <w:p w14:paraId="77CC4EBF">
            <w:pPr>
              <w:spacing w:line="240" w:lineRule="atLeast"/>
              <w:jc w:val="center"/>
              <w:rPr>
                <w:color w:val="000000"/>
                <w:szCs w:val="21"/>
              </w:rPr>
            </w:pPr>
            <w:r>
              <w:rPr>
                <w:color w:val="000000"/>
                <w:szCs w:val="21"/>
              </w:rPr>
              <w:t>建设单位</w:t>
            </w:r>
          </w:p>
        </w:tc>
        <w:tc>
          <w:tcPr>
            <w:tcW w:w="675" w:type="dxa"/>
            <w:vAlign w:val="center"/>
          </w:tcPr>
          <w:p w14:paraId="4B87B643">
            <w:pPr>
              <w:spacing w:line="240" w:lineRule="atLeast"/>
              <w:jc w:val="center"/>
              <w:rPr>
                <w:color w:val="000000"/>
                <w:szCs w:val="21"/>
              </w:rPr>
            </w:pPr>
            <w:r>
              <w:rPr>
                <w:color w:val="000000"/>
                <w:szCs w:val="21"/>
              </w:rPr>
              <w:t>环境影响评价机构</w:t>
            </w:r>
          </w:p>
        </w:tc>
        <w:tc>
          <w:tcPr>
            <w:tcW w:w="2555" w:type="dxa"/>
            <w:vAlign w:val="center"/>
          </w:tcPr>
          <w:p w14:paraId="20A0AE52">
            <w:pPr>
              <w:spacing w:line="240" w:lineRule="atLeast"/>
              <w:jc w:val="center"/>
              <w:rPr>
                <w:color w:val="000000"/>
                <w:szCs w:val="21"/>
              </w:rPr>
            </w:pPr>
            <w:r>
              <w:rPr>
                <w:color w:val="000000"/>
                <w:szCs w:val="21"/>
              </w:rPr>
              <w:t>项目概况</w:t>
            </w:r>
          </w:p>
        </w:tc>
        <w:tc>
          <w:tcPr>
            <w:tcW w:w="4877" w:type="dxa"/>
            <w:vAlign w:val="center"/>
          </w:tcPr>
          <w:p w14:paraId="500A511E">
            <w:pPr>
              <w:spacing w:line="240" w:lineRule="atLeast"/>
              <w:jc w:val="center"/>
              <w:rPr>
                <w:color w:val="000000"/>
                <w:szCs w:val="21"/>
              </w:rPr>
            </w:pPr>
            <w:r>
              <w:rPr>
                <w:color w:val="000000"/>
                <w:szCs w:val="21"/>
              </w:rPr>
              <w:t>主要环境影响及预防或者减轻不良环境影响的对策和措施</w:t>
            </w:r>
          </w:p>
        </w:tc>
      </w:tr>
      <w:tr w14:paraId="7E553E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jc w:val="center"/>
        </w:trPr>
        <w:tc>
          <w:tcPr>
            <w:tcW w:w="788" w:type="dxa"/>
            <w:vAlign w:val="center"/>
          </w:tcPr>
          <w:p w14:paraId="5AA6E65F">
            <w:pPr>
              <w:spacing w:line="240" w:lineRule="atLeast"/>
              <w:jc w:val="center"/>
              <w:rPr>
                <w:color w:val="000000"/>
                <w:szCs w:val="21"/>
              </w:rPr>
            </w:pPr>
            <w:r>
              <w:rPr>
                <w:color w:val="000000"/>
                <w:szCs w:val="21"/>
              </w:rPr>
              <w:t>1</w:t>
            </w:r>
          </w:p>
        </w:tc>
        <w:tc>
          <w:tcPr>
            <w:tcW w:w="473" w:type="dxa"/>
            <w:vAlign w:val="center"/>
          </w:tcPr>
          <w:p w14:paraId="719E98D6">
            <w:pPr>
              <w:spacing w:line="600" w:lineRule="exact"/>
              <w:jc w:val="center"/>
              <w:rPr>
                <w:rFonts w:eastAsia="仿宋"/>
                <w:color w:val="000000"/>
              </w:rPr>
            </w:pPr>
            <w:r>
              <w:rPr>
                <w:rFonts w:hint="eastAsia" w:ascii="Times New Roman" w:hAnsi="Times New Roman" w:eastAsia="宋体" w:cs="Times New Roman"/>
                <w:szCs w:val="22"/>
              </w:rPr>
              <w:t>鄂尔多斯市东胜区巴赖沟生活垃圾填埋场渗滤液处理项目</w:t>
            </w:r>
          </w:p>
        </w:tc>
        <w:tc>
          <w:tcPr>
            <w:tcW w:w="397" w:type="dxa"/>
            <w:vAlign w:val="center"/>
          </w:tcPr>
          <w:p w14:paraId="53D2BE93">
            <w:pPr>
              <w:spacing w:line="600" w:lineRule="exact"/>
              <w:jc w:val="center"/>
              <w:rPr>
                <w:rFonts w:hint="default"/>
                <w:color w:val="000000"/>
                <w:szCs w:val="21"/>
                <w:lang w:val="en-US"/>
              </w:rPr>
            </w:pPr>
            <w:r>
              <w:rPr>
                <w:rFonts w:hint="eastAsia" w:ascii="Times New Roman" w:hAnsi="Times New Roman" w:eastAsia="宋体" w:cs="Times New Roman"/>
                <w:szCs w:val="22"/>
                <w:lang w:val="en-US" w:eastAsia="zh-CN"/>
              </w:rPr>
              <w:t>内蒙古自治区鄂尔多斯市东胜区巴赖沟生活垃圾填埋场占地范围内</w:t>
            </w:r>
          </w:p>
        </w:tc>
        <w:tc>
          <w:tcPr>
            <w:tcW w:w="465" w:type="dxa"/>
            <w:vAlign w:val="center"/>
          </w:tcPr>
          <w:p w14:paraId="25BCC080">
            <w:pPr>
              <w:spacing w:line="600" w:lineRule="exact"/>
              <w:jc w:val="center"/>
              <w:rPr>
                <w:color w:val="000000"/>
                <w:szCs w:val="21"/>
              </w:rPr>
            </w:pPr>
            <w:r>
              <w:rPr>
                <w:rFonts w:hint="eastAsia" w:ascii="Times New Roman" w:hAnsi="Times New Roman" w:eastAsia="宋体" w:cs="Times New Roman"/>
                <w:szCs w:val="22"/>
                <w:lang w:val="en-US" w:eastAsia="zh-CN"/>
              </w:rPr>
              <w:t>鄂尔多斯市金辰环境卫生工程有限公司</w:t>
            </w:r>
          </w:p>
        </w:tc>
        <w:tc>
          <w:tcPr>
            <w:tcW w:w="675" w:type="dxa"/>
            <w:vAlign w:val="center"/>
          </w:tcPr>
          <w:p w14:paraId="5D04F640">
            <w:pPr>
              <w:spacing w:line="600" w:lineRule="exact"/>
              <w:jc w:val="center"/>
              <w:rPr>
                <w:color w:val="000000"/>
                <w:szCs w:val="21"/>
              </w:rPr>
            </w:pPr>
            <w:r>
              <w:rPr>
                <w:rFonts w:hint="eastAsia"/>
                <w:color w:val="000000"/>
                <w:szCs w:val="21"/>
              </w:rPr>
              <w:t>内蒙古碧蓝环境科技有限公司</w:t>
            </w:r>
          </w:p>
        </w:tc>
        <w:tc>
          <w:tcPr>
            <w:tcW w:w="2555" w:type="dxa"/>
            <w:vAlign w:val="center"/>
          </w:tcPr>
          <w:p w14:paraId="414F599A">
            <w:pPr>
              <w:spacing w:line="360" w:lineRule="auto"/>
              <w:ind w:firstLine="420" w:firstLineChars="200"/>
              <w:rPr>
                <w:rFonts w:hint="default"/>
                <w:color w:val="000000"/>
                <w:szCs w:val="21"/>
                <w:lang w:val="en-US" w:eastAsia="zh-CN"/>
              </w:rPr>
            </w:pPr>
            <w:r>
              <w:rPr>
                <w:rFonts w:hint="default"/>
                <w:color w:val="000000"/>
                <w:szCs w:val="21"/>
                <w:lang w:val="en-US" w:eastAsia="zh-CN"/>
              </w:rPr>
              <w:t>本项目的环境影响评价文件未经我局审批即擅自开工建设，违反了《中华人民共和国环境影响评价法》有关规定，依据《中华人民共和国环境影响评价法》第三十一条之规定，鄂尔多斯市生态环境局对你单位实施了处罚，罚款已缴纳。你单位必须增强守法意识，杜绝违法行为再次发生。《报告表》经组织专家评审，集体研究，形成如下审批意见：</w:t>
            </w:r>
          </w:p>
          <w:p w14:paraId="06C2E462">
            <w:pPr>
              <w:spacing w:line="360" w:lineRule="auto"/>
              <w:ind w:firstLine="420" w:firstLineChars="200"/>
              <w:rPr>
                <w:rFonts w:hint="default"/>
                <w:color w:val="000000"/>
                <w:szCs w:val="21"/>
                <w:lang w:val="en-US" w:eastAsia="zh-CN"/>
              </w:rPr>
            </w:pPr>
            <w:bookmarkStart w:id="0" w:name="_GoBack"/>
            <w:bookmarkEnd w:id="0"/>
            <w:r>
              <w:rPr>
                <w:rFonts w:hint="default"/>
                <w:color w:val="000000"/>
                <w:szCs w:val="21"/>
                <w:lang w:val="en-US" w:eastAsia="zh-CN"/>
              </w:rPr>
              <w:t>一、</w:t>
            </w:r>
            <w:r>
              <w:rPr>
                <w:rFonts w:hint="default"/>
                <w:color w:val="000000"/>
                <w:szCs w:val="21"/>
              </w:rPr>
              <w:t>该项目</w:t>
            </w:r>
            <w:r>
              <w:rPr>
                <w:rFonts w:hint="default"/>
                <w:color w:val="000000"/>
                <w:szCs w:val="21"/>
                <w:lang w:eastAsia="zh-CN"/>
              </w:rPr>
              <w:t>属于改扩建项目，位于</w:t>
            </w:r>
            <w:r>
              <w:rPr>
                <w:rFonts w:hint="eastAsia"/>
                <w:color w:val="000000"/>
                <w:szCs w:val="21"/>
                <w:lang w:val="en-US" w:eastAsia="zh-CN"/>
              </w:rPr>
              <w:t>东胜区巴赖沟生活垃圾填埋场占地范围内。</w:t>
            </w:r>
            <w:r>
              <w:rPr>
                <w:rFonts w:hint="default"/>
                <w:color w:val="000000"/>
                <w:szCs w:val="21"/>
                <w:lang w:val="en-US" w:eastAsia="zh-CN"/>
              </w:rPr>
              <w:t>项目总</w:t>
            </w:r>
            <w:r>
              <w:rPr>
                <w:rFonts w:hint="default"/>
                <w:color w:val="000000"/>
                <w:szCs w:val="21"/>
                <w:lang w:eastAsia="zh-CN"/>
              </w:rPr>
              <w:t>占地</w:t>
            </w:r>
            <w:r>
              <w:rPr>
                <w:rFonts w:hint="default"/>
                <w:color w:val="000000"/>
                <w:szCs w:val="21"/>
                <w:lang w:val="en-US" w:eastAsia="zh-CN"/>
              </w:rPr>
              <w:t>面积</w:t>
            </w:r>
            <w:r>
              <w:rPr>
                <w:rFonts w:hint="eastAsia"/>
                <w:color w:val="000000"/>
                <w:szCs w:val="21"/>
                <w:lang w:val="en-US" w:eastAsia="zh-CN"/>
              </w:rPr>
              <w:t>4793.93</w:t>
            </w:r>
            <w:r>
              <w:rPr>
                <w:rFonts w:hint="default"/>
                <w:color w:val="000000"/>
                <w:szCs w:val="21"/>
                <w:lang w:val="en-US" w:eastAsia="zh-CN"/>
              </w:rPr>
              <w:t>平</w:t>
            </w:r>
            <w:r>
              <w:rPr>
                <w:rFonts w:hint="default"/>
                <w:color w:val="000000"/>
                <w:szCs w:val="21"/>
                <w:lang w:eastAsia="zh-CN"/>
              </w:rPr>
              <w:t>方米，总投资</w:t>
            </w:r>
            <w:r>
              <w:rPr>
                <w:rFonts w:hint="eastAsia"/>
                <w:color w:val="000000"/>
                <w:szCs w:val="21"/>
                <w:lang w:val="en-US" w:eastAsia="zh-CN"/>
              </w:rPr>
              <w:t>950</w:t>
            </w:r>
            <w:r>
              <w:rPr>
                <w:rFonts w:hint="default"/>
                <w:color w:val="000000"/>
                <w:szCs w:val="21"/>
                <w:lang w:val="en-US" w:eastAsia="zh-CN"/>
              </w:rPr>
              <w:t>万</w:t>
            </w:r>
            <w:r>
              <w:rPr>
                <w:rFonts w:hint="default"/>
                <w:color w:val="000000"/>
                <w:szCs w:val="21"/>
                <w:lang w:eastAsia="zh-CN"/>
              </w:rPr>
              <w:t>元</w:t>
            </w:r>
            <w:r>
              <w:rPr>
                <w:rFonts w:hint="default"/>
                <w:color w:val="000000"/>
                <w:szCs w:val="21"/>
              </w:rPr>
              <w:t>，</w:t>
            </w:r>
            <w:r>
              <w:rPr>
                <w:rFonts w:hint="eastAsia"/>
                <w:color w:val="000000"/>
                <w:szCs w:val="21"/>
                <w:lang w:eastAsia="zh-CN"/>
              </w:rPr>
              <w:t>其中</w:t>
            </w:r>
            <w:r>
              <w:rPr>
                <w:rFonts w:hint="default"/>
                <w:color w:val="000000"/>
                <w:szCs w:val="21"/>
                <w:lang w:eastAsia="zh-CN"/>
              </w:rPr>
              <w:t>环保投资</w:t>
            </w:r>
            <w:r>
              <w:rPr>
                <w:rFonts w:hint="eastAsia"/>
                <w:color w:val="000000"/>
                <w:szCs w:val="21"/>
                <w:lang w:val="en-US" w:eastAsia="zh-CN"/>
              </w:rPr>
              <w:t>357.75万元</w:t>
            </w:r>
            <w:r>
              <w:rPr>
                <w:rFonts w:hint="default"/>
                <w:color w:val="000000"/>
                <w:szCs w:val="21"/>
              </w:rPr>
              <w:t>。</w:t>
            </w:r>
            <w:r>
              <w:rPr>
                <w:rFonts w:hint="default"/>
                <w:color w:val="000000"/>
                <w:szCs w:val="21"/>
                <w:lang w:eastAsia="zh-CN"/>
              </w:rPr>
              <w:t>主要建设内容及规模：新建1座处理规模为70m3/d的生活垃圾渗滤液处理站，调节池</w:t>
            </w:r>
            <w:r>
              <w:rPr>
                <w:rFonts w:hint="eastAsia"/>
                <w:color w:val="000000"/>
                <w:szCs w:val="21"/>
                <w:lang w:val="en-US" w:eastAsia="zh-CN"/>
              </w:rPr>
              <w:t>依托原有</w:t>
            </w:r>
            <w:r>
              <w:rPr>
                <w:rFonts w:hint="default"/>
                <w:color w:val="000000"/>
                <w:szCs w:val="21"/>
                <w:lang w:eastAsia="zh-CN"/>
              </w:rPr>
              <w:t>，改扩建后渗滤液处理工艺为“脱氨系统+预处理+两级DTRO系统+蒸发”工艺</w:t>
            </w:r>
            <w:r>
              <w:rPr>
                <w:rFonts w:hint="eastAsia"/>
                <w:color w:val="000000"/>
                <w:szCs w:val="21"/>
                <w:lang w:val="en-US" w:eastAsia="zh-CN"/>
              </w:rPr>
              <w:t>；新建1座115平方米杂盐暂存间、1座5平方米危废暂存间</w:t>
            </w:r>
            <w:r>
              <w:rPr>
                <w:rFonts w:hint="default"/>
                <w:color w:val="000000"/>
                <w:szCs w:val="21"/>
              </w:rPr>
              <w:t>及配套</w:t>
            </w:r>
            <w:r>
              <w:rPr>
                <w:rFonts w:hint="eastAsia"/>
                <w:color w:val="000000"/>
                <w:szCs w:val="21"/>
                <w:lang w:val="en-US" w:eastAsia="zh-CN"/>
              </w:rPr>
              <w:t>的公辅工程、储运工程和环保工程。</w:t>
            </w:r>
          </w:p>
          <w:p w14:paraId="4F16C8DD">
            <w:pPr>
              <w:spacing w:line="360" w:lineRule="auto"/>
              <w:ind w:firstLine="420" w:firstLineChars="200"/>
              <w:rPr>
                <w:color w:val="000000"/>
                <w:szCs w:val="21"/>
              </w:rPr>
            </w:pPr>
          </w:p>
        </w:tc>
        <w:tc>
          <w:tcPr>
            <w:tcW w:w="4877" w:type="dxa"/>
            <w:vAlign w:val="center"/>
          </w:tcPr>
          <w:p w14:paraId="3255312E">
            <w:pPr>
              <w:spacing w:line="360" w:lineRule="auto"/>
              <w:jc w:val="left"/>
              <w:rPr>
                <w:rFonts w:hint="eastAsia"/>
                <w:color w:val="000000"/>
                <w:szCs w:val="21"/>
              </w:rPr>
            </w:pPr>
            <w:r>
              <w:rPr>
                <w:rFonts w:hint="eastAsia"/>
                <w:color w:val="000000"/>
                <w:szCs w:val="21"/>
              </w:rPr>
              <w:t>《报告表》认为，在全面落实各项生态环境保护和环境污染防治措施的前提下，项目建设对环境的不利影响能够得到一定的缓解和控制。因此，我局原则同意你单位按照《报告表》中所列的建设项目性质、规模、地点、环境保护措施进行建设。</w:t>
            </w:r>
          </w:p>
          <w:p w14:paraId="52ED5D8C">
            <w:pPr>
              <w:spacing w:line="360" w:lineRule="auto"/>
              <w:jc w:val="left"/>
              <w:rPr>
                <w:rFonts w:hint="eastAsia"/>
                <w:color w:val="000000"/>
                <w:szCs w:val="21"/>
                <w:lang w:val="en-US"/>
              </w:rPr>
            </w:pPr>
            <w:r>
              <w:rPr>
                <w:rFonts w:hint="eastAsia"/>
                <w:color w:val="000000"/>
                <w:szCs w:val="21"/>
                <w:lang w:val="en-US" w:eastAsia="zh-CN"/>
              </w:rPr>
              <w:t>二、在项目工程设计、建设和环境管理中，你单位必须严格落实</w:t>
            </w:r>
            <w:r>
              <w:rPr>
                <w:rFonts w:hint="eastAsia"/>
                <w:color w:val="000000"/>
                <w:szCs w:val="21"/>
              </w:rPr>
              <w:t>《报告表》</w:t>
            </w:r>
            <w:r>
              <w:rPr>
                <w:rFonts w:hint="eastAsia"/>
                <w:color w:val="000000"/>
                <w:szCs w:val="21"/>
                <w:lang w:val="en-US" w:eastAsia="zh-CN"/>
              </w:rPr>
              <w:t>中提出的各项环保措施和要求，确保各项污染物稳定达标排放，并须着重做好以下工作：</w:t>
            </w:r>
          </w:p>
          <w:p w14:paraId="40BFD694">
            <w:pPr>
              <w:spacing w:line="360" w:lineRule="auto"/>
              <w:jc w:val="left"/>
              <w:rPr>
                <w:rFonts w:hint="eastAsia"/>
                <w:color w:val="000000"/>
                <w:szCs w:val="21"/>
                <w:lang w:val="en-US" w:eastAsia="zh-CN"/>
              </w:rPr>
            </w:pPr>
            <w:r>
              <w:rPr>
                <w:rFonts w:hint="eastAsia"/>
                <w:color w:val="000000"/>
                <w:szCs w:val="21"/>
                <w:lang w:val="en-US" w:eastAsia="zh-CN"/>
              </w:rPr>
              <w:t>严格落实运营期污染防治措施</w:t>
            </w:r>
          </w:p>
          <w:p w14:paraId="5FB01940">
            <w:pPr>
              <w:spacing w:line="360" w:lineRule="auto"/>
              <w:jc w:val="left"/>
              <w:rPr>
                <w:rFonts w:hint="eastAsia"/>
                <w:color w:val="000000"/>
                <w:szCs w:val="21"/>
                <w:lang w:val="en-US" w:eastAsia="zh-CN"/>
              </w:rPr>
            </w:pPr>
            <w:r>
              <w:rPr>
                <w:rFonts w:hint="eastAsia"/>
                <w:color w:val="000000"/>
                <w:szCs w:val="21"/>
                <w:lang w:val="en-US" w:eastAsia="zh-CN"/>
              </w:rPr>
              <w:t>1、大气污染防治措施。运营期废气经收集处理后由一根15米高排气筒排放，执行《恶臭污染物排放标准》（GB14554-93）表2中标准限值；大气污染物无组织排放执行《恶臭污染物排放标准》（GB14554-1993）表1中恶臭污染物厂界二级新扩改建标准限值。</w:t>
            </w:r>
          </w:p>
          <w:p w14:paraId="145A7D46">
            <w:pPr>
              <w:spacing w:line="360" w:lineRule="auto"/>
              <w:jc w:val="left"/>
              <w:rPr>
                <w:rFonts w:hint="eastAsia"/>
                <w:color w:val="000000"/>
                <w:szCs w:val="21"/>
                <w:lang w:val="en-US" w:eastAsia="zh-CN"/>
              </w:rPr>
            </w:pPr>
            <w:r>
              <w:rPr>
                <w:rFonts w:hint="eastAsia"/>
                <w:color w:val="000000"/>
                <w:szCs w:val="21"/>
                <w:lang w:val="en-US" w:eastAsia="zh-CN"/>
              </w:rPr>
              <w:t>2、水污染防治措施。运营期生活污水依托厂区外公共卫生间，最终进入市政生活污水管网。渗滤液处理站出水同时满足《生活垃圾填埋场污染控制标准》（GB16889-2024）表2直接排放的水污染物排放限值标准和《城市污水再生利用 城市杂用水水质》（GB/T18920-2020）中城市绿化、道路清扫、消防、建筑施工水质标准后，用于填埋场绿化及道路浇洒用水，不外排；浓水经蒸发系统蒸发，不外排。</w:t>
            </w:r>
          </w:p>
          <w:p w14:paraId="4697BAD7">
            <w:pPr>
              <w:spacing w:line="360" w:lineRule="auto"/>
              <w:jc w:val="left"/>
              <w:rPr>
                <w:rFonts w:hint="eastAsia"/>
                <w:color w:val="000000"/>
                <w:szCs w:val="21"/>
              </w:rPr>
            </w:pPr>
            <w:r>
              <w:rPr>
                <w:rFonts w:hint="eastAsia"/>
                <w:color w:val="000000"/>
                <w:szCs w:val="21"/>
                <w:lang w:val="en-US" w:eastAsia="zh-CN"/>
              </w:rPr>
              <w:t>3、噪声污染防治措施。通过选用低噪声设备，基础减振和厂房隔声等措施，确保</w:t>
            </w:r>
            <w:r>
              <w:rPr>
                <w:rFonts w:hint="eastAsia"/>
                <w:color w:val="000000"/>
                <w:szCs w:val="21"/>
              </w:rPr>
              <w:t>运营期厂界噪声</w:t>
            </w:r>
            <w:r>
              <w:rPr>
                <w:rFonts w:hint="eastAsia"/>
                <w:color w:val="000000"/>
                <w:szCs w:val="21"/>
                <w:lang w:val="en-US" w:eastAsia="zh-CN"/>
              </w:rPr>
              <w:t>满足</w:t>
            </w:r>
            <w:r>
              <w:rPr>
                <w:rFonts w:hint="eastAsia"/>
                <w:color w:val="000000"/>
                <w:szCs w:val="21"/>
              </w:rPr>
              <w:t>《工业企业厂界环境噪声排放</w:t>
            </w:r>
            <w:r>
              <w:rPr>
                <w:rFonts w:hint="eastAsia"/>
                <w:color w:val="000000"/>
                <w:szCs w:val="21"/>
                <w:lang w:val="en-US" w:eastAsia="zh-CN"/>
              </w:rPr>
              <w:t>标</w:t>
            </w:r>
            <w:r>
              <w:rPr>
                <w:rFonts w:hint="eastAsia"/>
                <w:color w:val="000000"/>
                <w:szCs w:val="21"/>
              </w:rPr>
              <w:t>准》（GB12348-2008）中</w:t>
            </w:r>
            <w:r>
              <w:rPr>
                <w:rFonts w:hint="eastAsia"/>
                <w:color w:val="000000"/>
                <w:szCs w:val="21"/>
                <w:lang w:val="en-US" w:eastAsia="zh-CN"/>
              </w:rPr>
              <w:t>2</w:t>
            </w:r>
            <w:r>
              <w:rPr>
                <w:rFonts w:hint="eastAsia"/>
                <w:color w:val="000000"/>
                <w:szCs w:val="21"/>
              </w:rPr>
              <w:t>类标准。</w:t>
            </w:r>
          </w:p>
          <w:p w14:paraId="3ACF85D4">
            <w:pPr>
              <w:spacing w:line="360" w:lineRule="auto"/>
              <w:jc w:val="left"/>
              <w:rPr>
                <w:rFonts w:hint="eastAsia"/>
                <w:color w:val="000000"/>
                <w:szCs w:val="21"/>
                <w:lang w:val="en-US" w:eastAsia="zh-CN"/>
              </w:rPr>
            </w:pPr>
            <w:r>
              <w:rPr>
                <w:rFonts w:hint="eastAsia"/>
                <w:color w:val="000000"/>
                <w:szCs w:val="21"/>
                <w:lang w:val="en-US" w:eastAsia="zh-CN"/>
              </w:rPr>
              <w:t>4、固废污染防治措施。建设单位须严格按照《一般工业固体废物贮存和填埋污染控制标准》（GB18599-2020）处置一般固废，不得乱弃。杂盐暂存间、危废暂存间须严格按照《危险废物贮存污染控制标准》（GB18597-2023）进行设计、建设和管理。危险废物收集和运输等均按照《危险废物收集 贮存 运输技术规范》(HJ2025-2012)要求执行。妥善处置各类固体废弃物。杂盐暂存于杂盐暂存间，鉴定前按照危废进行管理处置；污泥委托有处置能力的单位进行处置；危废必须由有资质单位处置。</w:t>
            </w:r>
          </w:p>
          <w:p w14:paraId="76AD77E3">
            <w:pPr>
              <w:spacing w:line="360" w:lineRule="auto"/>
              <w:jc w:val="left"/>
              <w:rPr>
                <w:rFonts w:hint="eastAsia"/>
                <w:color w:val="000000"/>
                <w:szCs w:val="21"/>
              </w:rPr>
            </w:pPr>
            <w:r>
              <w:rPr>
                <w:rFonts w:hint="eastAsia"/>
                <w:color w:val="000000"/>
                <w:szCs w:val="21"/>
                <w:lang w:val="en-US" w:eastAsia="zh-CN"/>
              </w:rPr>
              <w:t>5、地面须按相关要求做好防渗措施，确保不会对地下水造成影响。</w:t>
            </w:r>
          </w:p>
          <w:p w14:paraId="3B25F319">
            <w:pPr>
              <w:spacing w:line="360" w:lineRule="auto"/>
              <w:jc w:val="left"/>
              <w:rPr>
                <w:rFonts w:hint="eastAsia"/>
                <w:color w:val="000000"/>
                <w:szCs w:val="21"/>
                <w:lang w:val="en-US" w:eastAsia="zh-CN"/>
              </w:rPr>
            </w:pPr>
            <w:r>
              <w:rPr>
                <w:rFonts w:hint="eastAsia"/>
                <w:color w:val="000000"/>
                <w:szCs w:val="21"/>
                <w:lang w:val="en-US" w:eastAsia="zh-CN"/>
              </w:rPr>
              <w:t>6、强化环境风险防范，制定突发环境事件应急预案，落实环境风险事故防范措施，提高事故风险防范和污染控制能力。</w:t>
            </w:r>
          </w:p>
          <w:p w14:paraId="1D4F57DC">
            <w:pPr>
              <w:spacing w:line="360" w:lineRule="auto"/>
              <w:jc w:val="left"/>
              <w:rPr>
                <w:rFonts w:hint="eastAsia"/>
                <w:color w:val="000000"/>
                <w:szCs w:val="21"/>
                <w:lang w:val="en-US" w:eastAsia="zh-CN"/>
              </w:rPr>
            </w:pPr>
            <w:r>
              <w:rPr>
                <w:rFonts w:hint="eastAsia"/>
                <w:color w:val="000000"/>
                <w:szCs w:val="21"/>
                <w:lang w:val="en-US" w:eastAsia="zh-CN"/>
              </w:rPr>
              <w:t>7、按照《排污口规范化整治技术要求》（环监〔1996〕470号）规范设置排污口。</w:t>
            </w:r>
          </w:p>
          <w:p w14:paraId="019D5B4C">
            <w:pPr>
              <w:spacing w:line="360" w:lineRule="auto"/>
              <w:jc w:val="left"/>
              <w:rPr>
                <w:rFonts w:hint="eastAsia"/>
                <w:color w:val="000000"/>
                <w:szCs w:val="21"/>
              </w:rPr>
            </w:pPr>
            <w:r>
              <w:rPr>
                <w:rFonts w:hint="eastAsia"/>
                <w:color w:val="000000"/>
                <w:szCs w:val="21"/>
                <w:lang w:val="en-US" w:eastAsia="zh-CN"/>
              </w:rPr>
              <w:t>三、你单位应委托有相应资质的设计单位对建设项目重点环保设施进行设计，并在项目施工及运行过程中严格落实环保设施安全生产工作要求。</w:t>
            </w:r>
          </w:p>
          <w:p w14:paraId="576BF96E">
            <w:pPr>
              <w:spacing w:line="360" w:lineRule="auto"/>
              <w:jc w:val="left"/>
              <w:rPr>
                <w:rFonts w:hint="eastAsia"/>
                <w:color w:val="000000"/>
                <w:szCs w:val="21"/>
              </w:rPr>
            </w:pPr>
            <w:r>
              <w:rPr>
                <w:rFonts w:hint="eastAsia"/>
                <w:color w:val="000000"/>
                <w:szCs w:val="21"/>
                <w:lang w:val="en-US" w:eastAsia="zh-CN"/>
              </w:rPr>
              <w:t>四、</w:t>
            </w:r>
            <w:r>
              <w:rPr>
                <w:rFonts w:hint="eastAsia"/>
                <w:color w:val="000000"/>
                <w:szCs w:val="21"/>
              </w:rPr>
              <w:t>你单位在该项目环保申报过程中如有瞒报、假报情形，则是严重的违法行为，须承担因此产生的一切后果。项目建设必须严格执行环境保护“三同时”制度。项目竣工后，须按照规定程序实施竣工环境保护验收。</w:t>
            </w:r>
          </w:p>
          <w:p w14:paraId="047AA6E7">
            <w:pPr>
              <w:spacing w:line="360" w:lineRule="auto"/>
              <w:jc w:val="left"/>
              <w:rPr>
                <w:rFonts w:hint="eastAsia"/>
                <w:color w:val="000000"/>
                <w:szCs w:val="21"/>
              </w:rPr>
            </w:pPr>
            <w:r>
              <w:rPr>
                <w:rFonts w:hint="eastAsia"/>
                <w:color w:val="000000"/>
                <w:szCs w:val="21"/>
                <w:lang w:val="en-US" w:eastAsia="zh-CN"/>
              </w:rPr>
              <w:t>五、</w:t>
            </w:r>
            <w:r>
              <w:rPr>
                <w:rFonts w:hint="eastAsia"/>
                <w:color w:val="000000"/>
                <w:szCs w:val="21"/>
              </w:rPr>
              <w:t>该项目事中事后监管由鄂尔多斯市生态环境综合行政执法支队东胜区大队负责</w:t>
            </w:r>
            <w:r>
              <w:rPr>
                <w:rFonts w:hint="eastAsia"/>
                <w:color w:val="000000"/>
                <w:szCs w:val="21"/>
                <w:lang w:eastAsia="zh-CN"/>
              </w:rPr>
              <w:t>。</w:t>
            </w:r>
          </w:p>
          <w:p w14:paraId="31D66976">
            <w:pPr>
              <w:spacing w:line="360" w:lineRule="auto"/>
              <w:jc w:val="left"/>
              <w:rPr>
                <w:color w:val="000000"/>
                <w:szCs w:val="21"/>
              </w:rPr>
            </w:pPr>
            <w:r>
              <w:rPr>
                <w:rFonts w:hint="eastAsia"/>
                <w:color w:val="000000"/>
                <w:szCs w:val="21"/>
                <w:lang w:val="en-US" w:eastAsia="zh-CN"/>
              </w:rPr>
              <w:t>六、</w:t>
            </w:r>
            <w:r>
              <w:rPr>
                <w:rFonts w:hint="eastAsia"/>
                <w:color w:val="000000"/>
                <w:szCs w:val="21"/>
              </w:rPr>
              <w:t xml:space="preserve">该项目从批准之日起超过5年方决定开工建设，其环评文件应重新审核。如果建设地点、规模、防治污染和防止生态破坏的措施等发生重大变化时，需重新报批环评文件。                                                           </w:t>
            </w:r>
          </w:p>
        </w:tc>
      </w:tr>
    </w:tbl>
    <w:p w14:paraId="1BBE2646"/>
    <w:sectPr>
      <w:pgSz w:w="11906" w:h="16838"/>
      <w:pgMar w:top="1440" w:right="1134" w:bottom="1440" w:left="1134"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auto"/>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2VkNTk1MmVhODkwYTdlM2UzNDI2NDIyNmU0MzQwNDkifQ=="/>
  </w:docVars>
  <w:rsids>
    <w:rsidRoot w:val="007E3F49"/>
    <w:rsid w:val="00655DD2"/>
    <w:rsid w:val="007E3F49"/>
    <w:rsid w:val="008B4FF3"/>
    <w:rsid w:val="00A14109"/>
    <w:rsid w:val="00AC4964"/>
    <w:rsid w:val="00D56621"/>
    <w:rsid w:val="00ED3C94"/>
    <w:rsid w:val="00FE0A91"/>
    <w:rsid w:val="01F96BBA"/>
    <w:rsid w:val="049F3351"/>
    <w:rsid w:val="15947A84"/>
    <w:rsid w:val="15C90A19"/>
    <w:rsid w:val="19B76A12"/>
    <w:rsid w:val="3E062DA7"/>
    <w:rsid w:val="43DC2BDE"/>
    <w:rsid w:val="497150DD"/>
    <w:rsid w:val="4AD11E12"/>
    <w:rsid w:val="4DE41872"/>
    <w:rsid w:val="54973A8B"/>
    <w:rsid w:val="5E371149"/>
    <w:rsid w:val="641136E8"/>
    <w:rsid w:val="7F061C2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qFormat="1" w:uiPriority="39" w:semiHidden="0"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99" w:semiHidden="0" w:name="Body Text"/>
    <w:lsdException w:qFormat="1" w:unhideWhenUsed="0"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nhideWhenUsed="0" w:uiPriority="99" w:semiHidden="0" w:name="Body Text First Indent 2"/>
    <w:lsdException w:uiPriority="99" w:name="Note Heading"/>
    <w:lsdException w:qFormat="1" w:unhideWhenUsed="0" w:uiPriority="0" w:semiHidden="0"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imes New Roman" w:hAnsi="Times New Roman" w:eastAsia="宋体" w:cs="Times New Roman"/>
      <w:kern w:val="2"/>
      <w:sz w:val="21"/>
      <w:szCs w:val="20"/>
      <w:lang w:val="en-US" w:eastAsia="zh-CN" w:bidi="ar-SA"/>
    </w:rPr>
  </w:style>
  <w:style w:type="character" w:default="1" w:styleId="11">
    <w:name w:val="Default Paragraph Font"/>
    <w:autoRedefine/>
    <w:semiHidden/>
    <w:unhideWhenUsed/>
    <w:qFormat/>
    <w:uiPriority w:val="1"/>
  </w:style>
  <w:style w:type="table" w:default="1" w:styleId="10">
    <w:name w:val="Normal Table"/>
    <w:autoRedefine/>
    <w:semiHidden/>
    <w:unhideWhenUsed/>
    <w:qFormat/>
    <w:uiPriority w:val="99"/>
    <w:tblPr>
      <w:tblCellMar>
        <w:top w:w="0" w:type="dxa"/>
        <w:left w:w="108" w:type="dxa"/>
        <w:bottom w:w="0" w:type="dxa"/>
        <w:right w:w="108" w:type="dxa"/>
      </w:tblCellMar>
    </w:tblPr>
  </w:style>
  <w:style w:type="paragraph" w:styleId="2">
    <w:name w:val="Body Text First Indent 2"/>
    <w:basedOn w:val="3"/>
    <w:next w:val="1"/>
    <w:qFormat/>
    <w:uiPriority w:val="99"/>
    <w:pPr>
      <w:spacing w:line="240" w:lineRule="auto"/>
      <w:ind w:firstLine="420"/>
    </w:pPr>
  </w:style>
  <w:style w:type="paragraph" w:styleId="3">
    <w:name w:val="Body Text Indent"/>
    <w:basedOn w:val="1"/>
    <w:qFormat/>
    <w:uiPriority w:val="99"/>
    <w:pPr>
      <w:ind w:left="420" w:leftChars="200"/>
    </w:pPr>
  </w:style>
  <w:style w:type="paragraph" w:styleId="4">
    <w:name w:val="Normal Indent"/>
    <w:basedOn w:val="1"/>
    <w:next w:val="2"/>
    <w:autoRedefine/>
    <w:semiHidden/>
    <w:unhideWhenUsed/>
    <w:qFormat/>
    <w:uiPriority w:val="99"/>
    <w:pPr>
      <w:ind w:firstLine="420" w:firstLineChars="200"/>
    </w:pPr>
  </w:style>
  <w:style w:type="paragraph" w:styleId="5">
    <w:name w:val="Body Text"/>
    <w:basedOn w:val="1"/>
    <w:qFormat/>
    <w:uiPriority w:val="99"/>
    <w:pPr>
      <w:spacing w:after="120"/>
    </w:pPr>
    <w:rPr>
      <w:rFonts w:ascii="Calibri" w:hAnsi="Calibri"/>
      <w:szCs w:val="22"/>
    </w:rPr>
  </w:style>
  <w:style w:type="paragraph" w:styleId="6">
    <w:name w:val="footer"/>
    <w:basedOn w:val="1"/>
    <w:link w:val="14"/>
    <w:autoRedefine/>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7">
    <w:name w:val="header"/>
    <w:basedOn w:val="1"/>
    <w:link w:val="13"/>
    <w:autoRedefine/>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8">
    <w:name w:val="toc 2"/>
    <w:basedOn w:val="1"/>
    <w:next w:val="1"/>
    <w:unhideWhenUsed/>
    <w:qFormat/>
    <w:uiPriority w:val="39"/>
    <w:pPr>
      <w:ind w:left="420" w:leftChars="200"/>
    </w:pPr>
  </w:style>
  <w:style w:type="paragraph" w:styleId="9">
    <w:name w:val="Body Text 2"/>
    <w:basedOn w:val="1"/>
    <w:next w:val="1"/>
    <w:qFormat/>
    <w:uiPriority w:val="0"/>
    <w:pPr>
      <w:spacing w:after="120" w:line="480" w:lineRule="auto"/>
    </w:pPr>
  </w:style>
  <w:style w:type="paragraph" w:customStyle="1" w:styleId="12">
    <w:name w:val="0正文"/>
    <w:qFormat/>
    <w:uiPriority w:val="0"/>
    <w:pPr>
      <w:widowControl w:val="0"/>
      <w:spacing w:line="360" w:lineRule="auto"/>
      <w:ind w:firstLine="720" w:firstLineChars="200"/>
    </w:pPr>
    <w:rPr>
      <w:rFonts w:ascii="Times New Roman" w:hAnsi="Times New Roman" w:eastAsia="宋体" w:cs="Times New Roman"/>
      <w:sz w:val="24"/>
      <w:szCs w:val="22"/>
      <w:lang w:val="en-US" w:eastAsia="zh-CN" w:bidi="ar-SA"/>
    </w:rPr>
  </w:style>
  <w:style w:type="character" w:customStyle="1" w:styleId="13">
    <w:name w:val="页眉 字符"/>
    <w:basedOn w:val="11"/>
    <w:link w:val="7"/>
    <w:autoRedefine/>
    <w:qFormat/>
    <w:uiPriority w:val="99"/>
    <w:rPr>
      <w:sz w:val="18"/>
      <w:szCs w:val="18"/>
    </w:rPr>
  </w:style>
  <w:style w:type="character" w:customStyle="1" w:styleId="14">
    <w:name w:val="页脚 字符"/>
    <w:basedOn w:val="11"/>
    <w:link w:val="6"/>
    <w:autoRedefine/>
    <w:qFormat/>
    <w:uiPriority w:val="99"/>
    <w:rPr>
      <w:sz w:val="18"/>
      <w:szCs w:val="18"/>
    </w:rPr>
  </w:style>
  <w:style w:type="character" w:customStyle="1" w:styleId="15">
    <w:name w:val="NormalCharacter"/>
    <w:autoRedefine/>
    <w:semiHidden/>
    <w:qFormat/>
    <w:uiPriority w:val="99"/>
  </w:style>
  <w:style w:type="paragraph" w:customStyle="1" w:styleId="16">
    <w:name w:val="图表"/>
    <w:basedOn w:val="3"/>
    <w:autoRedefine/>
    <w:qFormat/>
    <w:uiPriority w:val="0"/>
    <w:pPr>
      <w:widowControl/>
      <w:autoSpaceDE w:val="0"/>
      <w:autoSpaceDN w:val="0"/>
      <w:adjustRightInd w:val="0"/>
      <w:snapToGrid w:val="0"/>
      <w:spacing w:after="0" w:line="360" w:lineRule="auto"/>
      <w:ind w:left="0" w:leftChars="0"/>
      <w:jc w:val="center"/>
    </w:pPr>
    <w:rPr>
      <w:b/>
    </w:rPr>
  </w:style>
  <w:style w:type="paragraph" w:customStyle="1" w:styleId="17">
    <w:name w:val="正文01"/>
    <w:basedOn w:val="1"/>
    <w:qFormat/>
    <w:uiPriority w:val="0"/>
    <w:pPr>
      <w:autoSpaceDE/>
      <w:autoSpaceDN/>
      <w:spacing w:before="60" w:line="460" w:lineRule="exact"/>
      <w:ind w:firstLine="200" w:firstLineChars="200"/>
      <w:jc w:val="both"/>
    </w:pPr>
    <w:rPr>
      <w:rFonts w:ascii="Calibri" w:hAnsi="Calibri" w:cs="Times New Roman"/>
      <w:kern w:val="2"/>
      <w:sz w:val="24"/>
      <w:szCs w:val="24"/>
      <w:lang w:val="en-US" w:bidi="ar-SA"/>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1414</Words>
  <Characters>1521</Characters>
  <Lines>11</Lines>
  <Paragraphs>3</Paragraphs>
  <TotalTime>0</TotalTime>
  <ScaleCrop>false</ScaleCrop>
  <LinksUpToDate>false</LinksUpToDate>
  <CharactersWithSpaces>1580</CharactersWithSpaces>
  <Application>WPS Office_12.1.0.21171_F1E327BC-269C-435d-A152-05C5408002CA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2023-11-07T01:29:00Z</dcterms:created>
  <dc:creator>Administrator</dc:creator>
  <cp:lastModifiedBy>瑄儿妈妈(亲子阅读推广)</cp:lastModifiedBy>
  <dcterms:modified xsi:type="dcterms:W3CDTF">2025-06-10T08:58:22Z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2052-12.1.0.21171</vt:lpwstr>
  </property>
  <property fmtid="{D5CDD505-2E9C-101B-9397-08002B2CF9AE}" pid="3" name="ICV">
    <vt:lpwstr>8A8837DC28804F048B97D671515894C8_12</vt:lpwstr>
  </property>
  <property fmtid="{D5CDD505-2E9C-101B-9397-08002B2CF9AE}" pid="4" name="KSOTemplateDocerSaveRecord">
    <vt:lpwstr>eyJoZGlkIjoiM2VkNTk1MmVhODkwYTdlM2UzNDI2NDIyNmU0MzQwNDkiLCJ1c2VySWQiOiIzMzQyNjE5NjcifQ==</vt:lpwstr>
  </property>
</Properties>
</file>