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D674C">
      <w:pPr>
        <w:snapToGrid w:val="0"/>
        <w:spacing w:line="580" w:lineRule="exact"/>
        <w:jc w:val="center"/>
        <w:rPr>
          <w:rStyle w:val="17"/>
          <w:rFonts w:ascii="仿宋_GB2312" w:eastAsia="仿宋_GB2312"/>
          <w:color w:val="auto"/>
          <w:sz w:val="32"/>
          <w:szCs w:val="32"/>
        </w:rPr>
      </w:pPr>
    </w:p>
    <w:p w14:paraId="4AFA3E0C">
      <w:pPr>
        <w:snapToGrid w:val="0"/>
        <w:spacing w:line="580" w:lineRule="exact"/>
        <w:jc w:val="center"/>
        <w:rPr>
          <w:rStyle w:val="17"/>
          <w:rFonts w:ascii="仿宋_GB2312" w:eastAsia="仿宋_GB2312"/>
          <w:color w:val="auto"/>
          <w:sz w:val="32"/>
          <w:szCs w:val="32"/>
        </w:rPr>
      </w:pPr>
    </w:p>
    <w:p w14:paraId="40669AA6">
      <w:pPr>
        <w:snapToGrid w:val="0"/>
        <w:spacing w:line="580" w:lineRule="exact"/>
        <w:jc w:val="center"/>
        <w:rPr>
          <w:rStyle w:val="17"/>
          <w:rFonts w:ascii="仿宋_GB2312" w:eastAsia="仿宋_GB2312"/>
          <w:color w:val="auto"/>
          <w:sz w:val="32"/>
          <w:szCs w:val="32"/>
        </w:rPr>
      </w:pPr>
    </w:p>
    <w:p w14:paraId="11E3B41B">
      <w:pPr>
        <w:snapToGrid w:val="0"/>
        <w:spacing w:line="580" w:lineRule="exact"/>
        <w:jc w:val="center"/>
        <w:rPr>
          <w:rStyle w:val="17"/>
          <w:rFonts w:ascii="仿宋_GB2312" w:eastAsia="仿宋_GB2312"/>
          <w:color w:val="auto"/>
          <w:sz w:val="32"/>
          <w:szCs w:val="32"/>
        </w:rPr>
      </w:pPr>
    </w:p>
    <w:p w14:paraId="144EA8A8">
      <w:pPr>
        <w:snapToGrid w:val="0"/>
        <w:spacing w:line="580" w:lineRule="exact"/>
        <w:jc w:val="center"/>
        <w:rPr>
          <w:rStyle w:val="17"/>
          <w:rFonts w:ascii="仿宋_GB2312" w:eastAsia="仿宋_GB2312"/>
          <w:color w:val="auto"/>
          <w:sz w:val="32"/>
          <w:szCs w:val="32"/>
        </w:rPr>
      </w:pPr>
    </w:p>
    <w:p w14:paraId="5E59D8DD">
      <w:pPr>
        <w:snapToGrid w:val="0"/>
        <w:spacing w:line="580" w:lineRule="exact"/>
        <w:jc w:val="center"/>
        <w:rPr>
          <w:rStyle w:val="17"/>
          <w:rFonts w:ascii="仿宋_GB2312" w:eastAsia="仿宋_GB2312"/>
          <w:color w:val="auto"/>
          <w:sz w:val="32"/>
          <w:szCs w:val="32"/>
        </w:rPr>
      </w:pPr>
    </w:p>
    <w:p w14:paraId="69CC3191">
      <w:pPr>
        <w:snapToGrid w:val="0"/>
        <w:spacing w:line="580" w:lineRule="exact"/>
        <w:jc w:val="center"/>
        <w:rPr>
          <w:rStyle w:val="17"/>
          <w:rFonts w:ascii="仿宋_GB2312" w:eastAsia="仿宋_GB2312"/>
          <w:color w:val="auto"/>
          <w:sz w:val="32"/>
          <w:szCs w:val="32"/>
        </w:rPr>
      </w:pPr>
    </w:p>
    <w:p w14:paraId="21D16649">
      <w:pPr>
        <w:snapToGrid w:val="0"/>
        <w:spacing w:line="580" w:lineRule="exact"/>
        <w:jc w:val="center"/>
        <w:rPr>
          <w:rStyle w:val="17"/>
          <w:rFonts w:ascii="仿宋_GB2312" w:eastAsia="仿宋_GB2312"/>
          <w:color w:val="auto"/>
          <w:sz w:val="32"/>
          <w:szCs w:val="32"/>
        </w:rPr>
      </w:pPr>
    </w:p>
    <w:p w14:paraId="3A673D57">
      <w:pPr>
        <w:pStyle w:val="29"/>
        <w:rPr>
          <w:rStyle w:val="17"/>
          <w:color w:val="auto"/>
        </w:rPr>
      </w:pPr>
    </w:p>
    <w:p w14:paraId="1B7B7877">
      <w:pPr>
        <w:snapToGrid w:val="0"/>
        <w:spacing w:line="600" w:lineRule="exact"/>
        <w:rPr>
          <w:rStyle w:val="17"/>
          <w:rFonts w:ascii="仿宋_GB2312" w:eastAsia="仿宋_GB2312"/>
          <w:color w:val="auto"/>
          <w:sz w:val="32"/>
          <w:szCs w:val="32"/>
        </w:rPr>
      </w:pPr>
    </w:p>
    <w:p w14:paraId="2FA80F44">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11</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14:paraId="6A8CA02C">
      <w:pPr>
        <w:spacing w:line="600" w:lineRule="exact"/>
        <w:jc w:val="center"/>
        <w:rPr>
          <w:rStyle w:val="17"/>
          <w:rFonts w:hint="eastAsia" w:ascii="宋体" w:hAnsi="宋体" w:eastAsia="宋体" w:cs="宋体"/>
          <w:b/>
          <w:bCs w:val="0"/>
          <w:color w:val="auto"/>
          <w:sz w:val="44"/>
          <w:szCs w:val="44"/>
        </w:rPr>
      </w:pPr>
    </w:p>
    <w:p w14:paraId="53684A88">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14:paraId="4032CC23">
      <w:pPr>
        <w:spacing w:line="600" w:lineRule="exact"/>
        <w:jc w:val="center"/>
        <w:rPr>
          <w:rStyle w:val="17"/>
          <w:rFonts w:hint="eastAsia" w:ascii="宋体" w:hAnsi="宋体" w:eastAsia="宋体" w:cs="Times New Roman"/>
          <w:b/>
          <w:bCs w:val="0"/>
          <w:color w:val="auto"/>
          <w:sz w:val="44"/>
          <w:szCs w:val="44"/>
        </w:rPr>
      </w:pPr>
      <w:bookmarkStart w:id="0" w:name="OLE_LINK7"/>
      <w:bookmarkStart w:id="1" w:name="OLE_LINK6"/>
      <w:bookmarkStart w:id="2" w:name="OLE_LINK8"/>
      <w:r>
        <w:rPr>
          <w:rStyle w:val="17"/>
          <w:rFonts w:hint="eastAsia" w:ascii="宋体" w:hAnsi="宋体" w:eastAsia="宋体" w:cs="Times New Roman"/>
          <w:b/>
          <w:bCs w:val="0"/>
          <w:color w:val="auto"/>
          <w:sz w:val="44"/>
          <w:szCs w:val="44"/>
        </w:rPr>
        <w:t>李家壕煤矿二号回风立井</w:t>
      </w:r>
      <w:r>
        <w:rPr>
          <w:rStyle w:val="17"/>
          <w:rFonts w:hint="eastAsia" w:ascii="宋体" w:hAnsi="宋体" w:eastAsia="宋体" w:cs="Times New Roman"/>
          <w:b/>
          <w:bCs w:val="0"/>
          <w:color w:val="auto"/>
          <w:sz w:val="44"/>
          <w:szCs w:val="44"/>
          <w:lang w:eastAsia="zh-CN"/>
        </w:rPr>
        <w:t>建设</w:t>
      </w:r>
      <w:r>
        <w:rPr>
          <w:rStyle w:val="17"/>
          <w:rFonts w:hint="eastAsia" w:ascii="宋体" w:hAnsi="宋体" w:eastAsia="宋体" w:cs="Times New Roman"/>
          <w:b/>
          <w:bCs w:val="0"/>
          <w:color w:val="auto"/>
          <w:sz w:val="44"/>
          <w:szCs w:val="44"/>
        </w:rPr>
        <w:t>项目</w:t>
      </w:r>
      <w:bookmarkEnd w:id="0"/>
      <w:bookmarkEnd w:id="1"/>
      <w:bookmarkEnd w:id="2"/>
    </w:p>
    <w:p w14:paraId="5767C1CB">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环境影响报告表的批复</w:t>
      </w:r>
    </w:p>
    <w:p w14:paraId="54CAF1F3">
      <w:pPr>
        <w:spacing w:line="360" w:lineRule="auto"/>
        <w:textAlignment w:val="auto"/>
        <w:rPr>
          <w:rStyle w:val="17"/>
          <w:rFonts w:hint="eastAsia" w:ascii="仿宋" w:hAnsi="仿宋" w:eastAsia="仿宋"/>
          <w:sz w:val="32"/>
          <w:szCs w:val="32"/>
          <w:lang w:eastAsia="zh-CN"/>
        </w:rPr>
      </w:pPr>
    </w:p>
    <w:p w14:paraId="66C59AA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pP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国能包头能源有限责任公司李家壕煤矿：</w:t>
      </w:r>
    </w:p>
    <w:p w14:paraId="3202936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cs="Times New Roman"/>
          <w:color w:val="000000" w:themeColor="text1"/>
          <w:sz w:val="32"/>
          <w:szCs w:val="32"/>
          <w:highlight w:val="none"/>
          <w14:textFill>
            <w14:solidFill>
              <w14:schemeClr w14:val="tx1"/>
            </w14:solidFill>
          </w14:textFill>
        </w:rPr>
        <w:t>你</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单位</w:t>
      </w:r>
      <w:r>
        <w:rPr>
          <w:rStyle w:val="17"/>
          <w:rFonts w:hint="eastAsia" w:ascii="仿宋" w:hAnsi="仿宋" w:eastAsia="仿宋" w:cs="Times New Roman"/>
          <w:color w:val="000000" w:themeColor="text1"/>
          <w:sz w:val="32"/>
          <w:szCs w:val="32"/>
          <w:highlight w:val="none"/>
          <w14:textFill>
            <w14:solidFill>
              <w14:schemeClr w14:val="tx1"/>
            </w14:solidFill>
          </w14:textFill>
        </w:rPr>
        <w:t>报送的由</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内蒙古钜捷环保科技有限公司编制的《</w:t>
      </w:r>
      <w:r>
        <w:rPr>
          <w:rStyle w:val="17"/>
          <w:rFonts w:hint="eastAsia" w:ascii="仿宋" w:hAnsi="仿宋" w:eastAsia="仿宋" w:cs="Times New Roman"/>
          <w:color w:val="000000" w:themeColor="text1"/>
          <w:sz w:val="32"/>
          <w:szCs w:val="32"/>
          <w:highlight w:val="none"/>
          <w14:textFill>
            <w14:solidFill>
              <w14:schemeClr w14:val="tx1"/>
            </w14:solidFill>
          </w14:textFill>
        </w:rPr>
        <w:t>李家壕煤矿二号回风立井项目</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环境影响报告表》</w:t>
      </w:r>
      <w:r>
        <w:rPr>
          <w:rStyle w:val="17"/>
          <w:rFonts w:hint="eastAsia" w:ascii="仿宋" w:hAnsi="仿宋" w:eastAsia="仿宋" w:cs="Times New Roman"/>
          <w:color w:val="000000" w:themeColor="text1"/>
          <w:sz w:val="32"/>
          <w:szCs w:val="32"/>
          <w:highlight w:val="none"/>
          <w14:textFill>
            <w14:solidFill>
              <w14:schemeClr w14:val="tx1"/>
            </w14:solidFill>
          </w14:textFill>
        </w:rPr>
        <w:t>（以下简称《报告表》）已收悉</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经组织专家评审，集体研究，形成如下审</w:t>
      </w:r>
      <w:r>
        <w:rPr>
          <w:rStyle w:val="17"/>
          <w:rFonts w:hint="eastAsia" w:ascii="仿宋" w:hAnsi="仿宋" w:eastAsia="仿宋"/>
          <w:sz w:val="32"/>
          <w:szCs w:val="32"/>
          <w:lang w:val="en-US" w:eastAsia="zh-CN"/>
        </w:rPr>
        <w:t>批意见：</w:t>
      </w:r>
    </w:p>
    <w:p w14:paraId="281D7426">
      <w:pPr>
        <w:keepNext w:val="0"/>
        <w:keepLines w:val="0"/>
        <w:pageBreakBefore w:val="0"/>
        <w:widowControl/>
        <w:kinsoku/>
        <w:wordWrap w:val="0"/>
        <w:overflowPunct/>
        <w:topLinePunct w:val="0"/>
        <w:autoSpaceDE/>
        <w:autoSpaceDN/>
        <w:bidi w:val="0"/>
        <w:adjustRightInd w:val="0"/>
        <w:snapToGrid w:val="0"/>
        <w:spacing w:line="560" w:lineRule="exact"/>
        <w:ind w:left="0" w:leftChars="0" w:firstLine="640" w:firstLineChars="200"/>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pPr>
      <w:bookmarkStart w:id="3" w:name="_GoBack"/>
      <w:bookmarkEnd w:id="3"/>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一、</w:t>
      </w:r>
      <w:r>
        <w:rPr>
          <w:rStyle w:val="17"/>
          <w:rFonts w:hint="eastAsia" w:ascii="仿宋" w:hAnsi="仿宋" w:eastAsia="仿宋" w:cs="Times New Roman"/>
          <w:color w:val="000000" w:themeColor="text1"/>
          <w:sz w:val="32"/>
          <w:szCs w:val="32"/>
          <w:highlight w:val="none"/>
          <w14:textFill>
            <w14:solidFill>
              <w14:schemeClr w14:val="tx1"/>
            </w14:solidFill>
          </w14:textFill>
        </w:rPr>
        <w:t>该项目属于</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扩</w:t>
      </w:r>
      <w:r>
        <w:rPr>
          <w:rStyle w:val="17"/>
          <w:rFonts w:hint="eastAsia" w:ascii="仿宋" w:hAnsi="仿宋" w:eastAsia="仿宋" w:cs="Times New Roman"/>
          <w:color w:val="000000" w:themeColor="text1"/>
          <w:sz w:val="32"/>
          <w:szCs w:val="32"/>
          <w:highlight w:val="none"/>
          <w14:textFill>
            <w14:solidFill>
              <w14:schemeClr w14:val="tx1"/>
            </w14:solidFill>
          </w14:textFill>
        </w:rPr>
        <w:t>建项目，</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位于东胜区罕台镇查干布拉格村李家壕煤矿。项目总</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占地面</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积10771平方</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米，</w:t>
      </w:r>
      <w:r>
        <w:rPr>
          <w:rStyle w:val="17"/>
          <w:rFonts w:hint="default" w:ascii="仿宋" w:hAnsi="仿宋" w:eastAsia="仿宋" w:cs="Times New Roman"/>
          <w:color w:val="000000" w:themeColor="text1"/>
          <w:sz w:val="32"/>
          <w:szCs w:val="32"/>
          <w:highlight w:val="none"/>
          <w14:textFill>
            <w14:solidFill>
              <w14:schemeClr w14:val="tx1"/>
            </w14:solidFill>
          </w14:textFill>
        </w:rPr>
        <w:t>总投</w:t>
      </w:r>
      <w:r>
        <w:rPr>
          <w:rStyle w:val="17"/>
          <w:rFonts w:hint="default" w:ascii="仿宋" w:hAnsi="仿宋" w:eastAsia="仿宋" w:cs="Times New Roman"/>
          <w:color w:val="000000" w:themeColor="text1"/>
          <w:sz w:val="32"/>
          <w:szCs w:val="32"/>
          <w:highlight w:val="none"/>
          <w:lang w:val="en-US" w:eastAsia="zh-CN"/>
          <w14:textFill>
            <w14:solidFill>
              <w14:schemeClr w14:val="tx1"/>
            </w14:solidFill>
          </w14:textFill>
        </w:rPr>
        <w:t>资</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6000万</w:t>
      </w:r>
      <w:r>
        <w:rPr>
          <w:rStyle w:val="17"/>
          <w:rFonts w:hint="default" w:ascii="仿宋" w:hAnsi="仿宋" w:eastAsia="仿宋" w:cs="Times New Roman"/>
          <w:color w:val="000000" w:themeColor="text1"/>
          <w:sz w:val="32"/>
          <w:szCs w:val="32"/>
          <w:highlight w:val="none"/>
          <w:lang w:eastAsia="zh-CN"/>
          <w14:textFill>
            <w14:solidFill>
              <w14:schemeClr w14:val="tx1"/>
            </w14:solidFill>
          </w14:textFill>
        </w:rPr>
        <w:t>元</w:t>
      </w:r>
      <w:r>
        <w:rPr>
          <w:rStyle w:val="17"/>
          <w:rFonts w:hint="default" w:ascii="仿宋" w:hAnsi="仿宋" w:eastAsia="仿宋" w:cs="Times New Roman"/>
          <w:color w:val="000000" w:themeColor="text1"/>
          <w:sz w:val="32"/>
          <w:szCs w:val="32"/>
          <w:highlight w:val="none"/>
          <w14:textFill>
            <w14:solidFill>
              <w14:schemeClr w14:val="tx1"/>
            </w14:solidFill>
          </w14:textFill>
        </w:rPr>
        <w:t>，</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其中</w:t>
      </w:r>
      <w:r>
        <w:rPr>
          <w:rStyle w:val="17"/>
          <w:rFonts w:hint="default" w:ascii="仿宋" w:hAnsi="仿宋" w:eastAsia="仿宋" w:cs="Times New Roman"/>
          <w:color w:val="000000" w:themeColor="text1"/>
          <w:sz w:val="32"/>
          <w:szCs w:val="32"/>
          <w:highlight w:val="none"/>
          <w14:textFill>
            <w14:solidFill>
              <w14:schemeClr w14:val="tx1"/>
            </w14:solidFill>
          </w14:textFill>
        </w:rPr>
        <w:t>环保</w:t>
      </w:r>
      <w:r>
        <w:rPr>
          <w:rStyle w:val="17"/>
          <w:rFonts w:hint="default" w:ascii="仿宋" w:hAnsi="仿宋" w:eastAsia="仿宋" w:cs="Times New Roman"/>
          <w:color w:val="000000" w:themeColor="text1"/>
          <w:sz w:val="32"/>
          <w:szCs w:val="32"/>
          <w:highlight w:val="none"/>
          <w:lang w:eastAsia="zh-CN"/>
          <w14:textFill>
            <w14:solidFill>
              <w14:schemeClr w14:val="tx1"/>
            </w14:solidFill>
          </w14:textFill>
        </w:rPr>
        <w:t>投资</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79.1万元</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。主要建设内容及规模：</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新建1座风井场地，</w:t>
      </w:r>
      <w:r>
        <w:rPr>
          <w:rStyle w:val="17"/>
          <w:rFonts w:hint="default" w:ascii="仿宋" w:hAnsi="仿宋" w:eastAsia="仿宋" w:cs="Times New Roman"/>
          <w:color w:val="000000" w:themeColor="text1"/>
          <w:sz w:val="32"/>
          <w:szCs w:val="32"/>
          <w:highlight w:val="none"/>
          <w14:textFill>
            <w14:solidFill>
              <w14:schemeClr w14:val="tx1"/>
            </w14:solidFill>
          </w14:textFill>
        </w:rPr>
        <w:t>包括</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1座进风立井、1座回风立井</w:t>
      </w:r>
      <w:r>
        <w:rPr>
          <w:rStyle w:val="17"/>
          <w:rFonts w:hint="default" w:ascii="仿宋" w:hAnsi="仿宋" w:eastAsia="仿宋" w:cs="Times New Roman"/>
          <w:color w:val="000000" w:themeColor="text1"/>
          <w:sz w:val="32"/>
          <w:szCs w:val="32"/>
          <w:highlight w:val="none"/>
          <w14:textFill>
            <w14:solidFill>
              <w14:schemeClr w14:val="tx1"/>
            </w14:solidFill>
          </w14:textFill>
        </w:rPr>
        <w:t>及配套</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的公辅工程和环保工程。进风立井和回风立井</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井筒净直径</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均为5</w:t>
      </w:r>
      <w:r>
        <w:rPr>
          <w:rStyle w:val="17"/>
          <w:rFonts w:hint="eastAsia" w:ascii="仿宋" w:hAnsi="仿宋" w:eastAsia="仿宋" w:cs="Times New Roman"/>
          <w:color w:val="000000" w:themeColor="text1"/>
          <w:sz w:val="32"/>
          <w:szCs w:val="32"/>
          <w:highlight w:val="none"/>
          <w14:textFill>
            <w14:solidFill>
              <w14:schemeClr w14:val="tx1"/>
            </w14:solidFill>
          </w14:textFill>
        </w:rPr>
        <w:t>.</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0米</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，净断面</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均为19.6平方</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米，井筒垂深</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均</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约300</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米</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建成后进风立井担负矿井各煤组南翼盘区进风任务，回风立井担负矿井各煤组南翼盘区回风任务兼做安全出口。</w:t>
      </w:r>
    </w:p>
    <w:p w14:paraId="560366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eastAsia" w:ascii="仿宋" w:hAnsi="仿宋" w:eastAsia="仿宋"/>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4AC3FC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仿宋" w:hAnsi="仿宋" w:eastAsia="仿宋"/>
          <w:color w:val="auto"/>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14:paraId="3B05EF51">
      <w:pPr>
        <w:keepNext w:val="0"/>
        <w:keepLines w:val="0"/>
        <w:pageBreakBefore w:val="0"/>
        <w:widowControl w:val="0"/>
        <w:kinsoku/>
        <w:wordWrap/>
        <w:overflowPunct/>
        <w:topLinePunct w:val="0"/>
        <w:autoSpaceDE/>
        <w:autoSpaceDN/>
        <w:bidi w:val="0"/>
        <w:adjustRightInd/>
        <w:snapToGrid/>
        <w:spacing w:line="560" w:lineRule="exact"/>
        <w:ind w:left="0" w:leftChars="0" w:firstLine="320" w:firstLineChars="1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（一）严格落实施工期污染防治措施</w:t>
      </w:r>
    </w:p>
    <w:p w14:paraId="319216C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eastAsia" w:ascii="仿宋" w:hAnsi="仿宋" w:eastAsia="仿宋" w:cs="Times New Roman"/>
          <w:sz w:val="32"/>
          <w:szCs w:val="32"/>
        </w:rPr>
      </w:pPr>
      <w:r>
        <w:rPr>
          <w:rStyle w:val="17"/>
          <w:rFonts w:hint="eastAsia" w:ascii="仿宋" w:hAnsi="仿宋" w:eastAsia="仿宋" w:cs="Times New Roman"/>
          <w:sz w:val="32"/>
          <w:szCs w:val="32"/>
          <w:lang w:val="en-US" w:eastAsia="zh-CN"/>
        </w:rPr>
        <w:t>1、</w:t>
      </w: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3410FFE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eastAsia" w:ascii="仿宋" w:hAnsi="仿宋" w:eastAsia="仿宋" w:cs="Times New Roman"/>
          <w:color w:val="auto"/>
          <w:sz w:val="32"/>
          <w:szCs w:val="32"/>
          <w:lang w:eastAsia="zh-CN"/>
        </w:rPr>
      </w:pPr>
      <w:r>
        <w:rPr>
          <w:rStyle w:val="17"/>
          <w:rFonts w:hint="eastAsia" w:ascii="仿宋" w:hAnsi="仿宋" w:eastAsia="仿宋" w:cs="Times New Roman"/>
          <w:sz w:val="32"/>
          <w:szCs w:val="32"/>
          <w:lang w:val="en-US" w:eastAsia="zh-CN"/>
        </w:rPr>
        <w:t>2、</w:t>
      </w:r>
      <w:r>
        <w:rPr>
          <w:rStyle w:val="17"/>
          <w:rFonts w:hint="eastAsia" w:ascii="仿宋" w:hAnsi="仿宋" w:eastAsia="仿宋" w:cs="Times New Roman"/>
          <w:color w:val="auto"/>
          <w:sz w:val="32"/>
          <w:szCs w:val="32"/>
          <w:lang w:val="en-US" w:eastAsia="zh-CN"/>
        </w:rPr>
        <w:t>施工人员生活污水经</w:t>
      </w:r>
      <w:r>
        <w:rPr>
          <w:rStyle w:val="17"/>
          <w:rFonts w:hint="eastAsia" w:ascii="仿宋" w:hAnsi="仿宋" w:eastAsia="仿宋" w:cs="Times New Roman"/>
          <w:color w:val="auto"/>
          <w:sz w:val="32"/>
          <w:szCs w:val="32"/>
        </w:rPr>
        <w:t>临时化粪池</w:t>
      </w:r>
      <w:r>
        <w:rPr>
          <w:rStyle w:val="17"/>
          <w:rFonts w:hint="eastAsia" w:ascii="仿宋" w:hAnsi="仿宋" w:eastAsia="仿宋" w:cs="Times New Roman"/>
          <w:color w:val="auto"/>
          <w:sz w:val="32"/>
          <w:szCs w:val="32"/>
          <w:lang w:val="en-US" w:eastAsia="zh-CN"/>
        </w:rPr>
        <w:t>沉淀后运至李家壕煤矿</w:t>
      </w:r>
      <w:r>
        <w:rPr>
          <w:rStyle w:val="17"/>
          <w:rFonts w:hint="eastAsia" w:ascii="仿宋" w:hAnsi="仿宋" w:eastAsia="仿宋" w:cs="Times New Roman"/>
          <w:color w:val="auto"/>
          <w:sz w:val="32"/>
          <w:szCs w:val="32"/>
        </w:rPr>
        <w:t>生活污水处理站处理</w:t>
      </w:r>
      <w:r>
        <w:rPr>
          <w:rStyle w:val="17"/>
          <w:rFonts w:hint="eastAsia" w:ascii="仿宋" w:hAnsi="仿宋" w:eastAsia="仿宋" w:cs="Times New Roman"/>
          <w:color w:val="auto"/>
          <w:sz w:val="32"/>
          <w:szCs w:val="32"/>
          <w:lang w:eastAsia="zh-CN"/>
        </w:rPr>
        <w:t>。</w:t>
      </w:r>
    </w:p>
    <w:p w14:paraId="1F2B8F2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3、选用低噪声施工设备，合理安排作业时间，避免夜间施工，控制车辆时速。施工期噪声执行《建筑施工场界环境噪声排放标准》（GB12523-2011）。</w:t>
      </w:r>
    </w:p>
    <w:p w14:paraId="2422CF0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4、生活垃圾集中收集在垃圾箱，定期交由环卫部门统一处置。</w:t>
      </w:r>
    </w:p>
    <w:p w14:paraId="073BDFC4">
      <w:pPr>
        <w:keepNext w:val="0"/>
        <w:keepLines w:val="0"/>
        <w:pageBreakBefore w:val="0"/>
        <w:numPr>
          <w:ilvl w:val="0"/>
          <w:numId w:val="0"/>
        </w:numPr>
        <w:kinsoku/>
        <w:overflowPunct/>
        <w:topLinePunct w:val="0"/>
        <w:autoSpaceDE/>
        <w:autoSpaceDN/>
        <w:bidi w:val="0"/>
        <w:spacing w:line="560" w:lineRule="exact"/>
        <w:ind w:left="0" w:leftChars="0" w:firstLine="640" w:firstLineChars="200"/>
        <w:rPr>
          <w:rFonts w:hint="eastAsia"/>
          <w:color w:val="auto"/>
        </w:rPr>
      </w:pPr>
      <w:r>
        <w:rPr>
          <w:rStyle w:val="17"/>
          <w:rFonts w:hint="eastAsia" w:ascii="仿宋" w:hAnsi="仿宋" w:eastAsia="仿宋" w:cs="Times New Roman"/>
          <w:color w:val="auto"/>
          <w:sz w:val="32"/>
          <w:szCs w:val="32"/>
          <w:lang w:val="en-US" w:eastAsia="zh-CN"/>
        </w:rPr>
        <w:t>5、</w:t>
      </w:r>
      <w:r>
        <w:rPr>
          <w:rStyle w:val="17"/>
          <w:rFonts w:hint="default" w:ascii="仿宋" w:hAnsi="仿宋" w:eastAsia="仿宋" w:cs="Times New Roman"/>
          <w:color w:val="auto"/>
          <w:sz w:val="32"/>
          <w:szCs w:val="32"/>
          <w:lang w:val="en-US" w:eastAsia="zh-CN"/>
        </w:rPr>
        <w:t>土石方开挖过程中应严格按照设计要求施工，尽可能缩小施工活动范围，减少裸露土地面积和扬尘</w:t>
      </w:r>
      <w:r>
        <w:rPr>
          <w:rStyle w:val="17"/>
          <w:rFonts w:hint="eastAsia" w:ascii="仿宋" w:hAnsi="仿宋" w:eastAsia="仿宋" w:cs="Times New Roman"/>
          <w:color w:val="auto"/>
          <w:sz w:val="32"/>
          <w:szCs w:val="32"/>
          <w:lang w:val="en-US" w:eastAsia="zh-CN"/>
        </w:rPr>
        <w:t>。挖方过程中表土方与弃土方分开放置，</w:t>
      </w:r>
      <w:r>
        <w:rPr>
          <w:rStyle w:val="17"/>
          <w:rFonts w:hint="default" w:ascii="仿宋" w:hAnsi="仿宋" w:eastAsia="仿宋" w:cs="Times New Roman"/>
          <w:color w:val="auto"/>
          <w:sz w:val="32"/>
          <w:szCs w:val="32"/>
          <w:lang w:val="en-US" w:eastAsia="zh-CN"/>
        </w:rPr>
        <w:t>弃土用于场地平整回填</w:t>
      </w:r>
      <w:r>
        <w:rPr>
          <w:rStyle w:val="17"/>
          <w:rFonts w:hint="eastAsia" w:ascii="仿宋" w:hAnsi="仿宋" w:eastAsia="仿宋" w:cs="Times New Roman"/>
          <w:color w:val="auto"/>
          <w:sz w:val="32"/>
          <w:szCs w:val="32"/>
          <w:lang w:val="en-US" w:eastAsia="zh-CN"/>
        </w:rPr>
        <w:t>，表</w:t>
      </w:r>
      <w:r>
        <w:rPr>
          <w:rStyle w:val="17"/>
          <w:rFonts w:hint="default" w:ascii="仿宋" w:hAnsi="仿宋" w:eastAsia="仿宋" w:cs="Times New Roman"/>
          <w:color w:val="auto"/>
          <w:sz w:val="32"/>
          <w:szCs w:val="32"/>
          <w:lang w:val="en-US" w:eastAsia="zh-CN"/>
        </w:rPr>
        <w:t>土用于绿化覆土</w:t>
      </w:r>
      <w:r>
        <w:rPr>
          <w:rStyle w:val="17"/>
          <w:rFonts w:hint="eastAsia" w:ascii="仿宋" w:hAnsi="仿宋" w:eastAsia="仿宋" w:cs="Times New Roman"/>
          <w:color w:val="auto"/>
          <w:sz w:val="32"/>
          <w:szCs w:val="32"/>
          <w:lang w:val="en-US" w:eastAsia="zh-CN"/>
        </w:rPr>
        <w:t>。掘井过程中产生的煤和半煤岩送至李家壕煤矿配套的洗煤厂进行综合利用；掘井过程中产生的矸石送至鄂尔多斯市金通矿业有限公司利用煤矸石复垦露天采坑项目</w:t>
      </w:r>
      <w:r>
        <w:rPr>
          <w:rStyle w:val="17"/>
          <w:rFonts w:hint="default" w:ascii="仿宋" w:hAnsi="仿宋" w:eastAsia="仿宋" w:cs="Times New Roman"/>
          <w:color w:val="auto"/>
          <w:sz w:val="32"/>
          <w:szCs w:val="32"/>
          <w:lang w:val="en-US" w:eastAsia="zh-CN"/>
        </w:rPr>
        <w:t>进行处理</w:t>
      </w:r>
      <w:r>
        <w:rPr>
          <w:rStyle w:val="17"/>
          <w:rFonts w:hint="eastAsia" w:ascii="仿宋" w:hAnsi="仿宋" w:eastAsia="仿宋" w:cs="Times New Roman"/>
          <w:color w:val="auto"/>
          <w:sz w:val="32"/>
          <w:szCs w:val="32"/>
          <w:lang w:val="en-US" w:eastAsia="zh-CN"/>
        </w:rPr>
        <w:t xml:space="preserve">。施工结束后须尽快对临时占地和周边区域进行生态植被恢复，防止水土流失。    </w:t>
      </w:r>
    </w:p>
    <w:p w14:paraId="19688911">
      <w:pPr>
        <w:keepNext w:val="0"/>
        <w:keepLines w:val="0"/>
        <w:pageBreakBefore w:val="0"/>
        <w:widowControl w:val="0"/>
        <w:kinsoku/>
        <w:wordWrap/>
        <w:overflowPunct/>
        <w:topLinePunct w:val="0"/>
        <w:autoSpaceDE/>
        <w:autoSpaceDN/>
        <w:bidi w:val="0"/>
        <w:adjustRightInd/>
        <w:snapToGrid/>
        <w:spacing w:line="560" w:lineRule="exact"/>
        <w:ind w:left="0" w:leftChars="0" w:firstLine="320" w:firstLineChars="1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（二）严格落实运营期污染防治措施</w:t>
      </w:r>
    </w:p>
    <w:p w14:paraId="1C53280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1、</w:t>
      </w:r>
      <w:r>
        <w:rPr>
          <w:rFonts w:hint="eastAsia" w:ascii="仿宋" w:hAnsi="仿宋" w:eastAsia="仿宋" w:cs="仿宋"/>
          <w:color w:val="auto"/>
          <w:sz w:val="32"/>
          <w:szCs w:val="32"/>
          <w:lang w:val="en-US" w:eastAsia="zh-CN"/>
        </w:rPr>
        <w:t>大气污染防治措施。</w:t>
      </w:r>
      <w:r>
        <w:rPr>
          <w:rStyle w:val="17"/>
          <w:rFonts w:hint="eastAsia" w:ascii="仿宋" w:hAnsi="仿宋" w:eastAsia="仿宋" w:cs="Times New Roman"/>
          <w:color w:val="auto"/>
          <w:sz w:val="32"/>
          <w:szCs w:val="32"/>
          <w:lang w:val="en-US" w:eastAsia="zh-CN"/>
        </w:rPr>
        <w:t>运营期对井下煤尘易积存点设置喷雾洒水装置并定期进行清扫冲洗，无组织粉尘排放执行《煤炭工业污染物排放标准》（GB20426-2006）表5煤炭工业无组织排放限值。</w:t>
      </w:r>
    </w:p>
    <w:p w14:paraId="7B6C2512">
      <w:pPr>
        <w:pStyle w:val="6"/>
        <w:keepNext w:val="0"/>
        <w:keepLines w:val="0"/>
        <w:pageBreakBefore w:val="0"/>
        <w:kinsoku/>
        <w:wordWrap/>
        <w:overflowPunct/>
        <w:topLinePunct w:val="0"/>
        <w:autoSpaceDE/>
        <w:autoSpaceDN/>
        <w:bidi w:val="0"/>
        <w:adjustRightInd/>
        <w:snapToGrid/>
        <w:spacing w:before="0" w:after="0" w:line="560" w:lineRule="exact"/>
        <w:ind w:left="0" w:leftChars="0" w:right="0" w:firstLine="640" w:firstLineChars="200"/>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2、</w:t>
      </w:r>
      <w:r>
        <w:rPr>
          <w:rFonts w:hint="eastAsia" w:ascii="仿宋" w:hAnsi="仿宋" w:eastAsia="仿宋" w:cs="仿宋"/>
          <w:color w:val="auto"/>
          <w:sz w:val="32"/>
          <w:szCs w:val="32"/>
          <w:lang w:val="en-US" w:eastAsia="zh-CN"/>
        </w:rPr>
        <w:t>水污染防治措施</w:t>
      </w:r>
      <w:r>
        <w:rPr>
          <w:rStyle w:val="17"/>
          <w:rFonts w:hint="eastAsia" w:ascii="仿宋" w:hAnsi="仿宋" w:eastAsia="仿宋" w:cs="Times New Roman"/>
          <w:color w:val="auto"/>
          <w:sz w:val="32"/>
          <w:szCs w:val="32"/>
          <w:lang w:val="en-US" w:eastAsia="zh-CN"/>
        </w:rPr>
        <w:t>。</w:t>
      </w: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Style w:val="17"/>
          <w:rFonts w:hint="default" w:ascii="仿宋" w:hAnsi="仿宋" w:eastAsia="仿宋" w:cs="Times New Roman"/>
          <w:color w:val="auto"/>
          <w:sz w:val="32"/>
          <w:szCs w:val="32"/>
          <w:lang w:val="en-US" w:eastAsia="zh-CN"/>
        </w:rPr>
        <w:t>期</w:t>
      </w:r>
      <w:r>
        <w:rPr>
          <w:rStyle w:val="17"/>
          <w:rFonts w:hint="eastAsia" w:ascii="仿宋" w:hAnsi="仿宋" w:eastAsia="仿宋" w:cs="Times New Roman"/>
          <w:color w:val="auto"/>
          <w:sz w:val="32"/>
          <w:szCs w:val="32"/>
          <w:lang w:val="en-US" w:eastAsia="zh-CN"/>
        </w:rPr>
        <w:t>乏风取热设施冲洗废水经收集后进入废水收集池，最终送至李家壕煤矿矿井水处理站处理。运营期不新增生活污水。</w:t>
      </w:r>
    </w:p>
    <w:p w14:paraId="24A3CC2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3、噪声污染防治措施。通过采取</w:t>
      </w:r>
      <w:r>
        <w:rPr>
          <w:rStyle w:val="17"/>
          <w:rFonts w:hint="eastAsia" w:ascii="仿宋" w:hAnsi="仿宋" w:eastAsia="仿宋"/>
          <w:color w:val="auto"/>
          <w:sz w:val="32"/>
          <w:szCs w:val="32"/>
          <w:lang w:val="en-US" w:eastAsia="zh-CN"/>
        </w:rPr>
        <w:t>选用低噪声设备和基</w:t>
      </w:r>
      <w:r>
        <w:rPr>
          <w:rStyle w:val="17"/>
          <w:rFonts w:hint="eastAsia" w:ascii="仿宋" w:hAnsi="仿宋" w:eastAsia="仿宋"/>
          <w:color w:val="auto"/>
          <w:sz w:val="32"/>
          <w:szCs w:val="32"/>
          <w:highlight w:val="none"/>
          <w:lang w:val="en-US" w:eastAsia="zh-CN"/>
        </w:rPr>
        <w:t>础减振等措施，确保</w:t>
      </w:r>
      <w:r>
        <w:rPr>
          <w:rStyle w:val="17"/>
          <w:rFonts w:hint="eastAsia" w:ascii="仿宋" w:hAnsi="仿宋" w:eastAsia="仿宋"/>
          <w:color w:val="auto"/>
          <w:sz w:val="32"/>
          <w:szCs w:val="32"/>
          <w:highlight w:val="none"/>
        </w:rPr>
        <w:t>运营期厂界噪声</w:t>
      </w:r>
      <w:r>
        <w:rPr>
          <w:rStyle w:val="17"/>
          <w:rFonts w:hint="eastAsia" w:ascii="仿宋" w:hAnsi="仿宋" w:eastAsia="仿宋"/>
          <w:color w:val="auto"/>
          <w:sz w:val="32"/>
          <w:szCs w:val="32"/>
          <w:highlight w:val="none"/>
          <w:lang w:val="en-US" w:eastAsia="zh-CN"/>
        </w:rPr>
        <w:t>满足</w:t>
      </w:r>
      <w:r>
        <w:rPr>
          <w:rStyle w:val="17"/>
          <w:rFonts w:hint="eastAsia" w:ascii="仿宋" w:hAnsi="仿宋" w:eastAsia="仿宋" w:cs="Times New Roman"/>
          <w:color w:val="auto"/>
          <w:sz w:val="32"/>
          <w:szCs w:val="32"/>
          <w:lang w:val="en-US" w:eastAsia="zh-CN"/>
        </w:rPr>
        <w:t>《工业企业厂界环境噪声排放标准》（GB12348-2008）中3类标准。</w:t>
      </w:r>
    </w:p>
    <w:p w14:paraId="4E4058F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color w:val="auto"/>
        </w:rPr>
      </w:pPr>
      <w:r>
        <w:rPr>
          <w:rStyle w:val="17"/>
          <w:rFonts w:hint="eastAsia" w:ascii="仿宋" w:hAnsi="仿宋" w:eastAsia="仿宋" w:cs="Times New Roman"/>
          <w:color w:val="auto"/>
          <w:sz w:val="32"/>
          <w:szCs w:val="32"/>
          <w:lang w:val="en-US" w:eastAsia="zh-CN"/>
        </w:rPr>
        <w:t>4、</w:t>
      </w:r>
      <w:r>
        <w:rPr>
          <w:rStyle w:val="17"/>
          <w:rFonts w:hint="eastAsia" w:ascii="仿宋" w:hAnsi="仿宋" w:eastAsia="仿宋" w:cs="Times New Roman"/>
          <w:color w:val="auto"/>
          <w:sz w:val="32"/>
          <w:szCs w:val="32"/>
          <w:lang w:val="en-US" w:eastAsia="zh-CN" w:bidi="ar-SA"/>
        </w:rPr>
        <w:t>固废污染防治措施。</w:t>
      </w:r>
      <w:r>
        <w:rPr>
          <w:rStyle w:val="17"/>
          <w:rFonts w:hint="eastAsia" w:ascii="仿宋" w:hAnsi="仿宋" w:eastAsia="仿宋" w:cs="Times New Roman"/>
          <w:color w:val="auto"/>
          <w:sz w:val="32"/>
          <w:szCs w:val="32"/>
          <w:lang w:val="en-US" w:eastAsia="zh-CN"/>
        </w:rPr>
        <w:t>妥善处置各类固体废弃物。建设单位须</w:t>
      </w:r>
      <w:r>
        <w:rPr>
          <w:rFonts w:hint="eastAsia" w:ascii="仿宋" w:hAnsi="仿宋" w:eastAsia="仿宋" w:cs="仿宋"/>
          <w:strike w:val="0"/>
          <w:dstrike w:val="0"/>
          <w:color w:val="auto"/>
          <w:kern w:val="0"/>
          <w:sz w:val="32"/>
          <w:szCs w:val="32"/>
          <w:lang w:val="en-US" w:eastAsia="zh-CN" w:bidi="ar-SA"/>
        </w:rPr>
        <w:t>严格按照《一般工业固体废物贮存和填埋污染控制标准》（GB18599-2020）处置一般固废，不得乱弃。危险废物</w:t>
      </w:r>
      <w:r>
        <w:rPr>
          <w:rStyle w:val="17"/>
          <w:rFonts w:hint="eastAsia" w:ascii="仿宋" w:hAnsi="仿宋" w:eastAsia="仿宋" w:cs="Times New Roman"/>
          <w:color w:val="auto"/>
          <w:sz w:val="32"/>
          <w:szCs w:val="32"/>
          <w:lang w:val="en-US" w:eastAsia="zh-CN"/>
        </w:rPr>
        <w:t>暂</w:t>
      </w:r>
      <w:r>
        <w:rPr>
          <w:rFonts w:hint="eastAsia" w:ascii="仿宋" w:hAnsi="仿宋" w:eastAsia="仿宋" w:cs="仿宋"/>
          <w:strike w:val="0"/>
          <w:dstrike w:val="0"/>
          <w:color w:val="auto"/>
          <w:kern w:val="0"/>
          <w:sz w:val="32"/>
          <w:szCs w:val="32"/>
          <w:lang w:val="en-US" w:eastAsia="zh-CN" w:bidi="ar-SA"/>
        </w:rPr>
        <w:t>存于</w:t>
      </w:r>
      <w:r>
        <w:rPr>
          <w:rFonts w:hint="default" w:ascii="仿宋" w:hAnsi="仿宋" w:eastAsia="仿宋" w:cs="仿宋"/>
          <w:strike w:val="0"/>
          <w:dstrike w:val="0"/>
          <w:color w:val="auto"/>
          <w:kern w:val="0"/>
          <w:sz w:val="32"/>
          <w:szCs w:val="32"/>
          <w:lang w:val="en-US" w:eastAsia="zh-CN" w:bidi="ar-SA"/>
        </w:rPr>
        <w:t>李家壕煤矿现有危废暂存库</w:t>
      </w:r>
      <w:r>
        <w:rPr>
          <w:rFonts w:hint="eastAsia" w:ascii="仿宋" w:hAnsi="仿宋" w:eastAsia="仿宋" w:cs="仿宋"/>
          <w:strike w:val="0"/>
          <w:dstrike w:val="0"/>
          <w:color w:val="auto"/>
          <w:kern w:val="0"/>
          <w:sz w:val="32"/>
          <w:szCs w:val="32"/>
          <w:lang w:val="en-US" w:eastAsia="zh-CN" w:bidi="ar-SA"/>
        </w:rPr>
        <w:t>，执行</w:t>
      </w:r>
      <w:r>
        <w:rPr>
          <w:rFonts w:hint="default" w:ascii="仿宋" w:hAnsi="仿宋" w:eastAsia="仿宋" w:cs="仿宋"/>
          <w:strike w:val="0"/>
          <w:dstrike w:val="0"/>
          <w:color w:val="auto"/>
          <w:kern w:val="0"/>
          <w:sz w:val="32"/>
          <w:szCs w:val="32"/>
          <w:lang w:val="en-US" w:eastAsia="zh-CN" w:bidi="ar-SA"/>
        </w:rPr>
        <w:t>《危险废物贮存污染控制标准》（GB18597-20</w:t>
      </w:r>
      <w:r>
        <w:rPr>
          <w:rFonts w:hint="eastAsia" w:ascii="仿宋" w:hAnsi="仿宋" w:eastAsia="仿宋" w:cs="仿宋"/>
          <w:strike w:val="0"/>
          <w:dstrike w:val="0"/>
          <w:color w:val="auto"/>
          <w:kern w:val="0"/>
          <w:sz w:val="32"/>
          <w:szCs w:val="32"/>
          <w:lang w:val="en-US" w:eastAsia="zh-CN" w:bidi="ar-SA"/>
        </w:rPr>
        <w:t>23</w:t>
      </w:r>
      <w:r>
        <w:rPr>
          <w:rFonts w:hint="default" w:ascii="仿宋" w:hAnsi="仿宋" w:eastAsia="仿宋" w:cs="仿宋"/>
          <w:strike w:val="0"/>
          <w:dstrike w:val="0"/>
          <w:color w:val="auto"/>
          <w:kern w:val="0"/>
          <w:sz w:val="32"/>
          <w:szCs w:val="32"/>
          <w:lang w:val="en-US" w:eastAsia="zh-CN" w:bidi="ar-SA"/>
        </w:rPr>
        <w:t>）。</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w:t>
      </w:r>
      <w:r>
        <w:rPr>
          <w:rFonts w:hint="eastAsia" w:ascii="仿宋" w:hAnsi="仿宋" w:eastAsia="仿宋" w:cs="仿宋"/>
          <w:color w:val="auto"/>
          <w:kern w:val="0"/>
          <w:sz w:val="32"/>
          <w:szCs w:val="32"/>
          <w:lang w:val="en-US" w:eastAsia="zh-CN" w:bidi="ar-SA"/>
        </w:rPr>
        <w:t>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14:paraId="7B4458EB">
      <w:pPr>
        <w:pStyle w:val="2"/>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14:paraId="5DF4FC6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6C3A393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9707A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lang w:val="en-US" w:eastAsia="zh-CN"/>
        </w:rPr>
        <w:t>五、</w:t>
      </w:r>
      <w:r>
        <w:rPr>
          <w:rStyle w:val="17"/>
          <w:rFonts w:hint="eastAsia" w:ascii="仿宋" w:hAnsi="仿宋" w:eastAsia="仿宋" w:cs="Times New Roman"/>
          <w:color w:val="auto"/>
          <w:sz w:val="32"/>
          <w:szCs w:val="32"/>
        </w:rPr>
        <w:t>该项目事中事后监管由鄂尔多斯市生态环境综合行政执法支队东胜区大队负责</w:t>
      </w:r>
      <w:r>
        <w:rPr>
          <w:rStyle w:val="17"/>
          <w:rFonts w:hint="eastAsia" w:ascii="仿宋" w:hAnsi="仿宋" w:eastAsia="仿宋" w:cs="Times New Roman"/>
          <w:color w:val="auto"/>
          <w:sz w:val="32"/>
          <w:szCs w:val="32"/>
          <w:lang w:eastAsia="zh-CN"/>
        </w:rPr>
        <w:t>。</w:t>
      </w:r>
    </w:p>
    <w:p w14:paraId="57EBD68E">
      <w:pPr>
        <w:pStyle w:val="2"/>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17" w:firstLineChars="193"/>
        <w:jc w:val="both"/>
        <w:rPr>
          <w:rStyle w:val="17"/>
          <w:rFonts w:hint="eastAsia" w:ascii="仿宋" w:hAnsi="仿宋" w:eastAsia="仿宋"/>
          <w:color w:val="auto"/>
          <w:sz w:val="32"/>
          <w:szCs w:val="32"/>
        </w:rPr>
      </w:pPr>
      <w:r>
        <w:rPr>
          <w:rStyle w:val="17"/>
          <w:rFonts w:hint="eastAsia" w:ascii="仿宋" w:hAnsi="仿宋" w:eastAsia="仿宋"/>
          <w:color w:val="auto"/>
          <w:sz w:val="32"/>
          <w:szCs w:val="32"/>
          <w:lang w:val="en-US" w:eastAsia="zh-CN"/>
        </w:rPr>
        <w:t>六、</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14:paraId="0ECFFD88">
      <w:pPr>
        <w:pStyle w:val="23"/>
        <w:keepNext w:val="0"/>
        <w:keepLines w:val="0"/>
        <w:pageBreakBefore w:val="0"/>
        <w:kinsoku/>
        <w:overflowPunct/>
        <w:topLinePunct w:val="0"/>
        <w:autoSpaceDE/>
        <w:autoSpaceDN/>
        <w:bidi w:val="0"/>
        <w:spacing w:line="560" w:lineRule="exact"/>
      </w:pPr>
    </w:p>
    <w:p w14:paraId="2481EEA2">
      <w:pPr>
        <w:pStyle w:val="23"/>
        <w:keepNext w:val="0"/>
        <w:keepLines w:val="0"/>
        <w:pageBreakBefore w:val="0"/>
        <w:kinsoku/>
        <w:overflowPunct/>
        <w:topLinePunct w:val="0"/>
        <w:autoSpaceDE/>
        <w:autoSpaceDN/>
        <w:bidi w:val="0"/>
        <w:spacing w:line="560" w:lineRule="exact"/>
      </w:pPr>
    </w:p>
    <w:p w14:paraId="3F79A853">
      <w:pPr>
        <w:keepNext w:val="0"/>
        <w:keepLines w:val="0"/>
        <w:pageBreakBefore w:val="0"/>
        <w:kinsoku/>
        <w:overflowPunct/>
        <w:topLinePunct w:val="0"/>
        <w:autoSpaceDE/>
        <w:autoSpaceDN/>
        <w:bidi w:val="0"/>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14:paraId="5121C89F">
      <w:pPr>
        <w:keepNext w:val="0"/>
        <w:keepLines w:val="0"/>
        <w:pageBreakBefore w:val="0"/>
        <w:kinsoku/>
        <w:overflowPunct/>
        <w:topLinePunct w:val="0"/>
        <w:autoSpaceDE/>
        <w:autoSpaceDN/>
        <w:bidi w:val="0"/>
        <w:spacing w:line="560" w:lineRule="exact"/>
        <w:ind w:firstLine="640" w:firstLineChars="200"/>
        <w:textAlignment w:val="auto"/>
        <w:rPr>
          <w:rStyle w:val="17"/>
          <w:rFonts w:ascii="仿宋" w:hAnsi="仿宋" w:eastAsia="仿宋"/>
          <w:color w:val="auto"/>
          <w:sz w:val="32"/>
          <w:szCs w:val="32"/>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9</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14:paraId="5812DB56">
      <w:pPr>
        <w:pStyle w:val="4"/>
      </w:pPr>
    </w:p>
    <w:p w14:paraId="3A65C1AF">
      <w:pPr>
        <w:pStyle w:val="29"/>
        <w:rPr>
          <w:color w:val="auto"/>
        </w:rPr>
      </w:pPr>
    </w:p>
    <w:p w14:paraId="5120D1AB">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5</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6</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9</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ECBD">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3392912">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13392912">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7E5F3BB7">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C1728">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974BC65">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4974BC65">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1606E851">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E597D">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N2E2MTRmYjM2NzM2N2YwMzQyOWU3MDQxMjhiZD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C823C4"/>
    <w:rsid w:val="00D2091F"/>
    <w:rsid w:val="00E42E5F"/>
    <w:rsid w:val="00E44AC0"/>
    <w:rsid w:val="00E82E40"/>
    <w:rsid w:val="00F5710E"/>
    <w:rsid w:val="00F634D8"/>
    <w:rsid w:val="00F7548A"/>
    <w:rsid w:val="00FA618D"/>
    <w:rsid w:val="01210341"/>
    <w:rsid w:val="01A52705"/>
    <w:rsid w:val="01AC556B"/>
    <w:rsid w:val="02AF383B"/>
    <w:rsid w:val="02DD4C33"/>
    <w:rsid w:val="02DD5B4F"/>
    <w:rsid w:val="02F3233D"/>
    <w:rsid w:val="0358144A"/>
    <w:rsid w:val="03A03DE5"/>
    <w:rsid w:val="03A05D81"/>
    <w:rsid w:val="03A96EC4"/>
    <w:rsid w:val="03C1757D"/>
    <w:rsid w:val="03F37592"/>
    <w:rsid w:val="03F963FB"/>
    <w:rsid w:val="042E1659"/>
    <w:rsid w:val="04363AE8"/>
    <w:rsid w:val="044E4F55"/>
    <w:rsid w:val="046E5030"/>
    <w:rsid w:val="0476323E"/>
    <w:rsid w:val="048A4438"/>
    <w:rsid w:val="048A4FCC"/>
    <w:rsid w:val="04916917"/>
    <w:rsid w:val="04F715EE"/>
    <w:rsid w:val="04F72C71"/>
    <w:rsid w:val="05337BE9"/>
    <w:rsid w:val="059A4722"/>
    <w:rsid w:val="05D94866"/>
    <w:rsid w:val="060A1C1B"/>
    <w:rsid w:val="06191689"/>
    <w:rsid w:val="06837FA5"/>
    <w:rsid w:val="06CA02D1"/>
    <w:rsid w:val="06CC5F39"/>
    <w:rsid w:val="06E35A8B"/>
    <w:rsid w:val="06F42603"/>
    <w:rsid w:val="06F55023"/>
    <w:rsid w:val="071479B9"/>
    <w:rsid w:val="075C516B"/>
    <w:rsid w:val="075E259A"/>
    <w:rsid w:val="075F5B44"/>
    <w:rsid w:val="07E24DC5"/>
    <w:rsid w:val="08660559"/>
    <w:rsid w:val="086C7AD9"/>
    <w:rsid w:val="088554D8"/>
    <w:rsid w:val="08A1120A"/>
    <w:rsid w:val="08AD4A87"/>
    <w:rsid w:val="08B1198F"/>
    <w:rsid w:val="08B1373D"/>
    <w:rsid w:val="08B51389"/>
    <w:rsid w:val="08CE2C2B"/>
    <w:rsid w:val="08D13872"/>
    <w:rsid w:val="08EA5D86"/>
    <w:rsid w:val="08FE4C90"/>
    <w:rsid w:val="090362EF"/>
    <w:rsid w:val="090866C9"/>
    <w:rsid w:val="097134F8"/>
    <w:rsid w:val="09734E97"/>
    <w:rsid w:val="098F5074"/>
    <w:rsid w:val="09B06929"/>
    <w:rsid w:val="0A3D33B0"/>
    <w:rsid w:val="0A5D0D80"/>
    <w:rsid w:val="0A667AEF"/>
    <w:rsid w:val="0A6D53BD"/>
    <w:rsid w:val="0A9A115F"/>
    <w:rsid w:val="0AA477AD"/>
    <w:rsid w:val="0B3643CE"/>
    <w:rsid w:val="0B6446A4"/>
    <w:rsid w:val="0BA55642"/>
    <w:rsid w:val="0BD72E57"/>
    <w:rsid w:val="0BDE1694"/>
    <w:rsid w:val="0C2B3A73"/>
    <w:rsid w:val="0C301322"/>
    <w:rsid w:val="0C5555BE"/>
    <w:rsid w:val="0CAF1FCC"/>
    <w:rsid w:val="0CB90E13"/>
    <w:rsid w:val="0CC65836"/>
    <w:rsid w:val="0CFC12E8"/>
    <w:rsid w:val="0D693F98"/>
    <w:rsid w:val="0D830185"/>
    <w:rsid w:val="0E104AB4"/>
    <w:rsid w:val="0E2F5220"/>
    <w:rsid w:val="0E364873"/>
    <w:rsid w:val="0E385A18"/>
    <w:rsid w:val="0E570138"/>
    <w:rsid w:val="0E9A33FF"/>
    <w:rsid w:val="0EAB162B"/>
    <w:rsid w:val="0EB72A51"/>
    <w:rsid w:val="0EC36AE6"/>
    <w:rsid w:val="0EF75580"/>
    <w:rsid w:val="0F1B51C5"/>
    <w:rsid w:val="0F7E2F3B"/>
    <w:rsid w:val="0F8B77A7"/>
    <w:rsid w:val="0FB279DE"/>
    <w:rsid w:val="0FD03B40"/>
    <w:rsid w:val="0FE8736A"/>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C14EC5"/>
    <w:rsid w:val="12C93B4E"/>
    <w:rsid w:val="12EA255A"/>
    <w:rsid w:val="13283777"/>
    <w:rsid w:val="13464D5E"/>
    <w:rsid w:val="1398649C"/>
    <w:rsid w:val="139A0B1F"/>
    <w:rsid w:val="13BE21AB"/>
    <w:rsid w:val="13C532EF"/>
    <w:rsid w:val="13FF3EF7"/>
    <w:rsid w:val="144C07C7"/>
    <w:rsid w:val="147A357D"/>
    <w:rsid w:val="15513EF0"/>
    <w:rsid w:val="1553781D"/>
    <w:rsid w:val="1562595D"/>
    <w:rsid w:val="15652C35"/>
    <w:rsid w:val="156D1455"/>
    <w:rsid w:val="15BF393E"/>
    <w:rsid w:val="15E91737"/>
    <w:rsid w:val="16015C16"/>
    <w:rsid w:val="16041455"/>
    <w:rsid w:val="16612C47"/>
    <w:rsid w:val="168C74C9"/>
    <w:rsid w:val="169F094B"/>
    <w:rsid w:val="16FF6904"/>
    <w:rsid w:val="171F5F2F"/>
    <w:rsid w:val="1747459A"/>
    <w:rsid w:val="177644D0"/>
    <w:rsid w:val="178F5508"/>
    <w:rsid w:val="17D90483"/>
    <w:rsid w:val="17E15C23"/>
    <w:rsid w:val="181C5F12"/>
    <w:rsid w:val="18207E93"/>
    <w:rsid w:val="18A37FC9"/>
    <w:rsid w:val="18AE27A5"/>
    <w:rsid w:val="18CC5434"/>
    <w:rsid w:val="18E54146"/>
    <w:rsid w:val="194505FE"/>
    <w:rsid w:val="19473B43"/>
    <w:rsid w:val="195E16BF"/>
    <w:rsid w:val="19AC1F9C"/>
    <w:rsid w:val="19AF63CD"/>
    <w:rsid w:val="19EA6791"/>
    <w:rsid w:val="19F825D9"/>
    <w:rsid w:val="1A3B555D"/>
    <w:rsid w:val="1A437161"/>
    <w:rsid w:val="1A6C6995"/>
    <w:rsid w:val="1A805ECF"/>
    <w:rsid w:val="1AFA27E4"/>
    <w:rsid w:val="1B1E2EB4"/>
    <w:rsid w:val="1BBA357C"/>
    <w:rsid w:val="1BBC5800"/>
    <w:rsid w:val="1BC31CAE"/>
    <w:rsid w:val="1BCD6688"/>
    <w:rsid w:val="1BD34CDC"/>
    <w:rsid w:val="1BDD6112"/>
    <w:rsid w:val="1BF630B5"/>
    <w:rsid w:val="1C0715F0"/>
    <w:rsid w:val="1C5D600F"/>
    <w:rsid w:val="1C5E37FE"/>
    <w:rsid w:val="1C5F17DC"/>
    <w:rsid w:val="1C680F45"/>
    <w:rsid w:val="1C6F7740"/>
    <w:rsid w:val="1C83767C"/>
    <w:rsid w:val="1C866676"/>
    <w:rsid w:val="1CA41BA5"/>
    <w:rsid w:val="1CCD7F32"/>
    <w:rsid w:val="1CE0100C"/>
    <w:rsid w:val="1D062C2C"/>
    <w:rsid w:val="1D0F0766"/>
    <w:rsid w:val="1D806FC0"/>
    <w:rsid w:val="1D8D2573"/>
    <w:rsid w:val="1DD85EE2"/>
    <w:rsid w:val="1E322AFA"/>
    <w:rsid w:val="1E39255D"/>
    <w:rsid w:val="1E565798"/>
    <w:rsid w:val="1E5B4E2F"/>
    <w:rsid w:val="1EB145A4"/>
    <w:rsid w:val="1EB26A2F"/>
    <w:rsid w:val="1EE44415"/>
    <w:rsid w:val="1F197ECC"/>
    <w:rsid w:val="1F9A03FC"/>
    <w:rsid w:val="1F9F4FD0"/>
    <w:rsid w:val="1FB13B43"/>
    <w:rsid w:val="1FE50445"/>
    <w:rsid w:val="1FFD3A90"/>
    <w:rsid w:val="203E5C2F"/>
    <w:rsid w:val="20723F75"/>
    <w:rsid w:val="208B0C0A"/>
    <w:rsid w:val="209F2E8C"/>
    <w:rsid w:val="20C94FCD"/>
    <w:rsid w:val="20CF0133"/>
    <w:rsid w:val="210D15FE"/>
    <w:rsid w:val="21500F9E"/>
    <w:rsid w:val="217D77E0"/>
    <w:rsid w:val="219B3761"/>
    <w:rsid w:val="21CB18BC"/>
    <w:rsid w:val="21EF70BE"/>
    <w:rsid w:val="220E66BC"/>
    <w:rsid w:val="2265588B"/>
    <w:rsid w:val="228C2292"/>
    <w:rsid w:val="23541649"/>
    <w:rsid w:val="235E3785"/>
    <w:rsid w:val="23921405"/>
    <w:rsid w:val="23C9100A"/>
    <w:rsid w:val="24421E65"/>
    <w:rsid w:val="24855506"/>
    <w:rsid w:val="24AA3A0B"/>
    <w:rsid w:val="24AC7783"/>
    <w:rsid w:val="24C456C6"/>
    <w:rsid w:val="24CB5BE2"/>
    <w:rsid w:val="24F868A6"/>
    <w:rsid w:val="25125EFC"/>
    <w:rsid w:val="25366867"/>
    <w:rsid w:val="2537664C"/>
    <w:rsid w:val="253C64B1"/>
    <w:rsid w:val="25544DEE"/>
    <w:rsid w:val="25733248"/>
    <w:rsid w:val="25777D91"/>
    <w:rsid w:val="259D1040"/>
    <w:rsid w:val="25A00331"/>
    <w:rsid w:val="25AA1BAB"/>
    <w:rsid w:val="25AF47C5"/>
    <w:rsid w:val="25D60BC4"/>
    <w:rsid w:val="25D873ED"/>
    <w:rsid w:val="25F75335"/>
    <w:rsid w:val="260007C3"/>
    <w:rsid w:val="260D5BC3"/>
    <w:rsid w:val="261325BB"/>
    <w:rsid w:val="26151A29"/>
    <w:rsid w:val="261C26E6"/>
    <w:rsid w:val="267000E4"/>
    <w:rsid w:val="267E514F"/>
    <w:rsid w:val="269E1BDF"/>
    <w:rsid w:val="26A81F94"/>
    <w:rsid w:val="26C86AE1"/>
    <w:rsid w:val="27063174"/>
    <w:rsid w:val="2745621A"/>
    <w:rsid w:val="274B306C"/>
    <w:rsid w:val="27D05ACD"/>
    <w:rsid w:val="27FF406E"/>
    <w:rsid w:val="28150F91"/>
    <w:rsid w:val="2838132E"/>
    <w:rsid w:val="288E0726"/>
    <w:rsid w:val="289A0EE5"/>
    <w:rsid w:val="28A2177B"/>
    <w:rsid w:val="28DA25CC"/>
    <w:rsid w:val="28E74139"/>
    <w:rsid w:val="28F811E9"/>
    <w:rsid w:val="2956242B"/>
    <w:rsid w:val="29625978"/>
    <w:rsid w:val="29BE7B24"/>
    <w:rsid w:val="29EC1002"/>
    <w:rsid w:val="2A0517FE"/>
    <w:rsid w:val="2A173A82"/>
    <w:rsid w:val="2A27019D"/>
    <w:rsid w:val="2A4A7282"/>
    <w:rsid w:val="2A77431C"/>
    <w:rsid w:val="2AB8571B"/>
    <w:rsid w:val="2ABD6442"/>
    <w:rsid w:val="2ACD268E"/>
    <w:rsid w:val="2AD6555A"/>
    <w:rsid w:val="2AF53CB3"/>
    <w:rsid w:val="2B496FAB"/>
    <w:rsid w:val="2B5F7DC4"/>
    <w:rsid w:val="2BD26C46"/>
    <w:rsid w:val="2BDE5B5E"/>
    <w:rsid w:val="2C245E51"/>
    <w:rsid w:val="2C3F708C"/>
    <w:rsid w:val="2C871D94"/>
    <w:rsid w:val="2CAE4D3A"/>
    <w:rsid w:val="2CE7407F"/>
    <w:rsid w:val="2CFB6C68"/>
    <w:rsid w:val="2D5C4C74"/>
    <w:rsid w:val="2D5F771D"/>
    <w:rsid w:val="2E1A5EC1"/>
    <w:rsid w:val="2E653EAF"/>
    <w:rsid w:val="2E6B1F05"/>
    <w:rsid w:val="2E78505A"/>
    <w:rsid w:val="2EA85B70"/>
    <w:rsid w:val="2EB60EB6"/>
    <w:rsid w:val="2EF21325"/>
    <w:rsid w:val="2F1876BA"/>
    <w:rsid w:val="2F837265"/>
    <w:rsid w:val="2F8C2E25"/>
    <w:rsid w:val="2F8E3C27"/>
    <w:rsid w:val="2FC328DF"/>
    <w:rsid w:val="2FE05822"/>
    <w:rsid w:val="2FEA3599"/>
    <w:rsid w:val="301223CD"/>
    <w:rsid w:val="30134659"/>
    <w:rsid w:val="30276045"/>
    <w:rsid w:val="30552879"/>
    <w:rsid w:val="3071536E"/>
    <w:rsid w:val="30CD0F38"/>
    <w:rsid w:val="30E12605"/>
    <w:rsid w:val="312C0E37"/>
    <w:rsid w:val="31451F91"/>
    <w:rsid w:val="3166710B"/>
    <w:rsid w:val="318908BB"/>
    <w:rsid w:val="31B97443"/>
    <w:rsid w:val="31E74361"/>
    <w:rsid w:val="322F75E5"/>
    <w:rsid w:val="3239406E"/>
    <w:rsid w:val="3245462B"/>
    <w:rsid w:val="32862408"/>
    <w:rsid w:val="32A41A78"/>
    <w:rsid w:val="33086177"/>
    <w:rsid w:val="332A6495"/>
    <w:rsid w:val="333016EF"/>
    <w:rsid w:val="33314FCC"/>
    <w:rsid w:val="334F543C"/>
    <w:rsid w:val="336710F2"/>
    <w:rsid w:val="336D70A5"/>
    <w:rsid w:val="33A76983"/>
    <w:rsid w:val="33CD0AF4"/>
    <w:rsid w:val="343D6FC0"/>
    <w:rsid w:val="34445631"/>
    <w:rsid w:val="34525876"/>
    <w:rsid w:val="346C54C4"/>
    <w:rsid w:val="34A6189E"/>
    <w:rsid w:val="3587701E"/>
    <w:rsid w:val="35B91D00"/>
    <w:rsid w:val="361479B3"/>
    <w:rsid w:val="362A341F"/>
    <w:rsid w:val="36C070BE"/>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883C0B"/>
    <w:rsid w:val="389B5401"/>
    <w:rsid w:val="38B32843"/>
    <w:rsid w:val="39625ABB"/>
    <w:rsid w:val="39750C1A"/>
    <w:rsid w:val="39815D3F"/>
    <w:rsid w:val="39C97754"/>
    <w:rsid w:val="39CB16C6"/>
    <w:rsid w:val="39CE6D77"/>
    <w:rsid w:val="39CF3432"/>
    <w:rsid w:val="3A102EB3"/>
    <w:rsid w:val="3A1559AB"/>
    <w:rsid w:val="3A1716A8"/>
    <w:rsid w:val="3A2C25BF"/>
    <w:rsid w:val="3A4100A2"/>
    <w:rsid w:val="3A420ECD"/>
    <w:rsid w:val="3A5C49B8"/>
    <w:rsid w:val="3A6F5040"/>
    <w:rsid w:val="3AEA62F0"/>
    <w:rsid w:val="3B164E12"/>
    <w:rsid w:val="3B433FA0"/>
    <w:rsid w:val="3B8024AE"/>
    <w:rsid w:val="3BCA2CB8"/>
    <w:rsid w:val="3C201861"/>
    <w:rsid w:val="3C2F408B"/>
    <w:rsid w:val="3C335C3C"/>
    <w:rsid w:val="3C351081"/>
    <w:rsid w:val="3C4F7E8A"/>
    <w:rsid w:val="3C545991"/>
    <w:rsid w:val="3C795E81"/>
    <w:rsid w:val="3C7F3B57"/>
    <w:rsid w:val="3C9C06C9"/>
    <w:rsid w:val="3CF212C3"/>
    <w:rsid w:val="3D0F5AAD"/>
    <w:rsid w:val="3D4E0D02"/>
    <w:rsid w:val="3D615C4A"/>
    <w:rsid w:val="3D9D29AC"/>
    <w:rsid w:val="3DD06792"/>
    <w:rsid w:val="3E6216DB"/>
    <w:rsid w:val="3E6D2368"/>
    <w:rsid w:val="3E8C50F6"/>
    <w:rsid w:val="3E9E6EFC"/>
    <w:rsid w:val="3EA147B7"/>
    <w:rsid w:val="3EAA1A98"/>
    <w:rsid w:val="3ED64314"/>
    <w:rsid w:val="3EDA3818"/>
    <w:rsid w:val="3EE46FFA"/>
    <w:rsid w:val="3EEF2E69"/>
    <w:rsid w:val="3F267EF6"/>
    <w:rsid w:val="3F544D41"/>
    <w:rsid w:val="3F7635AF"/>
    <w:rsid w:val="3F9A0185"/>
    <w:rsid w:val="3FEA64CB"/>
    <w:rsid w:val="3FF57D0C"/>
    <w:rsid w:val="3FFB782D"/>
    <w:rsid w:val="401A75E2"/>
    <w:rsid w:val="40333ECA"/>
    <w:rsid w:val="40A601F0"/>
    <w:rsid w:val="40B345F0"/>
    <w:rsid w:val="40BF08B4"/>
    <w:rsid w:val="410302D3"/>
    <w:rsid w:val="411D0018"/>
    <w:rsid w:val="4120781B"/>
    <w:rsid w:val="413328ED"/>
    <w:rsid w:val="41392B4A"/>
    <w:rsid w:val="413F1DCA"/>
    <w:rsid w:val="41BA73FE"/>
    <w:rsid w:val="41C31E09"/>
    <w:rsid w:val="41D47B54"/>
    <w:rsid w:val="42096DA4"/>
    <w:rsid w:val="42220C2D"/>
    <w:rsid w:val="42427E61"/>
    <w:rsid w:val="42571ED3"/>
    <w:rsid w:val="42A12AD7"/>
    <w:rsid w:val="42B31FAB"/>
    <w:rsid w:val="42C15BDB"/>
    <w:rsid w:val="431B4412"/>
    <w:rsid w:val="4331043E"/>
    <w:rsid w:val="4331172A"/>
    <w:rsid w:val="433E53DA"/>
    <w:rsid w:val="43452E25"/>
    <w:rsid w:val="439E58A0"/>
    <w:rsid w:val="43A85162"/>
    <w:rsid w:val="43B31C0B"/>
    <w:rsid w:val="43DA60A1"/>
    <w:rsid w:val="43E35A87"/>
    <w:rsid w:val="43EC55F4"/>
    <w:rsid w:val="4477148F"/>
    <w:rsid w:val="44947B97"/>
    <w:rsid w:val="44A75A3C"/>
    <w:rsid w:val="44B519AF"/>
    <w:rsid w:val="4502587E"/>
    <w:rsid w:val="45390767"/>
    <w:rsid w:val="4550160D"/>
    <w:rsid w:val="458429FA"/>
    <w:rsid w:val="46150F00"/>
    <w:rsid w:val="463C0677"/>
    <w:rsid w:val="46773189"/>
    <w:rsid w:val="467C4988"/>
    <w:rsid w:val="468D35B1"/>
    <w:rsid w:val="46B1257F"/>
    <w:rsid w:val="46C060ED"/>
    <w:rsid w:val="46CD3069"/>
    <w:rsid w:val="46DC7BF5"/>
    <w:rsid w:val="46EF6089"/>
    <w:rsid w:val="46F85ECC"/>
    <w:rsid w:val="47187FE4"/>
    <w:rsid w:val="4719630E"/>
    <w:rsid w:val="47310F34"/>
    <w:rsid w:val="47352FEC"/>
    <w:rsid w:val="47413DCB"/>
    <w:rsid w:val="47463708"/>
    <w:rsid w:val="477C5B9E"/>
    <w:rsid w:val="4780431E"/>
    <w:rsid w:val="479235C6"/>
    <w:rsid w:val="47A153A1"/>
    <w:rsid w:val="47A67C0A"/>
    <w:rsid w:val="481E12C4"/>
    <w:rsid w:val="482F22FC"/>
    <w:rsid w:val="483A153F"/>
    <w:rsid w:val="48714DBB"/>
    <w:rsid w:val="48DA5DBD"/>
    <w:rsid w:val="48FA020D"/>
    <w:rsid w:val="4910358D"/>
    <w:rsid w:val="49114E70"/>
    <w:rsid w:val="49540677"/>
    <w:rsid w:val="49926C6C"/>
    <w:rsid w:val="49AA4FB0"/>
    <w:rsid w:val="49DB78B5"/>
    <w:rsid w:val="49E97A04"/>
    <w:rsid w:val="49EA569C"/>
    <w:rsid w:val="49F05E94"/>
    <w:rsid w:val="49F31649"/>
    <w:rsid w:val="4A494A22"/>
    <w:rsid w:val="4A7C6CC7"/>
    <w:rsid w:val="4A911B79"/>
    <w:rsid w:val="4ADF223E"/>
    <w:rsid w:val="4AF07DCC"/>
    <w:rsid w:val="4B257F2E"/>
    <w:rsid w:val="4B620F05"/>
    <w:rsid w:val="4BA42C32"/>
    <w:rsid w:val="4BAD0F90"/>
    <w:rsid w:val="4BDB440C"/>
    <w:rsid w:val="4C2274BE"/>
    <w:rsid w:val="4CD95DD7"/>
    <w:rsid w:val="4D377F90"/>
    <w:rsid w:val="4D743394"/>
    <w:rsid w:val="4D7C0517"/>
    <w:rsid w:val="4DD86D52"/>
    <w:rsid w:val="4DDE7B5E"/>
    <w:rsid w:val="4E062159"/>
    <w:rsid w:val="4E2E44B5"/>
    <w:rsid w:val="4E543FF1"/>
    <w:rsid w:val="4EC56144"/>
    <w:rsid w:val="4EF83441"/>
    <w:rsid w:val="4F044A24"/>
    <w:rsid w:val="4F0B6B33"/>
    <w:rsid w:val="4F2B1F6E"/>
    <w:rsid w:val="4F4437F3"/>
    <w:rsid w:val="4F94752D"/>
    <w:rsid w:val="4F9668DE"/>
    <w:rsid w:val="4FD91C66"/>
    <w:rsid w:val="4FDF1ADA"/>
    <w:rsid w:val="4FE651D4"/>
    <w:rsid w:val="501660DD"/>
    <w:rsid w:val="505F24B0"/>
    <w:rsid w:val="50681DDC"/>
    <w:rsid w:val="507026E4"/>
    <w:rsid w:val="50A15512"/>
    <w:rsid w:val="50C61171"/>
    <w:rsid w:val="51167CDE"/>
    <w:rsid w:val="51324DA9"/>
    <w:rsid w:val="513D358E"/>
    <w:rsid w:val="51873803"/>
    <w:rsid w:val="51AD2147"/>
    <w:rsid w:val="51D501ED"/>
    <w:rsid w:val="522D7F16"/>
    <w:rsid w:val="523952D8"/>
    <w:rsid w:val="523B2FBD"/>
    <w:rsid w:val="52400F9E"/>
    <w:rsid w:val="52473BB8"/>
    <w:rsid w:val="528154FB"/>
    <w:rsid w:val="5288313B"/>
    <w:rsid w:val="52D27DE3"/>
    <w:rsid w:val="52F33045"/>
    <w:rsid w:val="531F408E"/>
    <w:rsid w:val="53406525"/>
    <w:rsid w:val="534B5C0F"/>
    <w:rsid w:val="53E44017"/>
    <w:rsid w:val="5432323D"/>
    <w:rsid w:val="54331B24"/>
    <w:rsid w:val="54501629"/>
    <w:rsid w:val="54583460"/>
    <w:rsid w:val="54686A39"/>
    <w:rsid w:val="54E641C3"/>
    <w:rsid w:val="54EC6DF6"/>
    <w:rsid w:val="54F16F78"/>
    <w:rsid w:val="55215714"/>
    <w:rsid w:val="554D7806"/>
    <w:rsid w:val="55515659"/>
    <w:rsid w:val="557B4977"/>
    <w:rsid w:val="55876BE5"/>
    <w:rsid w:val="55991C39"/>
    <w:rsid w:val="559A5ACA"/>
    <w:rsid w:val="55A94050"/>
    <w:rsid w:val="55C20305"/>
    <w:rsid w:val="55CA36B6"/>
    <w:rsid w:val="56653C93"/>
    <w:rsid w:val="567F5F3C"/>
    <w:rsid w:val="56CE6410"/>
    <w:rsid w:val="56DB6AC7"/>
    <w:rsid w:val="56DF16DC"/>
    <w:rsid w:val="57146010"/>
    <w:rsid w:val="57184CF1"/>
    <w:rsid w:val="57780B5F"/>
    <w:rsid w:val="57792C45"/>
    <w:rsid w:val="57B96494"/>
    <w:rsid w:val="57DD76E9"/>
    <w:rsid w:val="57FC658A"/>
    <w:rsid w:val="57FD5624"/>
    <w:rsid w:val="57FE5FE5"/>
    <w:rsid w:val="586A1F97"/>
    <w:rsid w:val="589C6ECF"/>
    <w:rsid w:val="58BE07CA"/>
    <w:rsid w:val="58F641DB"/>
    <w:rsid w:val="595639C1"/>
    <w:rsid w:val="59597413"/>
    <w:rsid w:val="59BA4CD4"/>
    <w:rsid w:val="59EE5797"/>
    <w:rsid w:val="5A4968FF"/>
    <w:rsid w:val="5AC272A3"/>
    <w:rsid w:val="5B0A7672"/>
    <w:rsid w:val="5B224350"/>
    <w:rsid w:val="5B307B0A"/>
    <w:rsid w:val="5B557E8F"/>
    <w:rsid w:val="5BB1110B"/>
    <w:rsid w:val="5C2B7BE1"/>
    <w:rsid w:val="5C621337"/>
    <w:rsid w:val="5C7F01BD"/>
    <w:rsid w:val="5D096819"/>
    <w:rsid w:val="5D6C33D5"/>
    <w:rsid w:val="5DA25547"/>
    <w:rsid w:val="5DC5227C"/>
    <w:rsid w:val="5DD32B36"/>
    <w:rsid w:val="5DEC6C8E"/>
    <w:rsid w:val="5DF951D1"/>
    <w:rsid w:val="5DFA4819"/>
    <w:rsid w:val="5EFB79A1"/>
    <w:rsid w:val="5F160B36"/>
    <w:rsid w:val="5F2142EE"/>
    <w:rsid w:val="5F2A616C"/>
    <w:rsid w:val="5F3C052E"/>
    <w:rsid w:val="5F6C71D0"/>
    <w:rsid w:val="5F785148"/>
    <w:rsid w:val="5FA8049F"/>
    <w:rsid w:val="5FC04A97"/>
    <w:rsid w:val="5FE94B7D"/>
    <w:rsid w:val="5FF2718E"/>
    <w:rsid w:val="5FFF4EA8"/>
    <w:rsid w:val="602B2726"/>
    <w:rsid w:val="60417BB4"/>
    <w:rsid w:val="60B2650C"/>
    <w:rsid w:val="611D40E2"/>
    <w:rsid w:val="614462DE"/>
    <w:rsid w:val="61970898"/>
    <w:rsid w:val="61B516C4"/>
    <w:rsid w:val="61DE1268"/>
    <w:rsid w:val="61EF4764"/>
    <w:rsid w:val="621C6FEF"/>
    <w:rsid w:val="625904A9"/>
    <w:rsid w:val="62A64AED"/>
    <w:rsid w:val="62BE2B8C"/>
    <w:rsid w:val="63100901"/>
    <w:rsid w:val="632D32DF"/>
    <w:rsid w:val="636B778B"/>
    <w:rsid w:val="63713FBD"/>
    <w:rsid w:val="63950102"/>
    <w:rsid w:val="641D5FD9"/>
    <w:rsid w:val="643E149E"/>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5E7BD6"/>
    <w:rsid w:val="668D09A2"/>
    <w:rsid w:val="669764AC"/>
    <w:rsid w:val="66D55C0F"/>
    <w:rsid w:val="6722587D"/>
    <w:rsid w:val="672A40B7"/>
    <w:rsid w:val="673F6454"/>
    <w:rsid w:val="6746660F"/>
    <w:rsid w:val="6749451C"/>
    <w:rsid w:val="674A4227"/>
    <w:rsid w:val="679300D6"/>
    <w:rsid w:val="67F03BF2"/>
    <w:rsid w:val="684478D1"/>
    <w:rsid w:val="686109FC"/>
    <w:rsid w:val="686801CC"/>
    <w:rsid w:val="688C32E6"/>
    <w:rsid w:val="68D84C26"/>
    <w:rsid w:val="69127129"/>
    <w:rsid w:val="691D5B26"/>
    <w:rsid w:val="694A3F4B"/>
    <w:rsid w:val="694D466A"/>
    <w:rsid w:val="695143FB"/>
    <w:rsid w:val="698A3A01"/>
    <w:rsid w:val="698D0D6B"/>
    <w:rsid w:val="699E02E9"/>
    <w:rsid w:val="69E6116E"/>
    <w:rsid w:val="6A051C1C"/>
    <w:rsid w:val="6A461941"/>
    <w:rsid w:val="6AA33CF1"/>
    <w:rsid w:val="6AAE5669"/>
    <w:rsid w:val="6ABD1719"/>
    <w:rsid w:val="6ACC25CE"/>
    <w:rsid w:val="6B275374"/>
    <w:rsid w:val="6BEB28AD"/>
    <w:rsid w:val="6C1D1BAE"/>
    <w:rsid w:val="6C32108A"/>
    <w:rsid w:val="6C495CD7"/>
    <w:rsid w:val="6C6C7186"/>
    <w:rsid w:val="6C71153E"/>
    <w:rsid w:val="6C9340D0"/>
    <w:rsid w:val="6CA67BC0"/>
    <w:rsid w:val="6CE10EDA"/>
    <w:rsid w:val="6D4F01B3"/>
    <w:rsid w:val="6D9B0E92"/>
    <w:rsid w:val="6DC319FF"/>
    <w:rsid w:val="6E1844B8"/>
    <w:rsid w:val="6E541954"/>
    <w:rsid w:val="6E6D5C0E"/>
    <w:rsid w:val="6E7C3113"/>
    <w:rsid w:val="6EA67FA2"/>
    <w:rsid w:val="6F957251"/>
    <w:rsid w:val="6FE729EA"/>
    <w:rsid w:val="70484BFD"/>
    <w:rsid w:val="70921C55"/>
    <w:rsid w:val="71283ECD"/>
    <w:rsid w:val="713D11CB"/>
    <w:rsid w:val="71467BE4"/>
    <w:rsid w:val="7147364E"/>
    <w:rsid w:val="71502437"/>
    <w:rsid w:val="71E362C3"/>
    <w:rsid w:val="7219039A"/>
    <w:rsid w:val="731775B6"/>
    <w:rsid w:val="734E2D80"/>
    <w:rsid w:val="73BA11B9"/>
    <w:rsid w:val="73D60472"/>
    <w:rsid w:val="73EF1E6D"/>
    <w:rsid w:val="73F53D48"/>
    <w:rsid w:val="7496752E"/>
    <w:rsid w:val="755B54D7"/>
    <w:rsid w:val="75765328"/>
    <w:rsid w:val="75A177EE"/>
    <w:rsid w:val="75D86CD4"/>
    <w:rsid w:val="760E7139"/>
    <w:rsid w:val="76420C5D"/>
    <w:rsid w:val="76496AA8"/>
    <w:rsid w:val="76745CA5"/>
    <w:rsid w:val="768559AF"/>
    <w:rsid w:val="76A05F87"/>
    <w:rsid w:val="76A730E4"/>
    <w:rsid w:val="76E77774"/>
    <w:rsid w:val="76F33AE6"/>
    <w:rsid w:val="76F41191"/>
    <w:rsid w:val="779352B4"/>
    <w:rsid w:val="77A411C1"/>
    <w:rsid w:val="77C011B5"/>
    <w:rsid w:val="77DF2692"/>
    <w:rsid w:val="77E65FB7"/>
    <w:rsid w:val="77EC1D59"/>
    <w:rsid w:val="781F64BC"/>
    <w:rsid w:val="783E6571"/>
    <w:rsid w:val="78502F65"/>
    <w:rsid w:val="786E6C4A"/>
    <w:rsid w:val="789D2BB8"/>
    <w:rsid w:val="78DB6555"/>
    <w:rsid w:val="78E415BF"/>
    <w:rsid w:val="78FD20DF"/>
    <w:rsid w:val="790E03C0"/>
    <w:rsid w:val="794D77BB"/>
    <w:rsid w:val="795654B4"/>
    <w:rsid w:val="798B42E3"/>
    <w:rsid w:val="79C70F30"/>
    <w:rsid w:val="79C97495"/>
    <w:rsid w:val="79E24199"/>
    <w:rsid w:val="7A281851"/>
    <w:rsid w:val="7A550F13"/>
    <w:rsid w:val="7A773BB5"/>
    <w:rsid w:val="7AD20151"/>
    <w:rsid w:val="7B345817"/>
    <w:rsid w:val="7B5D3DBD"/>
    <w:rsid w:val="7B62786A"/>
    <w:rsid w:val="7B823CE1"/>
    <w:rsid w:val="7BAD7F79"/>
    <w:rsid w:val="7BE82E7A"/>
    <w:rsid w:val="7C047330"/>
    <w:rsid w:val="7C134B67"/>
    <w:rsid w:val="7C1A0DC0"/>
    <w:rsid w:val="7C614B37"/>
    <w:rsid w:val="7CE039CF"/>
    <w:rsid w:val="7CE24C65"/>
    <w:rsid w:val="7D54267F"/>
    <w:rsid w:val="7D7C739E"/>
    <w:rsid w:val="7DBD5F66"/>
    <w:rsid w:val="7DC17EA6"/>
    <w:rsid w:val="7E0D5B2C"/>
    <w:rsid w:val="7E2115B9"/>
    <w:rsid w:val="7E7F66A4"/>
    <w:rsid w:val="7EA72D17"/>
    <w:rsid w:val="7EE04C7B"/>
    <w:rsid w:val="7F277A16"/>
    <w:rsid w:val="7F2F2002"/>
    <w:rsid w:val="7F930498"/>
    <w:rsid w:val="7F9B72B8"/>
    <w:rsid w:val="7FCC5758"/>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next w:val="1"/>
    <w:qFormat/>
    <w:uiPriority w:val="0"/>
    <w:pPr>
      <w:jc w:val="left"/>
    </w:pPr>
  </w:style>
  <w:style w:type="paragraph" w:styleId="6">
    <w:name w:val="Body Text"/>
    <w:basedOn w:val="1"/>
    <w:next w:val="7"/>
    <w:link w:val="25"/>
    <w:qFormat/>
    <w:uiPriority w:val="99"/>
    <w:pPr>
      <w:spacing w:after="120"/>
    </w:pPr>
    <w:rPr>
      <w:rFonts w:ascii="Calibri" w:hAnsi="Calibri"/>
      <w:szCs w:val="22"/>
    </w:rPr>
  </w:style>
  <w:style w:type="paragraph" w:customStyle="1" w:styleId="7">
    <w:name w:val="xl27"/>
    <w:basedOn w:val="1"/>
    <w:next w:val="5"/>
    <w:qFormat/>
    <w:uiPriority w:val="0"/>
    <w:pPr>
      <w:widowControl/>
      <w:spacing w:before="280" w:after="280"/>
      <w:jc w:val="center"/>
    </w:pPr>
    <w:rPr>
      <w:rFonts w:hAnsi="宋体" w:cs="宋体"/>
    </w:rPr>
  </w:style>
  <w:style w:type="paragraph" w:styleId="8">
    <w:name w:val="Date"/>
    <w:basedOn w:val="1"/>
    <w:next w:val="1"/>
    <w:link w:val="26"/>
    <w:qFormat/>
    <w:uiPriority w:val="99"/>
    <w:pPr>
      <w:ind w:left="100" w:leftChars="2500"/>
    </w:pPr>
  </w:style>
  <w:style w:type="paragraph" w:styleId="9">
    <w:name w:val="Body Text Indent 2"/>
    <w:basedOn w:val="1"/>
    <w:qFormat/>
    <w:uiPriority w:val="0"/>
    <w:pPr>
      <w:spacing w:after="120" w:line="480" w:lineRule="auto"/>
      <w:ind w:left="420" w:leftChars="200"/>
    </w:pPr>
    <w:rPr>
      <w:rFonts w:ascii="宋体" w:hAnsi="宋体"/>
      <w:color w:val="000000"/>
      <w:sz w:val="28"/>
      <w:szCs w:val="28"/>
    </w:rPr>
  </w:style>
  <w:style w:type="paragraph" w:styleId="10">
    <w:name w:val="footer"/>
    <w:basedOn w:val="1"/>
    <w:link w:val="27"/>
    <w:qFormat/>
    <w:uiPriority w:val="99"/>
    <w:pPr>
      <w:tabs>
        <w:tab w:val="center" w:pos="4153"/>
        <w:tab w:val="right" w:pos="8306"/>
      </w:tabs>
      <w:snapToGrid w:val="0"/>
      <w:jc w:val="left"/>
    </w:pPr>
    <w:rPr>
      <w:sz w:val="18"/>
    </w:rPr>
  </w:style>
  <w:style w:type="paragraph" w:styleId="11">
    <w:name w:val="header"/>
    <w:basedOn w:val="1"/>
    <w:link w:val="28"/>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6"/>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Default"/>
    <w:basedOn w:val="20"/>
    <w:next w:val="21"/>
    <w:qFormat/>
    <w:uiPriority w:val="0"/>
    <w:pPr>
      <w:adjustRightInd w:val="0"/>
    </w:pPr>
    <w:rPr>
      <w:rFonts w:ascii="宋体" w:cs="宋体"/>
      <w:color w:val="000000"/>
      <w:sz w:val="24"/>
      <w:lang w:val="en-US"/>
    </w:rPr>
  </w:style>
  <w:style w:type="paragraph" w:customStyle="1" w:styleId="20">
    <w:name w:val="文本"/>
    <w:basedOn w:val="1"/>
    <w:next w:val="1"/>
    <w:qFormat/>
    <w:uiPriority w:val="0"/>
    <w:pPr>
      <w:autoSpaceDE w:val="0"/>
      <w:autoSpaceDN w:val="0"/>
      <w:ind w:firstLine="480"/>
    </w:pPr>
    <w:rPr>
      <w:lang w:val="zh-CN"/>
    </w:rPr>
  </w:style>
  <w:style w:type="paragraph" w:customStyle="1" w:styleId="21">
    <w:name w:val="表格文字"/>
    <w:basedOn w:val="6"/>
    <w:next w:val="1"/>
    <w:qFormat/>
    <w:uiPriority w:val="0"/>
    <w:pPr>
      <w:jc w:val="center"/>
    </w:pPr>
    <w:rPr>
      <w:rFonts w:ascii="Arial Narrow" w:hAnsi="Arial Narrow" w:eastAsia="汉鼎简书宋"/>
    </w:rPr>
  </w:style>
  <w:style w:type="paragraph" w:customStyle="1" w:styleId="22">
    <w:name w:val="正文首行缩进 21"/>
    <w:basedOn w:val="3"/>
    <w:next w:val="1"/>
    <w:qFormat/>
    <w:uiPriority w:val="0"/>
    <w:pPr>
      <w:spacing w:afterLines="0"/>
      <w:ind w:left="420" w:firstLine="420" w:firstLineChars="200"/>
    </w:pPr>
    <w:rPr>
      <w:lang w:eastAsia="zh-CN" w:bidi="ar-SA"/>
    </w:rPr>
  </w:style>
  <w:style w:type="paragraph" w:customStyle="1" w:styleId="23">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4">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5">
    <w:name w:val="正文文本 Char"/>
    <w:basedOn w:val="15"/>
    <w:link w:val="6"/>
    <w:semiHidden/>
    <w:qFormat/>
    <w:uiPriority w:val="99"/>
    <w:rPr>
      <w:color w:val="000000"/>
      <w:kern w:val="0"/>
      <w:szCs w:val="20"/>
    </w:rPr>
  </w:style>
  <w:style w:type="character" w:customStyle="1" w:styleId="26">
    <w:name w:val="日期 Char"/>
    <w:basedOn w:val="15"/>
    <w:link w:val="8"/>
    <w:semiHidden/>
    <w:qFormat/>
    <w:uiPriority w:val="99"/>
    <w:rPr>
      <w:color w:val="000000"/>
      <w:kern w:val="0"/>
      <w:szCs w:val="20"/>
    </w:rPr>
  </w:style>
  <w:style w:type="character" w:customStyle="1" w:styleId="27">
    <w:name w:val="页脚 Char"/>
    <w:basedOn w:val="17"/>
    <w:link w:val="10"/>
    <w:qFormat/>
    <w:locked/>
    <w:uiPriority w:val="99"/>
    <w:rPr>
      <w:rFonts w:cs="Times New Roman"/>
      <w:color w:val="000000"/>
      <w:sz w:val="18"/>
    </w:rPr>
  </w:style>
  <w:style w:type="character" w:customStyle="1" w:styleId="28">
    <w:name w:val="页眉 Char"/>
    <w:basedOn w:val="17"/>
    <w:link w:val="11"/>
    <w:qFormat/>
    <w:locked/>
    <w:uiPriority w:val="99"/>
    <w:rPr>
      <w:rFonts w:cs="Times New Roman"/>
      <w:color w:val="000000"/>
      <w:sz w:val="18"/>
      <w:szCs w:val="18"/>
    </w:rPr>
  </w:style>
  <w:style w:type="paragraph" w:customStyle="1" w:styleId="29">
    <w:name w:val="BodyText"/>
    <w:basedOn w:val="1"/>
    <w:qFormat/>
    <w:uiPriority w:val="99"/>
    <w:pPr>
      <w:spacing w:after="120"/>
    </w:pPr>
    <w:rPr>
      <w:rFonts w:ascii="Calibri" w:hAnsi="Calibri"/>
      <w:szCs w:val="22"/>
    </w:rPr>
  </w:style>
  <w:style w:type="table" w:customStyle="1" w:styleId="30">
    <w:name w:val="TableNormal"/>
    <w:semiHidden/>
    <w:qFormat/>
    <w:uiPriority w:val="99"/>
    <w:tblPr>
      <w:tblCellMar>
        <w:top w:w="0" w:type="dxa"/>
        <w:left w:w="0" w:type="dxa"/>
        <w:bottom w:w="0" w:type="dxa"/>
        <w:right w:w="0" w:type="dxa"/>
      </w:tblCellMar>
    </w:tblPr>
  </w:style>
  <w:style w:type="character" w:customStyle="1" w:styleId="31">
    <w:name w:val="UserStyle_0"/>
    <w:basedOn w:val="17"/>
    <w:qFormat/>
    <w:uiPriority w:val="99"/>
    <w:rPr>
      <w:rFonts w:ascii="Times New Roman" w:eastAsia="宋体" w:cs="Times New Roman"/>
      <w:color w:val="0000FF"/>
      <w:sz w:val="21"/>
      <w:u w:val="single"/>
      <w:lang w:val="en-US" w:eastAsia="zh-CN"/>
    </w:rPr>
  </w:style>
  <w:style w:type="character" w:customStyle="1" w:styleId="32">
    <w:name w:val="AnnotationReference"/>
    <w:qFormat/>
    <w:uiPriority w:val="99"/>
    <w:rPr>
      <w:sz w:val="21"/>
    </w:rPr>
  </w:style>
  <w:style w:type="character" w:customStyle="1" w:styleId="33">
    <w:name w:val="UserStyle_2"/>
    <w:basedOn w:val="17"/>
    <w:qFormat/>
    <w:uiPriority w:val="99"/>
    <w:rPr>
      <w:rFonts w:ascii="Times New Roman" w:eastAsia="宋体" w:cs="Times New Roman"/>
      <w:color w:val="0000FF"/>
      <w:sz w:val="21"/>
      <w:u w:val="single"/>
      <w:lang w:val="en-US" w:eastAsia="zh-CN"/>
    </w:rPr>
  </w:style>
  <w:style w:type="character" w:customStyle="1" w:styleId="34">
    <w:name w:val="UserStyle_3"/>
    <w:semiHidden/>
    <w:qFormat/>
    <w:uiPriority w:val="99"/>
    <w:rPr>
      <w:rFonts w:ascii="Times New Roman" w:hAnsi="Times New Roman" w:eastAsia="宋体"/>
      <w:kern w:val="2"/>
      <w:sz w:val="21"/>
      <w:lang w:val="en-US" w:eastAsia="zh-CN"/>
    </w:rPr>
  </w:style>
  <w:style w:type="paragraph" w:customStyle="1" w:styleId="35">
    <w:name w:val="UserStyle_5"/>
    <w:basedOn w:val="1"/>
    <w:next w:val="36"/>
    <w:qFormat/>
    <w:uiPriority w:val="99"/>
    <w:pPr>
      <w:spacing w:before="566" w:after="544" w:line="566" w:lineRule="atLeast"/>
      <w:jc w:val="center"/>
    </w:pPr>
    <w:rPr>
      <w:rFonts w:ascii="Arial" w:eastAsia="黑体"/>
      <w:sz w:val="54"/>
    </w:rPr>
  </w:style>
  <w:style w:type="paragraph" w:customStyle="1" w:styleId="36">
    <w:name w:val="UserStyle_6"/>
    <w:basedOn w:val="1"/>
    <w:next w:val="37"/>
    <w:qFormat/>
    <w:uiPriority w:val="99"/>
    <w:pPr>
      <w:spacing w:before="187" w:after="175" w:line="374" w:lineRule="atLeast"/>
      <w:jc w:val="center"/>
    </w:pPr>
    <w:rPr>
      <w:sz w:val="36"/>
    </w:rPr>
  </w:style>
  <w:style w:type="paragraph" w:customStyle="1" w:styleId="37">
    <w:name w:val="UserStyle_16"/>
    <w:basedOn w:val="1"/>
    <w:next w:val="38"/>
    <w:qFormat/>
    <w:uiPriority w:val="99"/>
    <w:pPr>
      <w:spacing w:before="158" w:after="153" w:line="323" w:lineRule="atLeast"/>
      <w:jc w:val="center"/>
    </w:pPr>
    <w:rPr>
      <w:rFonts w:ascii="Arial" w:eastAsia="黑体"/>
      <w:sz w:val="31"/>
    </w:rPr>
  </w:style>
  <w:style w:type="paragraph" w:customStyle="1" w:styleId="38">
    <w:name w:val="UserStyle_10"/>
    <w:basedOn w:val="1"/>
    <w:next w:val="39"/>
    <w:qFormat/>
    <w:uiPriority w:val="99"/>
    <w:pPr>
      <w:spacing w:line="289" w:lineRule="atLeast"/>
      <w:jc w:val="center"/>
    </w:pPr>
    <w:rPr>
      <w:sz w:val="28"/>
    </w:rPr>
  </w:style>
  <w:style w:type="paragraph" w:customStyle="1" w:styleId="39">
    <w:name w:val="UserStyle_11"/>
    <w:basedOn w:val="1"/>
    <w:next w:val="1"/>
    <w:qFormat/>
    <w:uiPriority w:val="99"/>
    <w:pPr>
      <w:spacing w:before="175" w:after="102" w:line="351" w:lineRule="atLeast"/>
    </w:pPr>
    <w:rPr>
      <w:rFonts w:eastAsia="黑体"/>
    </w:rPr>
  </w:style>
  <w:style w:type="paragraph" w:customStyle="1" w:styleId="40">
    <w:name w:val="UserStyle_7"/>
    <w:basedOn w:val="1"/>
    <w:next w:val="1"/>
    <w:qFormat/>
    <w:uiPriority w:val="99"/>
    <w:pPr>
      <w:tabs>
        <w:tab w:val="left" w:leader="dot" w:pos="8503"/>
      </w:tabs>
      <w:spacing w:line="317" w:lineRule="atLeast"/>
      <w:ind w:firstLine="629"/>
    </w:pPr>
  </w:style>
  <w:style w:type="paragraph" w:customStyle="1" w:styleId="41">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2">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3">
    <w:name w:val="UserStyle_9"/>
    <w:basedOn w:val="1"/>
    <w:next w:val="1"/>
    <w:qFormat/>
    <w:uiPriority w:val="99"/>
    <w:pPr>
      <w:tabs>
        <w:tab w:val="left" w:leader="dot" w:pos="8503"/>
      </w:tabs>
      <w:spacing w:line="317" w:lineRule="atLeast"/>
      <w:ind w:firstLine="419"/>
    </w:pPr>
  </w:style>
  <w:style w:type="paragraph" w:customStyle="1" w:styleId="44">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5">
    <w:name w:val="UserStyle_13"/>
    <w:basedOn w:val="1"/>
    <w:qFormat/>
    <w:uiPriority w:val="99"/>
    <w:pPr>
      <w:spacing w:line="240" w:lineRule="auto"/>
      <w:textAlignment w:val="auto"/>
    </w:pPr>
    <w:rPr>
      <w:sz w:val="32"/>
      <w:szCs w:val="32"/>
    </w:rPr>
  </w:style>
  <w:style w:type="paragraph" w:customStyle="1" w:styleId="46">
    <w:name w:val="UserStyle_14"/>
    <w:basedOn w:val="1"/>
    <w:qFormat/>
    <w:uiPriority w:val="99"/>
    <w:pPr>
      <w:spacing w:line="600" w:lineRule="atLeast"/>
      <w:jc w:val="center"/>
      <w:textAlignment w:val="auto"/>
    </w:pPr>
    <w:rPr>
      <w:rFonts w:ascii="Arial" w:hAnsi="Arial"/>
      <w:sz w:val="24"/>
      <w:szCs w:val="24"/>
    </w:rPr>
  </w:style>
  <w:style w:type="paragraph" w:customStyle="1" w:styleId="47">
    <w:name w:val="UserStyle_15"/>
    <w:basedOn w:val="1"/>
    <w:next w:val="1"/>
    <w:qFormat/>
    <w:uiPriority w:val="99"/>
    <w:pPr>
      <w:tabs>
        <w:tab w:val="left" w:leader="dot" w:pos="8503"/>
      </w:tabs>
      <w:spacing w:line="317" w:lineRule="atLeast"/>
      <w:ind w:firstLine="209"/>
    </w:pPr>
  </w:style>
  <w:style w:type="paragraph" w:customStyle="1" w:styleId="48">
    <w:name w:val="UserStyle_17"/>
    <w:basedOn w:val="1"/>
    <w:qFormat/>
    <w:uiPriority w:val="99"/>
    <w:pPr>
      <w:spacing w:line="480" w:lineRule="exact"/>
      <w:ind w:firstLine="420" w:firstLineChars="200"/>
      <w:textAlignment w:val="auto"/>
    </w:pPr>
    <w:rPr>
      <w:kern w:val="2"/>
      <w:sz w:val="24"/>
      <w:szCs w:val="24"/>
    </w:rPr>
  </w:style>
  <w:style w:type="table" w:customStyle="1" w:styleId="49">
    <w:name w:val="TableGrid"/>
    <w:basedOn w:val="30"/>
    <w:qFormat/>
    <w:uiPriority w:val="99"/>
    <w:tblPr>
      <w:tblCellMar>
        <w:top w:w="0" w:type="dxa"/>
        <w:left w:w="0" w:type="dxa"/>
        <w:bottom w:w="0" w:type="dxa"/>
        <w:right w:w="0" w:type="dxa"/>
      </w:tblCellMar>
    </w:tblPr>
  </w:style>
  <w:style w:type="paragraph" w:customStyle="1" w:styleId="50">
    <w:name w:val="BodyTextIndent"/>
    <w:basedOn w:val="1"/>
    <w:qFormat/>
    <w:uiPriority w:val="99"/>
    <w:pPr>
      <w:spacing w:after="120"/>
      <w:ind w:left="420" w:leftChars="200"/>
    </w:pPr>
  </w:style>
  <w:style w:type="paragraph" w:customStyle="1" w:styleId="51">
    <w:name w:val="BodyText1I2"/>
    <w:basedOn w:val="50"/>
    <w:qFormat/>
    <w:uiPriority w:val="99"/>
    <w:pPr>
      <w:ind w:firstLine="420" w:firstLineChars="200"/>
    </w:pPr>
  </w:style>
  <w:style w:type="paragraph" w:customStyle="1" w:styleId="52">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3">
    <w:name w:val="Table Paragraph"/>
    <w:basedOn w:val="1"/>
    <w:qFormat/>
    <w:uiPriority w:val="1"/>
  </w:style>
  <w:style w:type="table" w:customStyle="1" w:styleId="54">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1749</Words>
  <Characters>1854</Characters>
  <Lines>10</Lines>
  <Paragraphs>3</Paragraphs>
  <TotalTime>302</TotalTime>
  <ScaleCrop>false</ScaleCrop>
  <LinksUpToDate>false</LinksUpToDate>
  <CharactersWithSpaces>1996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2020-09-03T08:09:00Z</cp:lastPrinted>
  <dcterms:modified xsi:type="dcterms:W3CDTF">2025-06-09T03:02:35Z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F11612DAA9734F169ACC9B518AB4EA47_13</vt:lpwstr>
  </property>
  <property fmtid="{D5CDD505-2E9C-101B-9397-08002B2CF9AE}" pid="4" name="KSOTemplateDocerSaveRecord">
    <vt:lpwstr>eyJoZGlkIjoiM2VkNTk1MmVhODkwYTdlM2UzNDI2NDIyNmU0MzQwNDkiLCJ1c2VySWQiOiIzMzQyNjE5NjcifQ==</vt:lpwstr>
  </property>
</Properties>
</file>