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5"/>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李家壕煤矿二号回风立井项目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内蒙古自治区鄂尔多斯市东胜区罕台镇查干布拉格村李家壕煤矿</w:t>
            </w:r>
          </w:p>
        </w:tc>
        <w:tc>
          <w:tcPr>
            <w:tcW w:w="465" w:type="dxa"/>
            <w:vAlign w:val="center"/>
          </w:tcPr>
          <w:p w14:paraId="53AF499B">
            <w:pPr>
              <w:spacing w:line="600" w:lineRule="exact"/>
              <w:jc w:val="center"/>
              <w:rPr>
                <w:rFonts w:hint="eastAsia" w:ascii="Times New Roman" w:hAnsi="Times New Roman" w:eastAsia="宋体" w:cs="Times New Roman"/>
                <w:szCs w:val="22"/>
              </w:rPr>
            </w:pPr>
            <w:r>
              <w:rPr>
                <w:rFonts w:hint="eastAsia" w:ascii="Times New Roman" w:hAnsi="Times New Roman" w:eastAsia="宋体" w:cs="Times New Roman"/>
                <w:szCs w:val="22"/>
              </w:rPr>
              <w:t>国能包头能源有限责任公司</w:t>
            </w:r>
          </w:p>
          <w:p w14:paraId="25BCC080">
            <w:pPr>
              <w:spacing w:line="600" w:lineRule="exact"/>
              <w:jc w:val="center"/>
              <w:rPr>
                <w:color w:val="000000"/>
                <w:szCs w:val="21"/>
              </w:rPr>
            </w:pPr>
            <w:r>
              <w:rPr>
                <w:rFonts w:hint="eastAsia" w:ascii="Times New Roman" w:hAnsi="Times New Roman" w:eastAsia="宋体" w:cs="Times New Roman"/>
                <w:szCs w:val="22"/>
              </w:rPr>
              <w:t>李家壕煤矿</w:t>
            </w:r>
          </w:p>
        </w:tc>
        <w:tc>
          <w:tcPr>
            <w:tcW w:w="675" w:type="dxa"/>
            <w:vAlign w:val="center"/>
          </w:tcPr>
          <w:p w14:paraId="5D04F640">
            <w:pPr>
              <w:spacing w:line="600" w:lineRule="exact"/>
              <w:jc w:val="center"/>
              <w:rPr>
                <w:color w:val="000000"/>
                <w:szCs w:val="21"/>
              </w:rPr>
            </w:pPr>
            <w:r>
              <w:rPr>
                <w:rFonts w:hint="eastAsia"/>
                <w:color w:val="000000"/>
                <w:szCs w:val="21"/>
              </w:rPr>
              <w:fldChar w:fldCharType="begin"/>
            </w:r>
            <w:r>
              <w:rPr>
                <w:rFonts w:hint="eastAsia"/>
                <w:color w:val="000000"/>
                <w:szCs w:val="21"/>
              </w:rPr>
              <w:instrText xml:space="preserve"> HYPERLINK "javascript:viewHomeCompanyInfoView('1900203946769660296')" </w:instrText>
            </w:r>
            <w:r>
              <w:rPr>
                <w:rFonts w:hint="eastAsia"/>
                <w:color w:val="000000"/>
                <w:szCs w:val="21"/>
              </w:rPr>
              <w:fldChar w:fldCharType="separate"/>
            </w:r>
            <w:r>
              <w:rPr>
                <w:rFonts w:hint="eastAsia"/>
                <w:color w:val="000000"/>
                <w:szCs w:val="21"/>
              </w:rPr>
              <w:t>内蒙古钜捷环保科技有限公司</w:t>
            </w:r>
            <w:r>
              <w:rPr>
                <w:rFonts w:hint="eastAsia"/>
                <w:color w:val="000000"/>
                <w:szCs w:val="21"/>
              </w:rPr>
              <w:fldChar w:fldCharType="end"/>
            </w:r>
          </w:p>
        </w:tc>
        <w:tc>
          <w:tcPr>
            <w:tcW w:w="2555" w:type="dxa"/>
            <w:vAlign w:val="center"/>
          </w:tcPr>
          <w:p w14:paraId="1644BF54">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建项目，</w:t>
            </w:r>
            <w:r>
              <w:rPr>
                <w:rFonts w:hint="eastAsia"/>
                <w:color w:val="000000"/>
                <w:szCs w:val="21"/>
                <w:lang w:val="en-US" w:eastAsia="zh-CN"/>
              </w:rPr>
              <w:t>位于东胜区罕台镇查干布拉格村李家壕煤矿。项目总</w:t>
            </w:r>
            <w:r>
              <w:rPr>
                <w:rFonts w:hint="eastAsia"/>
                <w:color w:val="000000"/>
                <w:szCs w:val="21"/>
                <w:lang w:eastAsia="zh-CN"/>
              </w:rPr>
              <w:t>占地面</w:t>
            </w:r>
            <w:r>
              <w:rPr>
                <w:rFonts w:hint="eastAsia"/>
                <w:color w:val="000000"/>
                <w:szCs w:val="21"/>
                <w:lang w:val="en-US" w:eastAsia="zh-CN"/>
              </w:rPr>
              <w:t>积10771平方</w:t>
            </w:r>
            <w:r>
              <w:rPr>
                <w:rFonts w:hint="eastAsia"/>
                <w:color w:val="000000"/>
                <w:szCs w:val="21"/>
                <w:lang w:eastAsia="zh-CN"/>
              </w:rPr>
              <w:t>米，</w:t>
            </w:r>
            <w:r>
              <w:rPr>
                <w:rFonts w:hint="default"/>
                <w:color w:val="000000"/>
                <w:szCs w:val="21"/>
              </w:rPr>
              <w:t>总投</w:t>
            </w:r>
            <w:r>
              <w:rPr>
                <w:rFonts w:hint="default"/>
                <w:color w:val="000000"/>
                <w:szCs w:val="21"/>
                <w:lang w:val="en-US" w:eastAsia="zh-CN"/>
              </w:rPr>
              <w:t>资</w:t>
            </w:r>
            <w:r>
              <w:rPr>
                <w:rFonts w:hint="eastAsia"/>
                <w:color w:val="000000"/>
                <w:szCs w:val="21"/>
                <w:lang w:val="en-US" w:eastAsia="zh-CN"/>
              </w:rPr>
              <w:t>6000万</w:t>
            </w:r>
            <w:r>
              <w:rPr>
                <w:rFonts w:hint="default"/>
                <w:color w:val="000000"/>
                <w:szCs w:val="21"/>
                <w:lang w:eastAsia="zh-CN"/>
              </w:rPr>
              <w:t>元</w:t>
            </w:r>
            <w:r>
              <w:rPr>
                <w:rFonts w:hint="default"/>
                <w:color w:val="000000"/>
                <w:szCs w:val="21"/>
              </w:rPr>
              <w:t>，</w:t>
            </w:r>
            <w:r>
              <w:rPr>
                <w:rFonts w:hint="eastAsia"/>
                <w:color w:val="000000"/>
                <w:szCs w:val="21"/>
                <w:lang w:eastAsia="zh-CN"/>
              </w:rPr>
              <w:t>其中</w:t>
            </w:r>
            <w:r>
              <w:rPr>
                <w:rFonts w:hint="default"/>
                <w:color w:val="000000"/>
                <w:szCs w:val="21"/>
              </w:rPr>
              <w:t>环保</w:t>
            </w:r>
            <w:r>
              <w:rPr>
                <w:rFonts w:hint="default"/>
                <w:color w:val="000000"/>
                <w:szCs w:val="21"/>
                <w:lang w:eastAsia="zh-CN"/>
              </w:rPr>
              <w:t>投资</w:t>
            </w:r>
            <w:r>
              <w:rPr>
                <w:rFonts w:hint="eastAsia"/>
                <w:color w:val="000000"/>
                <w:szCs w:val="21"/>
                <w:lang w:val="en-US" w:eastAsia="zh-CN"/>
              </w:rPr>
              <w:t>79.1万元</w:t>
            </w:r>
            <w:r>
              <w:rPr>
                <w:rFonts w:hint="eastAsia"/>
                <w:color w:val="000000"/>
                <w:szCs w:val="21"/>
                <w:lang w:eastAsia="zh-CN"/>
              </w:rPr>
              <w:t>。主要建设内容及规模：</w:t>
            </w:r>
            <w:r>
              <w:rPr>
                <w:rFonts w:hint="eastAsia"/>
                <w:color w:val="000000"/>
                <w:szCs w:val="21"/>
                <w:lang w:val="en-US" w:eastAsia="zh-CN"/>
              </w:rPr>
              <w:t>新建1座风井场地，主要</w:t>
            </w:r>
            <w:r>
              <w:rPr>
                <w:rFonts w:hint="default"/>
                <w:color w:val="000000"/>
                <w:szCs w:val="21"/>
              </w:rPr>
              <w:t>包括</w:t>
            </w:r>
            <w:r>
              <w:rPr>
                <w:rFonts w:hint="eastAsia"/>
                <w:color w:val="000000"/>
                <w:szCs w:val="21"/>
                <w:lang w:val="en-US" w:eastAsia="zh-CN"/>
              </w:rPr>
              <w:t>1座进风立井、1座回风立井</w:t>
            </w:r>
            <w:r>
              <w:rPr>
                <w:rFonts w:hint="default"/>
                <w:color w:val="000000"/>
                <w:szCs w:val="21"/>
              </w:rPr>
              <w:t>及配套</w:t>
            </w:r>
            <w:r>
              <w:rPr>
                <w:rFonts w:hint="eastAsia"/>
                <w:color w:val="000000"/>
                <w:szCs w:val="21"/>
                <w:lang w:val="en-US" w:eastAsia="zh-CN"/>
              </w:rPr>
              <w:t>的公辅工程和环保工程。进风立井和回风立井</w:t>
            </w:r>
            <w:r>
              <w:rPr>
                <w:rFonts w:hint="eastAsia"/>
                <w:color w:val="000000"/>
                <w:szCs w:val="21"/>
                <w:lang w:eastAsia="zh-CN"/>
              </w:rPr>
              <w:t>井筒净直径</w:t>
            </w:r>
            <w:r>
              <w:rPr>
                <w:rFonts w:hint="eastAsia"/>
                <w:color w:val="000000"/>
                <w:szCs w:val="21"/>
                <w:lang w:val="en-US" w:eastAsia="zh-CN"/>
              </w:rPr>
              <w:t>均5</w:t>
            </w:r>
            <w:r>
              <w:rPr>
                <w:rFonts w:hint="eastAsia"/>
                <w:color w:val="000000"/>
                <w:szCs w:val="21"/>
              </w:rPr>
              <w:t>.</w:t>
            </w:r>
            <w:r>
              <w:rPr>
                <w:rFonts w:hint="eastAsia"/>
                <w:color w:val="000000"/>
                <w:szCs w:val="21"/>
                <w:lang w:val="en-US" w:eastAsia="zh-CN"/>
              </w:rPr>
              <w:t>0米</w:t>
            </w:r>
            <w:r>
              <w:rPr>
                <w:rFonts w:hint="eastAsia"/>
                <w:color w:val="000000"/>
                <w:szCs w:val="21"/>
                <w:lang w:eastAsia="zh-CN"/>
              </w:rPr>
              <w:t>，净断面</w:t>
            </w:r>
            <w:r>
              <w:rPr>
                <w:rFonts w:hint="eastAsia"/>
                <w:color w:val="000000"/>
                <w:szCs w:val="21"/>
                <w:lang w:val="en-US" w:eastAsia="zh-CN"/>
              </w:rPr>
              <w:t>均19.6平方</w:t>
            </w:r>
            <w:r>
              <w:rPr>
                <w:rFonts w:hint="eastAsia"/>
                <w:color w:val="000000"/>
                <w:szCs w:val="21"/>
                <w:lang w:eastAsia="zh-CN"/>
              </w:rPr>
              <w:t>米，井筒垂深</w:t>
            </w:r>
            <w:r>
              <w:rPr>
                <w:rFonts w:hint="eastAsia"/>
                <w:color w:val="000000"/>
                <w:szCs w:val="21"/>
                <w:lang w:val="en-US" w:eastAsia="zh-CN"/>
              </w:rPr>
              <w:t>均</w:t>
            </w:r>
            <w:r>
              <w:rPr>
                <w:rFonts w:hint="eastAsia"/>
                <w:color w:val="000000"/>
                <w:szCs w:val="21"/>
                <w:lang w:eastAsia="zh-CN"/>
              </w:rPr>
              <w:t>约300</w:t>
            </w:r>
            <w:r>
              <w:rPr>
                <w:rFonts w:hint="eastAsia"/>
                <w:color w:val="000000"/>
                <w:szCs w:val="21"/>
                <w:lang w:val="en-US" w:eastAsia="zh-CN"/>
              </w:rPr>
              <w:t>米</w:t>
            </w:r>
            <w:r>
              <w:rPr>
                <w:rFonts w:hint="eastAsia"/>
                <w:color w:val="000000"/>
                <w:szCs w:val="21"/>
                <w:lang w:eastAsia="zh-CN"/>
              </w:rPr>
              <w:t>，</w:t>
            </w:r>
            <w:r>
              <w:rPr>
                <w:rFonts w:hint="eastAsia"/>
                <w:color w:val="000000"/>
                <w:szCs w:val="21"/>
                <w:lang w:val="en-US" w:eastAsia="zh-CN"/>
              </w:rPr>
              <w:t>建成后进风立井担负矿井各煤组南翼盘区进风任务，回风立井担负矿井各煤组南翼盘区回风任务兼做安全出口。</w:t>
            </w:r>
          </w:p>
        </w:tc>
        <w:tc>
          <w:tcPr>
            <w:tcW w:w="4877" w:type="dxa"/>
            <w:vAlign w:val="center"/>
          </w:tcPr>
          <w:p w14:paraId="700209C8">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9E4FE72">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593A69BF">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2959761C">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60E428A5">
            <w:pPr>
              <w:spacing w:line="360" w:lineRule="auto"/>
              <w:jc w:val="left"/>
              <w:rPr>
                <w:rFonts w:hint="eastAsia"/>
                <w:color w:val="000000"/>
                <w:szCs w:val="21"/>
                <w:lang w:eastAsia="zh-CN"/>
              </w:rPr>
            </w:pPr>
            <w:r>
              <w:rPr>
                <w:rFonts w:hint="eastAsia"/>
                <w:color w:val="000000"/>
                <w:szCs w:val="21"/>
                <w:lang w:val="en-US" w:eastAsia="zh-CN"/>
              </w:rPr>
              <w:t>2、施工人员生活污水经</w:t>
            </w:r>
            <w:r>
              <w:rPr>
                <w:rFonts w:hint="eastAsia"/>
                <w:color w:val="000000"/>
                <w:szCs w:val="21"/>
              </w:rPr>
              <w:t>临时化粪池</w:t>
            </w:r>
            <w:r>
              <w:rPr>
                <w:rFonts w:hint="eastAsia"/>
                <w:color w:val="000000"/>
                <w:szCs w:val="21"/>
                <w:lang w:val="en-US" w:eastAsia="zh-CN"/>
              </w:rPr>
              <w:t>沉淀后运至李家壕煤矿</w:t>
            </w:r>
            <w:r>
              <w:rPr>
                <w:rFonts w:hint="eastAsia"/>
                <w:color w:val="000000"/>
                <w:szCs w:val="21"/>
              </w:rPr>
              <w:t>生活污水处理站处理</w:t>
            </w:r>
            <w:r>
              <w:rPr>
                <w:rFonts w:hint="eastAsia"/>
                <w:color w:val="000000"/>
                <w:szCs w:val="21"/>
                <w:lang w:eastAsia="zh-CN"/>
              </w:rPr>
              <w:t>。</w:t>
            </w:r>
          </w:p>
          <w:p w14:paraId="48903182">
            <w:pPr>
              <w:spacing w:line="360" w:lineRule="auto"/>
              <w:jc w:val="left"/>
              <w:rPr>
                <w:rFonts w:hint="eastAsia"/>
                <w:color w:val="000000"/>
                <w:szCs w:val="21"/>
                <w:lang w:val="en-US" w:eastAsia="zh-CN"/>
              </w:rPr>
            </w:pPr>
            <w:r>
              <w:rPr>
                <w:rFonts w:hint="eastAsia"/>
                <w:color w:val="000000"/>
                <w:szCs w:val="21"/>
                <w:lang w:val="en-US" w:eastAsia="zh-CN"/>
              </w:rPr>
              <w:t>3、选用低噪声</w:t>
            </w:r>
            <w:bookmarkStart w:id="0" w:name="_GoBack"/>
            <w:bookmarkEnd w:id="0"/>
            <w:r>
              <w:rPr>
                <w:rFonts w:hint="eastAsia"/>
                <w:color w:val="000000"/>
                <w:szCs w:val="21"/>
                <w:lang w:val="en-US" w:eastAsia="zh-CN"/>
              </w:rPr>
              <w:t>施工设备，合理安排作业时间，避免夜间施工，控制车辆时速。施工期噪声执行《建筑施工场界环境噪声排放标准》（GB12523-2011）。</w:t>
            </w:r>
          </w:p>
          <w:p w14:paraId="12048F8A">
            <w:pPr>
              <w:spacing w:line="360" w:lineRule="auto"/>
              <w:jc w:val="left"/>
              <w:rPr>
                <w:rFonts w:hint="eastAsia"/>
                <w:color w:val="000000"/>
                <w:szCs w:val="21"/>
                <w:lang w:val="en-US" w:eastAsia="zh-CN"/>
              </w:rPr>
            </w:pPr>
            <w:r>
              <w:rPr>
                <w:rFonts w:hint="eastAsia"/>
                <w:color w:val="000000"/>
                <w:szCs w:val="21"/>
                <w:lang w:val="en-US" w:eastAsia="zh-CN"/>
              </w:rPr>
              <w:t>4、生活垃圾集中收集在垃圾箱，定期交由环卫部门统一处置。</w:t>
            </w:r>
          </w:p>
          <w:p w14:paraId="2B55991A">
            <w:pPr>
              <w:spacing w:line="360" w:lineRule="auto"/>
              <w:jc w:val="left"/>
              <w:rPr>
                <w:rFonts w:hint="eastAsia"/>
                <w:color w:val="000000"/>
                <w:szCs w:val="21"/>
              </w:rPr>
            </w:pPr>
            <w:r>
              <w:rPr>
                <w:rFonts w:hint="eastAsia"/>
                <w:color w:val="000000"/>
                <w:szCs w:val="21"/>
                <w:lang w:val="en-US" w:eastAsia="zh-CN"/>
              </w:rPr>
              <w:t xml:space="preserve">5、土石方开挖过程中应严格按照设计要求施工，尽可能缩小施工活动范围，减少裸露土地面积和扬尘。挖方过程中表土方与弃土方分开放置，弃土用于场地平整回填，表土用于绿化覆土。掘井过程中产生的煤和半煤岩送至李家壕煤矿配套的洗煤厂进行综合利用；掘井过程中产生的矸石送至鄂尔多斯市金通矿业有限公司利用煤矸石复垦露天采坑项目进行处理。施工结束后须尽快对临时占地和周边区域进行生态植被恢复，防止水土流失。    </w:t>
            </w:r>
          </w:p>
          <w:p w14:paraId="493C4FCE">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49674489">
            <w:pPr>
              <w:spacing w:line="360" w:lineRule="auto"/>
              <w:jc w:val="left"/>
              <w:rPr>
                <w:rFonts w:hint="eastAsia"/>
                <w:color w:val="000000"/>
                <w:szCs w:val="21"/>
                <w:lang w:val="en-US" w:eastAsia="zh-CN"/>
              </w:rPr>
            </w:pPr>
            <w:r>
              <w:rPr>
                <w:rFonts w:hint="eastAsia"/>
                <w:color w:val="000000"/>
                <w:szCs w:val="21"/>
                <w:lang w:val="en-US" w:eastAsia="zh-CN"/>
              </w:rPr>
              <w:t>1、大气污染防治措施。运营期对井下煤尘易积存点设置喷雾洒水装置并定期进行清扫冲洗，无组织粉尘排放执行《煤炭工业污染物排放标准》（GB20426-2006）表5煤炭工业无组织排放限值。</w:t>
            </w:r>
          </w:p>
          <w:p w14:paraId="0F435DDF">
            <w:pPr>
              <w:spacing w:line="360" w:lineRule="auto"/>
              <w:jc w:val="left"/>
              <w:rPr>
                <w:rFonts w:hint="eastAsia"/>
                <w:color w:val="000000"/>
                <w:szCs w:val="21"/>
                <w:lang w:val="en-US" w:eastAsia="zh-CN"/>
              </w:rPr>
            </w:pPr>
            <w:r>
              <w:rPr>
                <w:rFonts w:hint="eastAsia"/>
                <w:color w:val="000000"/>
                <w:szCs w:val="21"/>
                <w:lang w:val="en-US" w:eastAsia="zh-CN"/>
              </w:rPr>
              <w:t>2、水污染防治措施。运营期乏风取热设施冲洗废水经收集后进入废水收集池，最终送至李家壕煤矿矿井水处理站处理。运营期不新增生活污水。</w:t>
            </w:r>
          </w:p>
          <w:p w14:paraId="081814A1">
            <w:pPr>
              <w:spacing w:line="360" w:lineRule="auto"/>
              <w:jc w:val="left"/>
              <w:rPr>
                <w:rFonts w:hint="eastAsia"/>
                <w:color w:val="000000"/>
                <w:szCs w:val="21"/>
                <w:lang w:val="en-US" w:eastAsia="zh-CN"/>
              </w:rPr>
            </w:pPr>
            <w:r>
              <w:rPr>
                <w:rFonts w:hint="eastAsia"/>
                <w:color w:val="000000"/>
                <w:szCs w:val="21"/>
                <w:lang w:val="en-US" w:eastAsia="zh-CN"/>
              </w:rPr>
              <w:t>3、噪声污染防治措施。通过采取选用低噪声设备和基础减振等措施，确保</w:t>
            </w:r>
            <w:r>
              <w:rPr>
                <w:rFonts w:hint="eastAsia"/>
                <w:color w:val="000000"/>
                <w:szCs w:val="21"/>
              </w:rPr>
              <w:t>运营期厂界噪声</w:t>
            </w:r>
            <w:r>
              <w:rPr>
                <w:rFonts w:hint="eastAsia"/>
                <w:color w:val="000000"/>
                <w:szCs w:val="21"/>
                <w:lang w:val="en-US" w:eastAsia="zh-CN"/>
              </w:rPr>
              <w:t>满足《工业企业厂界环境噪声排放标准》（GB12348-2008）中3类标准。</w:t>
            </w:r>
          </w:p>
          <w:p w14:paraId="028C3019">
            <w:pPr>
              <w:spacing w:line="360" w:lineRule="auto"/>
              <w:jc w:val="left"/>
              <w:rPr>
                <w:rFonts w:hint="eastAsia"/>
                <w:color w:val="000000"/>
                <w:szCs w:val="21"/>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危险废物暂存于李家壕煤矿现有危废暂存库，执行《危险废物贮存污染控制标准》（GB18597-2023）。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非正常情况下泄露的危险废物及冲洗水进入废液池中，收集后交由有资质单位处置。</w:t>
            </w:r>
          </w:p>
          <w:p w14:paraId="209061E8">
            <w:pPr>
              <w:spacing w:line="360" w:lineRule="auto"/>
              <w:jc w:val="left"/>
              <w:rPr>
                <w:rFonts w:hint="eastAsia"/>
                <w:color w:val="000000"/>
                <w:szCs w:val="21"/>
                <w:lang w:val="en-US" w:eastAsia="zh-CN"/>
              </w:rPr>
            </w:pPr>
            <w:r>
              <w:rPr>
                <w:rFonts w:hint="eastAsia"/>
                <w:color w:val="000000"/>
                <w:szCs w:val="21"/>
                <w:lang w:val="en-US" w:eastAsia="zh-CN"/>
              </w:rPr>
              <w:t>5、强化环境风险防范，制定突发环境事件应急预案，落实环境风险事故防范措施，提高事故风险防范和污染控制能力。</w:t>
            </w:r>
          </w:p>
          <w:p w14:paraId="36EC322F">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03678C8B">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4495CA">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3E062DA7"/>
    <w:rsid w:val="43DC2BDE"/>
    <w:rsid w:val="497150DD"/>
    <w:rsid w:val="4A7E49A9"/>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djustRightInd w:val="0"/>
    </w:pPr>
    <w:rPr>
      <w:rFonts w:ascii="宋体" w:cs="宋体"/>
      <w:color w:val="000000"/>
      <w:sz w:val="24"/>
      <w:lang w:val="en-US"/>
    </w:rPr>
  </w:style>
  <w:style w:type="paragraph" w:customStyle="1" w:styleId="3">
    <w:name w:val="文本"/>
    <w:basedOn w:val="1"/>
    <w:next w:val="1"/>
    <w:qFormat/>
    <w:uiPriority w:val="0"/>
    <w:pPr>
      <w:autoSpaceDE w:val="0"/>
      <w:autoSpaceDN w:val="0"/>
      <w:ind w:firstLine="480"/>
    </w:pPr>
    <w:rPr>
      <w:lang w:val="zh-CN"/>
    </w:rPr>
  </w:style>
  <w:style w:type="paragraph" w:customStyle="1" w:styleId="4">
    <w:name w:val="表格文字"/>
    <w:basedOn w:val="5"/>
    <w:next w:val="1"/>
    <w:qFormat/>
    <w:uiPriority w:val="0"/>
    <w:pPr>
      <w:jc w:val="center"/>
    </w:pPr>
    <w:rPr>
      <w:rFonts w:ascii="Arial Narrow" w:hAnsi="Arial Narrow" w:eastAsia="汉鼎简书宋"/>
    </w:rPr>
  </w:style>
  <w:style w:type="paragraph" w:styleId="5">
    <w:name w:val="Body Text"/>
    <w:basedOn w:val="1"/>
    <w:next w:val="6"/>
    <w:qFormat/>
    <w:uiPriority w:val="99"/>
    <w:pPr>
      <w:spacing w:after="120"/>
    </w:pPr>
    <w:rPr>
      <w:rFonts w:ascii="Calibri" w:hAnsi="Calibri"/>
      <w:szCs w:val="22"/>
    </w:rPr>
  </w:style>
  <w:style w:type="paragraph" w:customStyle="1" w:styleId="6">
    <w:name w:val="xl27"/>
    <w:basedOn w:val="1"/>
    <w:next w:val="7"/>
    <w:qFormat/>
    <w:uiPriority w:val="0"/>
    <w:pPr>
      <w:widowControl/>
      <w:spacing w:before="280" w:after="280"/>
      <w:jc w:val="center"/>
    </w:pPr>
    <w:rPr>
      <w:rFonts w:hAnsi="宋体" w:cs="宋体"/>
    </w:rPr>
  </w:style>
  <w:style w:type="paragraph" w:styleId="7">
    <w:name w:val="annotation text"/>
    <w:basedOn w:val="1"/>
    <w:next w:val="1"/>
    <w:qFormat/>
    <w:uiPriority w:val="0"/>
    <w:pPr>
      <w:jc w:val="left"/>
    </w:pPr>
  </w:style>
  <w:style w:type="paragraph" w:styleId="8">
    <w:name w:val="Normal Indent"/>
    <w:basedOn w:val="1"/>
    <w:next w:val="9"/>
    <w:autoRedefine/>
    <w:semiHidden/>
    <w:unhideWhenUsed/>
    <w:qFormat/>
    <w:uiPriority w:val="99"/>
    <w:pPr>
      <w:ind w:firstLine="420" w:firstLineChars="200"/>
    </w:pPr>
  </w:style>
  <w:style w:type="paragraph" w:styleId="9">
    <w:name w:val="Body Text First Indent 2"/>
    <w:basedOn w:val="10"/>
    <w:next w:val="1"/>
    <w:qFormat/>
    <w:uiPriority w:val="99"/>
    <w:pPr>
      <w:spacing w:line="240" w:lineRule="auto"/>
      <w:ind w:firstLine="420"/>
    </w:pPr>
  </w:style>
  <w:style w:type="paragraph" w:styleId="10">
    <w:name w:val="Body Text Indent"/>
    <w:basedOn w:val="1"/>
    <w:qFormat/>
    <w:uiPriority w:val="99"/>
    <w:pPr>
      <w:ind w:left="420" w:leftChars="200"/>
    </w:pPr>
  </w:style>
  <w:style w:type="paragraph" w:styleId="11">
    <w:name w:val="footer"/>
    <w:basedOn w:val="1"/>
    <w:link w:val="1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1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toc 2"/>
    <w:basedOn w:val="1"/>
    <w:next w:val="1"/>
    <w:unhideWhenUsed/>
    <w:qFormat/>
    <w:uiPriority w:val="39"/>
    <w:pPr>
      <w:ind w:left="420" w:leftChars="200"/>
    </w:pPr>
  </w:style>
  <w:style w:type="paragraph" w:styleId="14">
    <w:name w:val="Body Text 2"/>
    <w:basedOn w:val="1"/>
    <w:next w:val="1"/>
    <w:qFormat/>
    <w:uiPriority w:val="0"/>
    <w:pPr>
      <w:spacing w:after="120" w:line="480" w:lineRule="auto"/>
    </w:pPr>
  </w:style>
  <w:style w:type="paragraph" w:customStyle="1" w:styleId="17">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8">
    <w:name w:val="页眉 字符"/>
    <w:basedOn w:val="16"/>
    <w:link w:val="12"/>
    <w:autoRedefine/>
    <w:qFormat/>
    <w:uiPriority w:val="99"/>
    <w:rPr>
      <w:sz w:val="18"/>
      <w:szCs w:val="18"/>
    </w:rPr>
  </w:style>
  <w:style w:type="character" w:customStyle="1" w:styleId="19">
    <w:name w:val="页脚 字符"/>
    <w:basedOn w:val="16"/>
    <w:link w:val="11"/>
    <w:autoRedefine/>
    <w:qFormat/>
    <w:uiPriority w:val="99"/>
    <w:rPr>
      <w:sz w:val="18"/>
      <w:szCs w:val="18"/>
    </w:rPr>
  </w:style>
  <w:style w:type="character" w:customStyle="1" w:styleId="20">
    <w:name w:val="NormalCharacter"/>
    <w:autoRedefine/>
    <w:semiHidden/>
    <w:qFormat/>
    <w:uiPriority w:val="99"/>
  </w:style>
  <w:style w:type="paragraph" w:customStyle="1" w:styleId="21">
    <w:name w:val="图表"/>
    <w:basedOn w:val="10"/>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2">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1685</Words>
  <Characters>1781</Characters>
  <Lines>11</Lines>
  <Paragraphs>3</Paragraphs>
  <TotalTime>0</TotalTime>
  <ScaleCrop>false</ScaleCrop>
  <LinksUpToDate>false</LinksUpToDate>
  <CharactersWithSpaces>1846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2025-05-29T08:17:30Z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eyJoZGlkIjoiM2VkNTk1MmVhODkwYTdlM2UzNDI2NDIyNmU0MzQwNDkiLCJ1c2VySWQiOiIzMzQyNjE5NjcifQ==</vt:lpwstr>
  </property>
</Properties>
</file>