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570BFF">
      <w:pPr>
        <w:snapToGrid w:val="0"/>
        <w:spacing w:line="580" w:lineRule="exact"/>
        <w:jc w:val="center"/>
        <w:rPr>
          <w:rStyle w:val="16"/>
          <w:rFonts w:ascii="仿宋_GB2312" w:eastAsia="仿宋_GB2312"/>
          <w:color w:val="auto"/>
          <w:sz w:val="32"/>
          <w:szCs w:val="32"/>
        </w:rPr>
      </w:pPr>
    </w:p>
    <w:p w14:paraId="1F4C4119">
      <w:pPr>
        <w:snapToGrid w:val="0"/>
        <w:spacing w:line="580" w:lineRule="exact"/>
        <w:jc w:val="center"/>
        <w:rPr>
          <w:rStyle w:val="16"/>
          <w:rFonts w:ascii="仿宋_GB2312" w:eastAsia="仿宋_GB2312"/>
          <w:color w:val="auto"/>
          <w:sz w:val="32"/>
          <w:szCs w:val="32"/>
        </w:rPr>
      </w:pPr>
    </w:p>
    <w:p w14:paraId="5D4473F5">
      <w:pPr>
        <w:snapToGrid w:val="0"/>
        <w:spacing w:line="580" w:lineRule="exact"/>
        <w:jc w:val="center"/>
        <w:rPr>
          <w:rStyle w:val="16"/>
          <w:rFonts w:ascii="仿宋_GB2312" w:eastAsia="仿宋_GB2312"/>
          <w:color w:val="auto"/>
          <w:sz w:val="32"/>
          <w:szCs w:val="32"/>
        </w:rPr>
      </w:pPr>
    </w:p>
    <w:p w14:paraId="33B52D28">
      <w:pPr>
        <w:snapToGrid w:val="0"/>
        <w:spacing w:line="580" w:lineRule="exact"/>
        <w:jc w:val="center"/>
        <w:rPr>
          <w:rStyle w:val="16"/>
          <w:rFonts w:ascii="仿宋_GB2312" w:eastAsia="仿宋_GB2312"/>
          <w:color w:val="auto"/>
          <w:sz w:val="32"/>
          <w:szCs w:val="32"/>
        </w:rPr>
      </w:pPr>
    </w:p>
    <w:p w14:paraId="48532D12">
      <w:pPr>
        <w:snapToGrid w:val="0"/>
        <w:spacing w:line="580" w:lineRule="exact"/>
        <w:jc w:val="center"/>
        <w:rPr>
          <w:rStyle w:val="16"/>
          <w:rFonts w:ascii="仿宋_GB2312" w:eastAsia="仿宋_GB2312"/>
          <w:color w:val="auto"/>
          <w:sz w:val="32"/>
          <w:szCs w:val="32"/>
        </w:rPr>
      </w:pPr>
    </w:p>
    <w:p w14:paraId="5D6B9088">
      <w:pPr>
        <w:snapToGrid w:val="0"/>
        <w:spacing w:line="580" w:lineRule="exact"/>
        <w:jc w:val="center"/>
        <w:rPr>
          <w:rStyle w:val="16"/>
          <w:rFonts w:ascii="仿宋_GB2312" w:eastAsia="仿宋_GB2312"/>
          <w:color w:val="auto"/>
          <w:sz w:val="32"/>
          <w:szCs w:val="32"/>
        </w:rPr>
      </w:pPr>
    </w:p>
    <w:p w14:paraId="29821DE5">
      <w:pPr>
        <w:snapToGrid w:val="0"/>
        <w:spacing w:line="580" w:lineRule="exact"/>
        <w:jc w:val="center"/>
        <w:rPr>
          <w:rStyle w:val="16"/>
          <w:rFonts w:ascii="仿宋_GB2312" w:eastAsia="仿宋_GB2312"/>
          <w:color w:val="auto"/>
          <w:sz w:val="32"/>
          <w:szCs w:val="32"/>
        </w:rPr>
      </w:pPr>
    </w:p>
    <w:p w14:paraId="266B6CDE">
      <w:pPr>
        <w:snapToGrid w:val="0"/>
        <w:spacing w:line="580" w:lineRule="exact"/>
        <w:jc w:val="center"/>
        <w:rPr>
          <w:rStyle w:val="16"/>
          <w:rFonts w:ascii="仿宋_GB2312" w:eastAsia="仿宋_GB2312"/>
          <w:color w:val="auto"/>
          <w:sz w:val="32"/>
          <w:szCs w:val="32"/>
        </w:rPr>
      </w:pPr>
    </w:p>
    <w:p w14:paraId="07FB4B73">
      <w:pPr>
        <w:pStyle w:val="25"/>
        <w:rPr>
          <w:rStyle w:val="16"/>
          <w:color w:val="auto"/>
        </w:rPr>
      </w:pPr>
    </w:p>
    <w:p w14:paraId="3F5C47ED">
      <w:pPr>
        <w:snapToGrid w:val="0"/>
        <w:spacing w:line="600" w:lineRule="exact"/>
        <w:rPr>
          <w:rStyle w:val="16"/>
          <w:rFonts w:ascii="仿宋_GB2312" w:eastAsia="仿宋_GB2312"/>
          <w:color w:val="auto"/>
          <w:sz w:val="32"/>
          <w:szCs w:val="32"/>
        </w:rPr>
      </w:pPr>
    </w:p>
    <w:p w14:paraId="02FCD89D">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5</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10</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14:paraId="7FF3FC54">
      <w:pPr>
        <w:spacing w:line="600" w:lineRule="exact"/>
        <w:jc w:val="center"/>
        <w:rPr>
          <w:rStyle w:val="16"/>
          <w:rFonts w:hint="eastAsia" w:ascii="宋体" w:hAnsi="宋体" w:eastAsia="宋体" w:cs="宋体"/>
          <w:b/>
          <w:bCs w:val="0"/>
          <w:color w:val="auto"/>
          <w:sz w:val="44"/>
          <w:szCs w:val="44"/>
        </w:rPr>
      </w:pPr>
    </w:p>
    <w:p w14:paraId="1B3F0BD7">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14:paraId="30275598">
      <w:pPr>
        <w:spacing w:line="600" w:lineRule="exact"/>
        <w:jc w:val="center"/>
        <w:rPr>
          <w:rStyle w:val="16"/>
          <w:rFonts w:hint="eastAsia" w:ascii="宋体" w:hAnsi="宋体" w:eastAsia="宋体" w:cs="宋体"/>
          <w:b/>
          <w:bCs w:val="0"/>
          <w:color w:val="auto"/>
          <w:sz w:val="44"/>
          <w:szCs w:val="44"/>
        </w:rPr>
      </w:pPr>
      <w:bookmarkStart w:id="0" w:name="OLE_LINK13"/>
      <w:bookmarkStart w:id="1" w:name="_Hlk183528953"/>
      <w:bookmarkStart w:id="2" w:name="_Hlk188344799"/>
      <w:bookmarkStart w:id="3" w:name="_Hlk192513123"/>
      <w:r>
        <w:rPr>
          <w:rStyle w:val="16"/>
          <w:rFonts w:hint="eastAsia" w:ascii="宋体" w:hAnsi="宋体" w:eastAsia="宋体" w:cs="宋体"/>
          <w:b/>
          <w:bCs w:val="0"/>
          <w:color w:val="auto"/>
          <w:sz w:val="44"/>
          <w:szCs w:val="44"/>
        </w:rPr>
        <w:t>中国石油天然气股份有限公司内蒙古</w:t>
      </w:r>
    </w:p>
    <w:p w14:paraId="1949ED37">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宋体"/>
          <w:b/>
          <w:bCs w:val="0"/>
          <w:color w:val="auto"/>
          <w:sz w:val="44"/>
          <w:szCs w:val="44"/>
        </w:rPr>
        <w:t>鄂尔多斯市销售分公司</w:t>
      </w:r>
      <w:bookmarkEnd w:id="0"/>
      <w:r>
        <w:rPr>
          <w:rStyle w:val="16"/>
          <w:rFonts w:hint="eastAsia" w:ascii="宋体" w:hAnsi="宋体" w:eastAsia="宋体" w:cs="宋体"/>
          <w:b/>
          <w:bCs w:val="0"/>
          <w:color w:val="auto"/>
          <w:sz w:val="44"/>
          <w:szCs w:val="44"/>
        </w:rPr>
        <w:t>东胜油库</w:t>
      </w:r>
    </w:p>
    <w:p w14:paraId="0FB72E06">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宋体"/>
          <w:b/>
          <w:bCs w:val="0"/>
          <w:color w:val="auto"/>
          <w:sz w:val="44"/>
          <w:szCs w:val="44"/>
        </w:rPr>
        <w:t>锅炉清洁能源替代及扩容项目</w:t>
      </w:r>
      <w:bookmarkEnd w:id="1"/>
      <w:bookmarkEnd w:id="2"/>
      <w:bookmarkEnd w:id="3"/>
    </w:p>
    <w:p w14:paraId="5C6596E7">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宋体"/>
          <w:b/>
          <w:bCs w:val="0"/>
          <w:color w:val="auto"/>
          <w:sz w:val="44"/>
          <w:szCs w:val="44"/>
        </w:rPr>
        <w:t>环境影响报告表的批复</w:t>
      </w:r>
    </w:p>
    <w:p w14:paraId="55A5A217">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eastAsia="zh-CN"/>
        </w:rPr>
      </w:pPr>
    </w:p>
    <w:p w14:paraId="79DD9777">
      <w:pPr>
        <w:adjustRightInd w:val="0"/>
        <w:snapToGrid w:val="0"/>
        <w:spacing w:line="360" w:lineRule="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rPr>
        <w:t>中国石油天然气股份有限公司内蒙古鄂尔多斯市销售分公司</w:t>
      </w:r>
      <w:r>
        <w:rPr>
          <w:rStyle w:val="16"/>
          <w:rFonts w:hint="eastAsia" w:ascii="仿宋" w:hAnsi="仿宋" w:eastAsia="仿宋" w:cs="Times New Roman"/>
          <w:sz w:val="32"/>
          <w:szCs w:val="32"/>
          <w:lang w:val="en-US" w:eastAsia="zh-CN"/>
        </w:rPr>
        <w:t>:</w:t>
      </w:r>
    </w:p>
    <w:p w14:paraId="16BC06E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eastAsia="zh-CN"/>
        </w:rPr>
        <w:t>你</w:t>
      </w:r>
      <w:r>
        <w:rPr>
          <w:rStyle w:val="16"/>
          <w:rFonts w:hint="eastAsia" w:ascii="仿宋" w:hAnsi="仿宋" w:eastAsia="仿宋" w:cs="Times New Roman"/>
          <w:sz w:val="32"/>
          <w:szCs w:val="32"/>
          <w:lang w:val="en-US" w:eastAsia="zh-CN"/>
        </w:rPr>
        <w:t>单位</w:t>
      </w:r>
      <w:r>
        <w:rPr>
          <w:rStyle w:val="16"/>
          <w:rFonts w:hint="eastAsia" w:ascii="仿宋" w:hAnsi="仿宋" w:eastAsia="仿宋" w:cs="Times New Roman"/>
          <w:sz w:val="32"/>
          <w:szCs w:val="32"/>
          <w:lang w:eastAsia="zh-CN"/>
        </w:rPr>
        <w:t>报送的由鄂尔多斯市环保投资有限公司</w:t>
      </w:r>
      <w:r>
        <w:rPr>
          <w:rStyle w:val="16"/>
          <w:rFonts w:hint="eastAsia" w:ascii="仿宋" w:hAnsi="仿宋" w:eastAsia="仿宋" w:cs="Times New Roman"/>
          <w:sz w:val="32"/>
          <w:szCs w:val="32"/>
          <w:lang w:val="en-US" w:eastAsia="zh-CN"/>
        </w:rPr>
        <w:t>编</w:t>
      </w:r>
      <w:r>
        <w:rPr>
          <w:rStyle w:val="16"/>
          <w:rFonts w:hint="eastAsia" w:ascii="仿宋" w:hAnsi="仿宋" w:eastAsia="仿宋" w:cs="Times New Roman"/>
          <w:sz w:val="32"/>
          <w:szCs w:val="32"/>
          <w:lang w:eastAsia="zh-CN"/>
        </w:rPr>
        <w:t>制的</w:t>
      </w:r>
      <w:r>
        <w:rPr>
          <w:rStyle w:val="16"/>
          <w:rFonts w:hint="eastAsia" w:ascii="仿宋" w:hAnsi="仿宋" w:eastAsia="仿宋" w:cs="Times New Roman"/>
          <w:sz w:val="32"/>
          <w:szCs w:val="32"/>
          <w:lang w:val="en-US" w:eastAsia="zh-CN"/>
        </w:rPr>
        <w:t>《中国石油天然气股份有限公司内蒙古鄂尔多斯市销售分公司东胜油库锅炉清洁能源替代及扩容项目环境影响报告表</w:t>
      </w:r>
      <w:r>
        <w:rPr>
          <w:rStyle w:val="16"/>
          <w:rFonts w:hint="eastAsia" w:ascii="仿宋" w:hAnsi="仿宋" w:eastAsia="仿宋" w:cs="Times New Roman"/>
          <w:sz w:val="32"/>
          <w:szCs w:val="32"/>
          <w:lang w:eastAsia="zh-CN"/>
        </w:rPr>
        <w:t>》（以下简称《报告表》）已收悉。</w:t>
      </w:r>
      <w:r>
        <w:rPr>
          <w:rStyle w:val="16"/>
          <w:rFonts w:hint="eastAsia" w:ascii="仿宋" w:hAnsi="仿宋" w:eastAsia="仿宋" w:cs="Times New Roman"/>
          <w:sz w:val="32"/>
          <w:szCs w:val="32"/>
          <w:lang w:val="en-US" w:eastAsia="zh-CN"/>
        </w:rPr>
        <w:t>经组织专家评审，集体研究，形成如下审批意见：</w:t>
      </w:r>
    </w:p>
    <w:p w14:paraId="0AD7083D">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color w:val="auto"/>
          <w:sz w:val="32"/>
          <w:szCs w:val="32"/>
          <w:lang w:eastAsia="zh-CN"/>
        </w:rPr>
      </w:pPr>
      <w:r>
        <w:rPr>
          <w:rStyle w:val="16"/>
          <w:rFonts w:hint="eastAsia" w:ascii="仿宋" w:hAnsi="仿宋" w:eastAsia="仿宋" w:cs="Times New Roman"/>
          <w:sz w:val="32"/>
          <w:szCs w:val="32"/>
          <w:lang w:eastAsia="zh-CN"/>
        </w:rPr>
        <w:t>该项目属</w:t>
      </w:r>
      <w:r>
        <w:rPr>
          <w:rStyle w:val="16"/>
          <w:rFonts w:hint="eastAsia" w:ascii="仿宋" w:hAnsi="仿宋" w:eastAsia="仿宋" w:cs="Times New Roman"/>
          <w:sz w:val="32"/>
          <w:szCs w:val="32"/>
          <w:highlight w:val="none"/>
          <w:lang w:eastAsia="zh-CN"/>
        </w:rPr>
        <w:t>于</w:t>
      </w:r>
      <w:r>
        <w:rPr>
          <w:rStyle w:val="16"/>
          <w:rFonts w:hint="eastAsia" w:ascii="仿宋" w:hAnsi="仿宋" w:eastAsia="仿宋" w:cs="Times New Roman"/>
          <w:sz w:val="32"/>
          <w:szCs w:val="32"/>
          <w:highlight w:val="none"/>
          <w:lang w:val="en-US" w:eastAsia="zh-CN"/>
        </w:rPr>
        <w:t>改</w:t>
      </w:r>
      <w:r>
        <w:rPr>
          <w:rStyle w:val="16"/>
          <w:rFonts w:hint="eastAsia" w:ascii="仿宋" w:hAnsi="仿宋" w:eastAsia="仿宋" w:cs="Times New Roman"/>
          <w:sz w:val="32"/>
          <w:szCs w:val="32"/>
          <w:highlight w:val="none"/>
          <w:lang w:eastAsia="zh-CN"/>
        </w:rPr>
        <w:t>扩建项目</w:t>
      </w:r>
      <w:r>
        <w:rPr>
          <w:rStyle w:val="16"/>
          <w:rFonts w:hint="eastAsia" w:ascii="仿宋" w:hAnsi="仿宋" w:eastAsia="仿宋" w:cs="Times New Roman"/>
          <w:sz w:val="32"/>
          <w:szCs w:val="32"/>
          <w:lang w:eastAsia="zh-CN"/>
        </w:rPr>
        <w:t>，位于东胜区罕台镇查干村高家梁社</w:t>
      </w:r>
      <w:r>
        <w:rPr>
          <w:rStyle w:val="16"/>
          <w:rFonts w:hint="eastAsia" w:ascii="仿宋" w:hAnsi="仿宋" w:eastAsia="仿宋" w:cs="Times New Roman"/>
          <w:sz w:val="32"/>
          <w:szCs w:val="32"/>
          <w:lang w:val="en-US" w:eastAsia="zh-CN"/>
        </w:rPr>
        <w:t>。项目总</w:t>
      </w:r>
      <w:r>
        <w:rPr>
          <w:rStyle w:val="16"/>
          <w:rFonts w:hint="eastAsia" w:ascii="仿宋" w:hAnsi="仿宋" w:eastAsia="仿宋" w:cs="Times New Roman"/>
          <w:sz w:val="32"/>
          <w:szCs w:val="32"/>
          <w:lang w:eastAsia="zh-CN"/>
        </w:rPr>
        <w:t>占地面</w:t>
      </w:r>
      <w:r>
        <w:rPr>
          <w:rStyle w:val="16"/>
          <w:rFonts w:hint="eastAsia" w:ascii="仿宋" w:hAnsi="仿宋" w:eastAsia="仿宋" w:cs="Times New Roman"/>
          <w:color w:val="auto"/>
          <w:sz w:val="32"/>
          <w:szCs w:val="32"/>
          <w:lang w:eastAsia="zh-CN"/>
        </w:rPr>
        <w:t>积</w:t>
      </w:r>
      <w:r>
        <w:rPr>
          <w:rStyle w:val="16"/>
          <w:rFonts w:hint="default" w:ascii="仿宋" w:hAnsi="仿宋" w:eastAsia="仿宋" w:cs="Times New Roman"/>
          <w:color w:val="auto"/>
          <w:sz w:val="32"/>
          <w:szCs w:val="32"/>
          <w:lang w:val="en-US" w:eastAsia="zh-CN"/>
        </w:rPr>
        <w:t>2</w:t>
      </w:r>
      <w:r>
        <w:rPr>
          <w:rStyle w:val="16"/>
          <w:rFonts w:hint="eastAsia" w:ascii="仿宋" w:hAnsi="仿宋" w:eastAsia="仿宋" w:cs="Times New Roman"/>
          <w:color w:val="auto"/>
          <w:sz w:val="32"/>
          <w:szCs w:val="32"/>
          <w:lang w:val="en-US" w:eastAsia="zh-CN"/>
        </w:rPr>
        <w:t>300</w:t>
      </w:r>
      <w:r>
        <w:rPr>
          <w:rStyle w:val="16"/>
          <w:rFonts w:hint="eastAsia" w:ascii="仿宋" w:hAnsi="仿宋" w:eastAsia="仿宋" w:cs="Times New Roman"/>
          <w:color w:val="auto"/>
          <w:sz w:val="32"/>
          <w:szCs w:val="32"/>
          <w:lang w:eastAsia="zh-CN"/>
        </w:rPr>
        <w:t>平方</w:t>
      </w:r>
      <w:r>
        <w:rPr>
          <w:rStyle w:val="16"/>
          <w:rFonts w:hint="eastAsia" w:ascii="仿宋" w:hAnsi="仿宋" w:eastAsia="仿宋" w:cs="Times New Roman"/>
          <w:sz w:val="32"/>
          <w:szCs w:val="32"/>
          <w:lang w:eastAsia="zh-CN"/>
        </w:rPr>
        <w:t>米，</w:t>
      </w:r>
      <w:r>
        <w:rPr>
          <w:rStyle w:val="16"/>
          <w:rFonts w:hint="default" w:ascii="仿宋" w:hAnsi="仿宋" w:eastAsia="仿宋" w:cs="Times New Roman"/>
          <w:sz w:val="32"/>
          <w:szCs w:val="32"/>
        </w:rPr>
        <w:t>总投</w:t>
      </w:r>
      <w:r>
        <w:rPr>
          <w:rStyle w:val="16"/>
          <w:rFonts w:hint="default" w:ascii="仿宋" w:hAnsi="仿宋" w:eastAsia="仿宋" w:cs="Times New Roman"/>
          <w:sz w:val="32"/>
          <w:szCs w:val="32"/>
          <w:lang w:eastAsia="zh-CN"/>
        </w:rPr>
        <w:t>资</w:t>
      </w:r>
      <w:r>
        <w:rPr>
          <w:rStyle w:val="16"/>
          <w:rFonts w:hint="eastAsia" w:ascii="仿宋" w:hAnsi="仿宋" w:eastAsia="仿宋" w:cs="Times New Roman"/>
          <w:sz w:val="32"/>
          <w:szCs w:val="32"/>
          <w:lang w:eastAsia="zh-CN"/>
        </w:rPr>
        <w:t>10.1135</w:t>
      </w:r>
      <w:r>
        <w:rPr>
          <w:rStyle w:val="16"/>
          <w:rFonts w:hint="eastAsia" w:ascii="仿宋" w:hAnsi="仿宋" w:eastAsia="仿宋" w:cs="Times New Roman"/>
          <w:sz w:val="32"/>
          <w:szCs w:val="32"/>
          <w:lang w:val="en-US" w:eastAsia="zh-CN"/>
        </w:rPr>
        <w:t>万</w:t>
      </w:r>
      <w:r>
        <w:rPr>
          <w:rStyle w:val="16"/>
          <w:rFonts w:hint="default" w:ascii="仿宋" w:hAnsi="仿宋" w:eastAsia="仿宋"/>
          <w:sz w:val="32"/>
          <w:szCs w:val="32"/>
        </w:rPr>
        <w:t>元，</w:t>
      </w:r>
      <w:r>
        <w:rPr>
          <w:rStyle w:val="16"/>
          <w:rFonts w:hint="eastAsia" w:ascii="仿宋" w:hAnsi="仿宋" w:eastAsia="仿宋"/>
          <w:sz w:val="32"/>
          <w:szCs w:val="32"/>
          <w:lang w:eastAsia="zh-CN"/>
        </w:rPr>
        <w:t>其中</w:t>
      </w:r>
      <w:r>
        <w:rPr>
          <w:rStyle w:val="16"/>
          <w:rFonts w:hint="default" w:ascii="仿宋" w:hAnsi="仿宋" w:eastAsia="仿宋"/>
          <w:sz w:val="32"/>
          <w:szCs w:val="32"/>
        </w:rPr>
        <w:t>环保</w:t>
      </w:r>
      <w:r>
        <w:rPr>
          <w:rStyle w:val="16"/>
          <w:rFonts w:hint="default" w:ascii="仿宋" w:hAnsi="仿宋" w:eastAsia="仿宋"/>
          <w:sz w:val="32"/>
          <w:szCs w:val="32"/>
          <w:lang w:eastAsia="zh-CN"/>
        </w:rPr>
        <w:t>投资</w:t>
      </w:r>
      <w:r>
        <w:rPr>
          <w:rStyle w:val="16"/>
          <w:rFonts w:hint="eastAsia" w:ascii="仿宋" w:hAnsi="仿宋" w:eastAsia="仿宋"/>
          <w:sz w:val="32"/>
          <w:szCs w:val="32"/>
          <w:lang w:eastAsia="zh-CN"/>
        </w:rPr>
        <w:t>8.39</w:t>
      </w:r>
      <w:r>
        <w:rPr>
          <w:rStyle w:val="16"/>
          <w:rFonts w:hint="eastAsia" w:ascii="仿宋" w:hAnsi="仿宋" w:eastAsia="仿宋"/>
          <w:sz w:val="32"/>
          <w:szCs w:val="32"/>
          <w:lang w:val="en-US" w:eastAsia="zh-CN"/>
        </w:rPr>
        <w:t>万元</w:t>
      </w:r>
      <w:r>
        <w:rPr>
          <w:rStyle w:val="16"/>
          <w:rFonts w:hint="eastAsia" w:ascii="仿宋" w:hAnsi="仿宋" w:eastAsia="仿宋"/>
          <w:sz w:val="32"/>
          <w:szCs w:val="32"/>
        </w:rPr>
        <w:t>。</w:t>
      </w:r>
      <w:r>
        <w:rPr>
          <w:rStyle w:val="16"/>
          <w:rFonts w:hint="eastAsia" w:ascii="仿宋" w:hAnsi="仿宋" w:eastAsia="仿宋"/>
          <w:sz w:val="32"/>
          <w:szCs w:val="32"/>
          <w:lang w:eastAsia="zh-CN"/>
        </w:rPr>
        <w:t>主要建设内容及规</w:t>
      </w:r>
      <w:r>
        <w:rPr>
          <w:rStyle w:val="16"/>
          <w:rFonts w:hint="eastAsia" w:ascii="仿宋" w:hAnsi="仿宋" w:eastAsia="仿宋" w:cs="Times New Roman"/>
          <w:sz w:val="32"/>
          <w:szCs w:val="32"/>
          <w:lang w:eastAsia="zh-CN"/>
        </w:rPr>
        <w:t>模：本项目不新增用地，拆除现有锅炉房内2台0.7MW的燃煤热水锅炉，新建2台1.4MW</w:t>
      </w:r>
      <w:bookmarkStart w:id="4" w:name="OLE_LINK6"/>
      <w:r>
        <w:rPr>
          <w:rStyle w:val="16"/>
          <w:rFonts w:hint="eastAsia" w:ascii="仿宋" w:hAnsi="仿宋" w:eastAsia="仿宋" w:cs="Times New Roman"/>
          <w:sz w:val="32"/>
          <w:szCs w:val="32"/>
          <w:lang w:eastAsia="zh-CN"/>
        </w:rPr>
        <w:t>（CWNS1.4-85/60-Y/Q）燃气热水锅炉</w:t>
      </w:r>
      <w:bookmarkEnd w:id="4"/>
      <w:r>
        <w:rPr>
          <w:rStyle w:val="16"/>
          <w:rFonts w:hint="eastAsia" w:ascii="仿宋" w:hAnsi="仿宋" w:eastAsia="仿宋" w:cs="Times New Roman"/>
          <w:sz w:val="32"/>
          <w:szCs w:val="32"/>
          <w:lang w:eastAsia="zh-CN"/>
        </w:rPr>
        <w:t>（</w:t>
      </w:r>
      <w:r>
        <w:rPr>
          <w:rStyle w:val="16"/>
          <w:rFonts w:hint="eastAsia" w:ascii="仿宋" w:hAnsi="仿宋" w:eastAsia="仿宋" w:cs="Times New Roman"/>
          <w:sz w:val="32"/>
          <w:szCs w:val="32"/>
          <w:lang w:val="en-US" w:eastAsia="zh-CN"/>
        </w:rPr>
        <w:t>一用一备</w:t>
      </w:r>
      <w:r>
        <w:rPr>
          <w:rStyle w:val="16"/>
          <w:rFonts w:hint="eastAsia" w:ascii="仿宋" w:hAnsi="仿宋" w:eastAsia="仿宋" w:cs="Times New Roman"/>
          <w:sz w:val="32"/>
          <w:szCs w:val="32"/>
          <w:lang w:eastAsia="zh-CN"/>
        </w:rPr>
        <w:t>），并配套建设软化水制备系统、燃气输送系统和低氮燃烧设施，</w:t>
      </w:r>
      <w:r>
        <w:rPr>
          <w:rStyle w:val="16"/>
          <w:rFonts w:hint="eastAsia" w:ascii="仿宋" w:hAnsi="仿宋" w:eastAsia="仿宋" w:cs="Times New Roman"/>
          <w:sz w:val="32"/>
          <w:szCs w:val="32"/>
          <w:lang w:val="en-US" w:eastAsia="zh-CN"/>
        </w:rPr>
        <w:t>部分公辅</w:t>
      </w:r>
      <w:r>
        <w:rPr>
          <w:rStyle w:val="16"/>
          <w:rFonts w:hint="eastAsia" w:ascii="仿宋" w:hAnsi="仿宋" w:eastAsia="仿宋" w:cs="Times New Roman"/>
          <w:sz w:val="32"/>
          <w:szCs w:val="32"/>
          <w:lang w:eastAsia="zh-CN"/>
        </w:rPr>
        <w:t>工程和环保工程</w:t>
      </w:r>
      <w:r>
        <w:rPr>
          <w:rStyle w:val="16"/>
          <w:rFonts w:hint="eastAsia" w:ascii="仿宋" w:hAnsi="仿宋" w:eastAsia="仿宋" w:cs="Times New Roman"/>
          <w:sz w:val="32"/>
          <w:szCs w:val="32"/>
          <w:lang w:val="en-US" w:eastAsia="zh-CN"/>
        </w:rPr>
        <w:t>等</w:t>
      </w:r>
      <w:r>
        <w:rPr>
          <w:rStyle w:val="16"/>
          <w:rFonts w:hint="eastAsia" w:ascii="仿宋" w:hAnsi="仿宋" w:eastAsia="仿宋" w:cs="Times New Roman"/>
          <w:color w:val="auto"/>
          <w:sz w:val="32"/>
          <w:szCs w:val="32"/>
          <w:lang w:eastAsia="zh-CN"/>
        </w:rPr>
        <w:t>依托</w:t>
      </w:r>
      <w:r>
        <w:rPr>
          <w:rStyle w:val="16"/>
          <w:rFonts w:hint="eastAsia" w:ascii="仿宋" w:hAnsi="仿宋" w:eastAsia="仿宋" w:cs="Times New Roman"/>
          <w:color w:val="auto"/>
          <w:sz w:val="32"/>
          <w:szCs w:val="32"/>
          <w:lang w:val="en-US" w:eastAsia="zh-CN"/>
        </w:rPr>
        <w:t>原有</w:t>
      </w:r>
      <w:r>
        <w:rPr>
          <w:rStyle w:val="16"/>
          <w:rFonts w:hint="eastAsia" w:ascii="仿宋" w:hAnsi="仿宋" w:eastAsia="仿宋" w:cs="Times New Roman"/>
          <w:color w:val="auto"/>
          <w:sz w:val="32"/>
          <w:szCs w:val="32"/>
          <w:lang w:eastAsia="zh-CN"/>
        </w:rPr>
        <w:t>。</w:t>
      </w:r>
    </w:p>
    <w:p w14:paraId="75EFBE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olor w:val="0000FF"/>
          <w:sz w:val="32"/>
          <w:szCs w:val="32"/>
        </w:rPr>
      </w:pPr>
      <w:r>
        <w:rPr>
          <w:rStyle w:val="16"/>
          <w:rFonts w:hint="eastAsia" w:ascii="仿宋" w:hAnsi="仿宋" w:eastAsia="仿宋" w:cs="Times New Roman"/>
          <w:sz w:val="32"/>
          <w:szCs w:val="32"/>
          <w:lang w:eastAsia="zh-CN"/>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5052C65C">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default" w:ascii="仿宋" w:hAnsi="仿宋" w:eastAsia="仿宋"/>
          <w:color w:val="auto"/>
          <w:sz w:val="32"/>
          <w:szCs w:val="32"/>
          <w:lang w:val="en-US"/>
        </w:rPr>
      </w:pPr>
      <w:r>
        <w:rPr>
          <w:rStyle w:val="16"/>
          <w:rFonts w:hint="eastAsia" w:ascii="仿宋" w:hAnsi="仿宋" w:eastAsia="仿宋"/>
          <w:sz w:val="32"/>
          <w:szCs w:val="32"/>
          <w:lang w:val="en-US" w:eastAsia="zh-CN"/>
        </w:rPr>
        <w:t>二、在项目工程设计、建设和环境管理中，你单位必须严格落实</w:t>
      </w:r>
      <w:r>
        <w:rPr>
          <w:rStyle w:val="16"/>
          <w:rFonts w:hint="eastAsia" w:ascii="仿宋" w:hAnsi="仿宋" w:eastAsia="仿宋"/>
          <w:sz w:val="32"/>
          <w:szCs w:val="32"/>
        </w:rPr>
        <w:t>《报告表》</w:t>
      </w:r>
      <w:r>
        <w:rPr>
          <w:rStyle w:val="16"/>
          <w:rFonts w:hint="eastAsia" w:ascii="仿宋" w:hAnsi="仿宋" w:eastAsia="仿宋"/>
          <w:sz w:val="32"/>
          <w:szCs w:val="32"/>
          <w:lang w:val="en-US" w:eastAsia="zh-CN"/>
        </w:rPr>
        <w:t>中提出的各项环保措施和要求，确保各项污染物稳定达标排放，并须着重做好以下工作：</w:t>
      </w:r>
    </w:p>
    <w:p w14:paraId="019E0D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（一）严格落实施工期污染防治措施</w:t>
      </w:r>
    </w:p>
    <w:p w14:paraId="6B55140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Style w:val="16"/>
          <w:rFonts w:hint="eastAsia" w:ascii="仿宋" w:hAnsi="仿宋" w:eastAsia="仿宋"/>
          <w:color w:val="0D0D0D" w:themeColor="text1" w:themeTint="F2"/>
          <w:sz w:val="32"/>
          <w:szCs w:val="32"/>
          <w:lang w:val="en-US" w:eastAsia="zh-CN"/>
          <w14:textFill>
            <w14:solidFill>
              <w14:schemeClr w14:val="tx1">
                <w14:lumMod w14:val="95000"/>
                <w14:lumOff w14:val="5000"/>
              </w14:schemeClr>
            </w14:solidFill>
          </w14:textFill>
        </w:rPr>
        <w:t>1、</w:t>
      </w:r>
      <w:r>
        <w:rPr>
          <w:rStyle w:val="16"/>
          <w:rFonts w:hint="eastAsia" w:ascii="仿宋" w:hAnsi="仿宋" w:eastAsia="仿宋"/>
          <w:color w:val="0D0D0D" w:themeColor="text1" w:themeTint="F2"/>
          <w:sz w:val="32"/>
          <w:szCs w:val="32"/>
          <w14:textFill>
            <w14:solidFill>
              <w14:schemeClr w14:val="tx1">
                <w14:lumMod w14:val="95000"/>
                <w14:lumOff w14:val="5000"/>
              </w14:schemeClr>
            </w14:solidFill>
          </w14:textFill>
        </w:rPr>
        <w:t>加强</w:t>
      </w:r>
      <w:r>
        <w:rPr>
          <w:rStyle w:val="16"/>
          <w:rFonts w:hint="eastAsia" w:ascii="仿宋" w:hAnsi="仿宋" w:eastAsia="仿宋" w:cs="Times New Roman"/>
          <w:color w:val="0D0D0D" w:themeColor="text1" w:themeTint="F2"/>
          <w:sz w:val="32"/>
          <w:szCs w:val="32"/>
          <w14:textFill>
            <w14:solidFill>
              <w14:schemeClr w14:val="tx1">
                <w14:lumMod w14:val="95000"/>
                <w14:lumOff w14:val="5000"/>
              </w14:schemeClr>
            </w14:solidFill>
          </w14:textFill>
        </w:rPr>
        <w:t>施工</w:t>
      </w:r>
      <w:r>
        <w:rPr>
          <w:rStyle w:val="16"/>
          <w:rFonts w:hint="eastAsia" w:ascii="仿宋" w:hAnsi="仿宋" w:eastAsia="仿宋" w:cs="Times New Roman"/>
          <w:color w:val="000000" w:themeColor="text1"/>
          <w:sz w:val="32"/>
          <w:szCs w:val="32"/>
          <w14:textFill>
            <w14:solidFill>
              <w14:schemeClr w14:val="tx1"/>
            </w14:solidFill>
          </w14:textFill>
        </w:rPr>
        <w:t>期环境管理，配备足够的洒水车、篷布等防尘设备，有效控制施工期挖土、物料装卸、物料运输过程中产生的扬尘污染。</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中无组织排放监控浓度限值。</w:t>
      </w:r>
    </w:p>
    <w:p w14:paraId="205B12D3">
      <w:pPr>
        <w:spacing w:line="360" w:lineRule="auto"/>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lang w:val="en-US" w:eastAsia="zh-CN"/>
        </w:rPr>
        <w:t>2、施工人员生</w:t>
      </w:r>
      <w:r>
        <w:rPr>
          <w:rFonts w:hint="eastAsia" w:ascii="仿宋" w:hAnsi="仿宋" w:eastAsia="仿宋" w:cs="仿宋"/>
          <w:color w:val="auto"/>
          <w:sz w:val="32"/>
          <w:szCs w:val="32"/>
          <w:highlight w:val="none"/>
          <w:lang w:val="en-US" w:eastAsia="zh-CN"/>
        </w:rPr>
        <w:t>活污水</w:t>
      </w:r>
      <w:r>
        <w:rPr>
          <w:rFonts w:ascii="仿宋" w:hAnsi="仿宋" w:eastAsia="仿宋" w:cs="仿宋"/>
          <w:color w:val="auto"/>
          <w:sz w:val="32"/>
          <w:szCs w:val="32"/>
          <w:highlight w:val="none"/>
        </w:rPr>
        <w:t>经厂区</w:t>
      </w:r>
      <w:r>
        <w:rPr>
          <w:rFonts w:hint="eastAsia" w:ascii="仿宋" w:hAnsi="仿宋" w:eastAsia="仿宋" w:cs="仿宋"/>
          <w:color w:val="auto"/>
          <w:sz w:val="32"/>
          <w:szCs w:val="32"/>
          <w:highlight w:val="none"/>
          <w:lang w:val="en-US" w:eastAsia="zh-CN"/>
        </w:rPr>
        <w:t>原有</w:t>
      </w:r>
      <w:r>
        <w:rPr>
          <w:rFonts w:ascii="仿宋" w:hAnsi="仿宋" w:eastAsia="仿宋" w:cs="仿宋"/>
          <w:color w:val="auto"/>
          <w:sz w:val="32"/>
          <w:szCs w:val="32"/>
          <w:highlight w:val="none"/>
        </w:rPr>
        <w:t>化粪池处理后拉运至污水处理厂。</w:t>
      </w:r>
    </w:p>
    <w:p w14:paraId="28641F0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3、选用低噪声施工设备，合理安排作业时间，避免夜间施工，控制车辆时速。施工期噪声执行《建筑施工场界环境噪声排放标准》（GB12523-2011）。</w:t>
      </w:r>
    </w:p>
    <w:p w14:paraId="28DB8CA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w:t>
      </w:r>
      <w:r>
        <w:rPr>
          <w:rStyle w:val="16"/>
          <w:rFonts w:hint="eastAsia" w:ascii="仿宋" w:hAnsi="仿宋" w:eastAsia="仿宋" w:cs="Times New Roman"/>
          <w:sz w:val="32"/>
          <w:szCs w:val="32"/>
          <w:lang w:val="en-US" w:eastAsia="zh-CN"/>
        </w:rPr>
        <w:t>固体废物集中堆放及时清运，交有关部门进行处理</w:t>
      </w:r>
      <w:r>
        <w:rPr>
          <w:rFonts w:hint="eastAsia" w:ascii="仿宋" w:hAnsi="仿宋" w:eastAsia="仿宋" w:cs="仿宋"/>
          <w:color w:val="auto"/>
          <w:sz w:val="32"/>
          <w:szCs w:val="32"/>
          <w:lang w:val="en-US" w:eastAsia="zh-CN"/>
        </w:rPr>
        <w:t>。</w:t>
      </w:r>
    </w:p>
    <w:p w14:paraId="5C8FB1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14:paraId="0E087CA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color w:val="auto"/>
          <w:sz w:val="32"/>
          <w:szCs w:val="32"/>
          <w:highlight w:val="none"/>
          <w:lang w:val="en-US" w:eastAsia="zh-CN"/>
        </w:rPr>
      </w:pPr>
      <w:r>
        <w:rPr>
          <w:rFonts w:hint="eastAsia" w:ascii="仿宋" w:hAnsi="仿宋" w:eastAsia="仿宋" w:cs="仿宋"/>
          <w:color w:val="auto"/>
          <w:kern w:val="0"/>
          <w:sz w:val="32"/>
          <w:szCs w:val="32"/>
          <w:lang w:val="en-US" w:eastAsia="zh-CN" w:bidi="ar-SA"/>
        </w:rPr>
        <w:t>1、</w:t>
      </w:r>
      <w:r>
        <w:rPr>
          <w:rFonts w:hint="eastAsia" w:ascii="仿宋" w:hAnsi="仿宋" w:eastAsia="仿宋" w:cs="仿宋"/>
          <w:color w:val="auto"/>
          <w:sz w:val="32"/>
          <w:szCs w:val="32"/>
          <w:lang w:val="en-US" w:eastAsia="zh-CN"/>
        </w:rPr>
        <w:t>大气污染防治措施。</w:t>
      </w:r>
      <w:r>
        <w:rPr>
          <w:rFonts w:hint="default" w:ascii="仿宋" w:hAnsi="仿宋" w:eastAsia="仿宋" w:cs="仿宋"/>
          <w:color w:val="auto"/>
          <w:kern w:val="0"/>
          <w:sz w:val="32"/>
          <w:szCs w:val="32"/>
          <w:lang w:val="en-US" w:eastAsia="zh-CN" w:bidi="ar-SA"/>
        </w:rPr>
        <w:t>运营期</w:t>
      </w:r>
      <w:r>
        <w:rPr>
          <w:rFonts w:hint="eastAsia" w:ascii="仿宋" w:hAnsi="仿宋" w:eastAsia="仿宋" w:cs="仿宋"/>
          <w:color w:val="auto"/>
          <w:sz w:val="32"/>
          <w:szCs w:val="32"/>
        </w:rPr>
        <w:t>锅炉废气</w:t>
      </w:r>
      <w:r>
        <w:rPr>
          <w:rFonts w:hint="eastAsia" w:ascii="仿宋" w:hAnsi="仿宋" w:eastAsia="仿宋" w:cs="仿宋"/>
          <w:color w:val="auto"/>
          <w:sz w:val="32"/>
          <w:szCs w:val="32"/>
          <w:lang w:val="en-US" w:eastAsia="zh-CN"/>
        </w:rPr>
        <w:t>经</w:t>
      </w:r>
      <w:r>
        <w:rPr>
          <w:rFonts w:hint="eastAsia" w:ascii="仿宋" w:hAnsi="仿宋" w:eastAsia="仿宋" w:cs="仿宋"/>
          <w:color w:val="auto"/>
          <w:sz w:val="32"/>
          <w:szCs w:val="32"/>
          <w:lang w:eastAsia="zh-CN"/>
        </w:rPr>
        <w:t>收集处理后</w:t>
      </w:r>
      <w:r>
        <w:rPr>
          <w:rFonts w:hint="eastAsia" w:ascii="仿宋" w:hAnsi="仿宋" w:eastAsia="仿宋" w:cs="仿宋"/>
          <w:color w:val="auto"/>
          <w:sz w:val="32"/>
          <w:szCs w:val="32"/>
          <w:lang w:val="en-US" w:eastAsia="zh-CN"/>
        </w:rPr>
        <w:t>由</w:t>
      </w:r>
      <w:bookmarkStart w:id="5" w:name="_GoBack"/>
      <w:bookmarkEnd w:id="5"/>
      <w:r>
        <w:rPr>
          <w:rFonts w:hint="eastAsia" w:ascii="仿宋" w:hAnsi="仿宋" w:eastAsia="仿宋" w:cs="仿宋"/>
          <w:color w:val="auto"/>
          <w:sz w:val="32"/>
          <w:szCs w:val="32"/>
        </w:rPr>
        <w:t>1根</w:t>
      </w:r>
      <w:r>
        <w:rPr>
          <w:rFonts w:hint="eastAsia" w:ascii="仿宋" w:hAnsi="仿宋" w:eastAsia="仿宋" w:cs="仿宋"/>
          <w:color w:val="auto"/>
          <w:sz w:val="32"/>
          <w:szCs w:val="32"/>
          <w:lang w:val="en-US" w:eastAsia="zh-CN"/>
        </w:rPr>
        <w:t>15</w:t>
      </w:r>
      <w:r>
        <w:rPr>
          <w:rFonts w:hint="eastAsia" w:ascii="仿宋" w:hAnsi="仿宋" w:eastAsia="仿宋" w:cs="仿宋"/>
          <w:color w:val="auto"/>
          <w:sz w:val="32"/>
          <w:szCs w:val="32"/>
        </w:rPr>
        <w:t>米高排气筒排放，执行《锅炉大气污染排放标准》（GB13271-2014）</w:t>
      </w:r>
      <w:r>
        <w:rPr>
          <w:rFonts w:hint="eastAsia" w:ascii="仿宋" w:hAnsi="仿宋" w:eastAsia="仿宋" w:cs="仿宋"/>
          <w:color w:val="auto"/>
          <w:sz w:val="32"/>
          <w:szCs w:val="32"/>
          <w:lang w:eastAsia="zh-CN"/>
        </w:rPr>
        <w:t>表</w:t>
      </w:r>
      <w:r>
        <w:rPr>
          <w:rFonts w:hint="eastAsia" w:ascii="仿宋" w:hAnsi="仿宋" w:eastAsia="仿宋" w:cs="仿宋"/>
          <w:color w:val="auto"/>
          <w:sz w:val="32"/>
          <w:szCs w:val="32"/>
          <w:lang w:val="en-US" w:eastAsia="zh-CN"/>
        </w:rPr>
        <w:t>2</w:t>
      </w:r>
      <w:r>
        <w:rPr>
          <w:rFonts w:hint="default" w:ascii="仿宋" w:hAnsi="仿宋" w:eastAsia="仿宋" w:cs="仿宋"/>
          <w:color w:val="auto"/>
          <w:sz w:val="32"/>
          <w:szCs w:val="32"/>
          <w:lang w:eastAsia="zh-CN"/>
        </w:rPr>
        <w:t>新建锅炉大气污染物排放</w:t>
      </w:r>
      <w:r>
        <w:rPr>
          <w:rFonts w:hint="eastAsia" w:ascii="仿宋" w:hAnsi="仿宋" w:eastAsia="仿宋" w:cs="仿宋"/>
          <w:color w:val="auto"/>
          <w:sz w:val="32"/>
          <w:szCs w:val="32"/>
          <w:lang w:eastAsia="zh-CN"/>
        </w:rPr>
        <w:t>浓度</w:t>
      </w:r>
      <w:r>
        <w:rPr>
          <w:rFonts w:hint="default" w:ascii="仿宋" w:hAnsi="仿宋" w:eastAsia="仿宋" w:cs="仿宋"/>
          <w:color w:val="auto"/>
          <w:sz w:val="32"/>
          <w:szCs w:val="32"/>
          <w:lang w:eastAsia="zh-CN"/>
        </w:rPr>
        <w:t>限值</w:t>
      </w:r>
      <w:r>
        <w:rPr>
          <w:rFonts w:hint="eastAsia" w:ascii="仿宋" w:hAnsi="仿宋" w:eastAsia="仿宋" w:cs="仿宋"/>
          <w:color w:val="auto"/>
          <w:sz w:val="32"/>
          <w:szCs w:val="32"/>
          <w:lang w:eastAsia="zh-CN"/>
        </w:rPr>
        <w:t>中燃气锅炉标准</w:t>
      </w:r>
      <w:r>
        <w:rPr>
          <w:rFonts w:hint="eastAsia" w:ascii="仿宋" w:hAnsi="仿宋" w:eastAsia="仿宋" w:cs="仿宋"/>
          <w:color w:val="auto"/>
          <w:sz w:val="32"/>
          <w:szCs w:val="32"/>
        </w:rPr>
        <w:t>。</w:t>
      </w:r>
    </w:p>
    <w:p w14:paraId="2334FF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rPr>
      </w:pPr>
      <w:r>
        <w:rPr>
          <w:rStyle w:val="16"/>
          <w:rFonts w:hint="eastAsia" w:ascii="仿宋" w:hAnsi="仿宋" w:eastAsia="仿宋" w:cs="Times New Roman"/>
          <w:color w:val="auto"/>
          <w:sz w:val="32"/>
          <w:szCs w:val="32"/>
          <w:lang w:val="en-US" w:eastAsia="zh-CN"/>
        </w:rPr>
        <w:t>2、</w:t>
      </w:r>
      <w:r>
        <w:rPr>
          <w:rFonts w:hint="eastAsia" w:ascii="仿宋" w:hAnsi="仿宋" w:eastAsia="仿宋" w:cs="仿宋"/>
          <w:color w:val="auto"/>
          <w:sz w:val="32"/>
          <w:szCs w:val="32"/>
          <w:lang w:val="en-US" w:eastAsia="zh-CN"/>
        </w:rPr>
        <w:t>水污染防治措施</w:t>
      </w:r>
      <w:r>
        <w:rPr>
          <w:rStyle w:val="16"/>
          <w:rFonts w:hint="eastAsia" w:ascii="仿宋" w:hAnsi="仿宋" w:eastAsia="仿宋" w:cs="Times New Roman"/>
          <w:color w:val="auto"/>
          <w:sz w:val="32"/>
          <w:szCs w:val="32"/>
          <w:lang w:val="en-US" w:eastAsia="zh-CN"/>
        </w:rPr>
        <w:t>。</w:t>
      </w:r>
      <w:r>
        <w:rPr>
          <w:rFonts w:hint="default" w:ascii="仿宋" w:hAnsi="仿宋" w:eastAsia="仿宋" w:cs="仿宋"/>
          <w:color w:val="auto"/>
          <w:sz w:val="32"/>
          <w:szCs w:val="32"/>
          <w:lang w:val="en-US" w:eastAsia="zh-CN"/>
        </w:rPr>
        <w:t>运</w:t>
      </w:r>
      <w:r>
        <w:rPr>
          <w:rFonts w:hint="eastAsia" w:ascii="仿宋" w:hAnsi="仿宋" w:eastAsia="仿宋" w:cs="仿宋"/>
          <w:color w:val="auto"/>
          <w:sz w:val="32"/>
          <w:szCs w:val="32"/>
          <w:lang w:val="en-US" w:eastAsia="zh-CN"/>
        </w:rPr>
        <w:t>营</w:t>
      </w:r>
      <w:r>
        <w:rPr>
          <w:rFonts w:hint="default" w:ascii="仿宋" w:hAnsi="仿宋" w:eastAsia="仿宋" w:cs="仿宋"/>
          <w:color w:val="auto"/>
          <w:sz w:val="32"/>
          <w:szCs w:val="32"/>
          <w:lang w:val="en-US" w:eastAsia="zh-CN"/>
        </w:rPr>
        <w:t>期</w:t>
      </w:r>
      <w:r>
        <w:rPr>
          <w:rFonts w:hint="eastAsia" w:ascii="仿宋" w:hAnsi="仿宋" w:eastAsia="仿宋" w:cs="仿宋"/>
          <w:color w:val="auto"/>
          <w:sz w:val="32"/>
          <w:szCs w:val="32"/>
        </w:rPr>
        <w:t>生产废水全部排入厂区化粪池，定期拉运至污水处理厂</w:t>
      </w:r>
      <w:r>
        <w:rPr>
          <w:rFonts w:hint="eastAsia" w:ascii="仿宋" w:hAnsi="仿宋" w:eastAsia="仿宋" w:cs="仿宋"/>
          <w:color w:val="auto"/>
          <w:sz w:val="32"/>
          <w:szCs w:val="32"/>
          <w:lang w:val="en-US" w:eastAsia="zh-CN"/>
        </w:rPr>
        <w:t>;不新增生活污水。</w:t>
      </w:r>
    </w:p>
    <w:p w14:paraId="59B4AD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w:t>
      </w:r>
      <w:r>
        <w:rPr>
          <w:rStyle w:val="16"/>
          <w:rFonts w:hint="eastAsia" w:ascii="仿宋" w:hAnsi="仿宋" w:eastAsia="仿宋" w:cs="Times New Roman"/>
          <w:color w:val="auto"/>
          <w:sz w:val="32"/>
          <w:szCs w:val="32"/>
          <w:lang w:val="en-US" w:eastAsia="zh-CN"/>
        </w:rPr>
        <w:t>噪声污染防治措施。通过</w:t>
      </w:r>
      <w:r>
        <w:rPr>
          <w:rStyle w:val="16"/>
          <w:rFonts w:hint="eastAsia" w:ascii="仿宋" w:hAnsi="仿宋" w:eastAsia="仿宋"/>
          <w:color w:val="auto"/>
          <w:sz w:val="32"/>
          <w:szCs w:val="32"/>
          <w:lang w:val="en-US" w:eastAsia="zh-CN"/>
        </w:rPr>
        <w:t>选用低噪声设备，基</w:t>
      </w:r>
      <w:r>
        <w:rPr>
          <w:rStyle w:val="16"/>
          <w:rFonts w:hint="eastAsia" w:ascii="仿宋" w:hAnsi="仿宋" w:eastAsia="仿宋"/>
          <w:color w:val="auto"/>
          <w:sz w:val="32"/>
          <w:szCs w:val="32"/>
          <w:highlight w:val="none"/>
          <w:lang w:val="en-US" w:eastAsia="zh-CN"/>
        </w:rPr>
        <w:t>础减振和厂房隔声等措施，确保</w:t>
      </w:r>
      <w:r>
        <w:rPr>
          <w:rStyle w:val="16"/>
          <w:rFonts w:hint="eastAsia" w:ascii="仿宋" w:hAnsi="仿宋" w:eastAsia="仿宋"/>
          <w:color w:val="auto"/>
          <w:sz w:val="32"/>
          <w:szCs w:val="32"/>
          <w:highlight w:val="none"/>
        </w:rPr>
        <w:t>运营期厂界噪声</w:t>
      </w:r>
      <w:r>
        <w:rPr>
          <w:rStyle w:val="16"/>
          <w:rFonts w:hint="eastAsia" w:ascii="仿宋" w:hAnsi="仿宋" w:eastAsia="仿宋"/>
          <w:color w:val="auto"/>
          <w:sz w:val="32"/>
          <w:szCs w:val="32"/>
          <w:highlight w:val="none"/>
          <w:lang w:val="en-US" w:eastAsia="zh-CN"/>
        </w:rPr>
        <w:t>满足</w:t>
      </w:r>
      <w:r>
        <w:rPr>
          <w:rFonts w:hint="eastAsia" w:ascii="仿宋" w:hAnsi="仿宋" w:eastAsia="仿宋" w:cs="仿宋"/>
          <w:color w:val="auto"/>
          <w:sz w:val="32"/>
          <w:szCs w:val="32"/>
        </w:rPr>
        <w:t>《工业企业厂界环境噪声排放</w:t>
      </w:r>
      <w:r>
        <w:rPr>
          <w:rFonts w:hint="eastAsia" w:ascii="仿宋" w:hAnsi="仿宋" w:eastAsia="仿宋" w:cs="仿宋"/>
          <w:color w:val="auto"/>
          <w:sz w:val="32"/>
          <w:szCs w:val="32"/>
          <w:lang w:val="en-US" w:eastAsia="zh-CN"/>
        </w:rPr>
        <w:t>标</w:t>
      </w:r>
      <w:r>
        <w:rPr>
          <w:rFonts w:hint="eastAsia" w:ascii="仿宋" w:hAnsi="仿宋" w:eastAsia="仿宋" w:cs="仿宋"/>
          <w:color w:val="auto"/>
          <w:sz w:val="32"/>
          <w:szCs w:val="32"/>
        </w:rPr>
        <w:t>准》（GB12348-2008）中</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rPr>
        <w:t>类标准。</w:t>
      </w:r>
    </w:p>
    <w:p w14:paraId="51C834F3">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4、</w:t>
      </w:r>
      <w:r>
        <w:rPr>
          <w:rStyle w:val="16"/>
          <w:rFonts w:hint="eastAsia" w:ascii="仿宋" w:hAnsi="仿宋" w:eastAsia="仿宋" w:cs="Times New Roman"/>
          <w:color w:val="auto"/>
          <w:sz w:val="32"/>
          <w:szCs w:val="32"/>
          <w:lang w:val="en-US" w:eastAsia="zh-CN" w:bidi="ar-SA"/>
        </w:rPr>
        <w:t>固废污染防治措施。</w:t>
      </w:r>
      <w:r>
        <w:rPr>
          <w:rFonts w:hint="eastAsia" w:ascii="仿宋" w:hAnsi="仿宋" w:eastAsia="仿宋" w:cs="仿宋"/>
          <w:strike w:val="0"/>
          <w:dstrike w:val="0"/>
          <w:color w:val="auto"/>
          <w:kern w:val="0"/>
          <w:sz w:val="32"/>
          <w:szCs w:val="32"/>
          <w:lang w:val="en-US" w:eastAsia="zh-CN" w:bidi="ar-SA"/>
        </w:rPr>
        <w:t>妥善处置各类固体废弃物。建设单位须严格按照《一般工业固体废物贮存和填埋污染控制标准》（GB18599-2020）处置一般固废，不得乱弃。</w:t>
      </w:r>
    </w:p>
    <w:p w14:paraId="303ACBB9">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5、强化环境风险防范，制定突发环境事件应急预案，落实环境风险事故防范措施，提高事故风险防范和污染控制能力。</w:t>
      </w:r>
    </w:p>
    <w:p w14:paraId="0A044667">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6、按照《排污口规范化整治技术要求》（环监〔1996〕470号）规范设置排污口。</w:t>
      </w:r>
    </w:p>
    <w:p w14:paraId="08EDA275">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Style w:val="16"/>
          <w:rFonts w:hint="eastAsia" w:ascii="仿宋" w:hAnsi="仿宋" w:eastAsia="仿宋" w:cs="Times New Roman"/>
          <w:color w:val="auto"/>
          <w:sz w:val="32"/>
          <w:szCs w:val="32"/>
          <w:highlight w:val="none"/>
          <w:lang w:val="en-US" w:eastAsia="zh-CN"/>
        </w:rPr>
      </w:pPr>
      <w:r>
        <w:rPr>
          <w:rStyle w:val="16"/>
          <w:rFonts w:hint="eastAsia" w:ascii="仿宋" w:hAnsi="仿宋" w:eastAsia="仿宋" w:cs="Times New Roman"/>
          <w:color w:val="auto"/>
          <w:sz w:val="32"/>
          <w:szCs w:val="32"/>
          <w:highlight w:val="none"/>
          <w:lang w:val="en-US" w:eastAsia="zh-CN"/>
        </w:rPr>
        <w:t>三、本项目申请二氧化硫和氮氧化物总量分别为0.15吨/年和0.22吨/年（鄂环气字〔2025〕20号）。</w:t>
      </w:r>
    </w:p>
    <w:p w14:paraId="469C7AEB">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Style w:val="16"/>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四、你单位应委托有相应资质的设计单位对建设项目重点环保设施进行设计，并在项目施工及运行过程中严格落实环保设施安全生产工作要求。</w:t>
      </w:r>
    </w:p>
    <w:p w14:paraId="501C7E2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Style w:val="16"/>
          <w:rFonts w:ascii="仿宋" w:hAnsi="仿宋" w:eastAsia="仿宋"/>
          <w:color w:val="auto"/>
          <w:sz w:val="32"/>
          <w:szCs w:val="32"/>
        </w:rPr>
      </w:pPr>
      <w:r>
        <w:rPr>
          <w:rStyle w:val="16"/>
          <w:rFonts w:hint="eastAsia" w:ascii="仿宋" w:hAnsi="仿宋" w:eastAsia="仿宋"/>
          <w:color w:val="auto"/>
          <w:sz w:val="32"/>
          <w:szCs w:val="32"/>
          <w:lang w:val="en-US" w:eastAsia="zh-CN"/>
        </w:rPr>
        <w:t>五、</w:t>
      </w: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09707A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s="Times New Roman"/>
          <w:color w:val="auto"/>
          <w:sz w:val="32"/>
          <w:szCs w:val="32"/>
          <w:lang w:val="en-US" w:eastAsia="zh-CN"/>
        </w:rPr>
        <w:t>六、</w:t>
      </w:r>
      <w:r>
        <w:rPr>
          <w:rStyle w:val="16"/>
          <w:rFonts w:hint="eastAsia" w:ascii="仿宋" w:hAnsi="仿宋" w:eastAsia="仿宋" w:cs="Times New Roman"/>
          <w:color w:val="auto"/>
          <w:sz w:val="32"/>
          <w:szCs w:val="32"/>
        </w:rPr>
        <w:t>该项目事中事后监管由鄂尔多斯市生态环境综合行政执法支队东胜区大队负责</w:t>
      </w:r>
      <w:r>
        <w:rPr>
          <w:rStyle w:val="16"/>
          <w:rFonts w:hint="eastAsia" w:ascii="仿宋" w:hAnsi="仿宋" w:eastAsia="仿宋" w:cs="Times New Roman"/>
          <w:color w:val="auto"/>
          <w:sz w:val="32"/>
          <w:szCs w:val="32"/>
          <w:lang w:eastAsia="zh-CN"/>
        </w:rPr>
        <w:t>。</w:t>
      </w:r>
    </w:p>
    <w:p w14:paraId="265083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Style w:val="16"/>
          <w:rFonts w:ascii="仿宋" w:hAnsi="仿宋" w:eastAsia="仿宋"/>
          <w:color w:val="auto"/>
          <w:sz w:val="32"/>
          <w:szCs w:val="32"/>
        </w:rPr>
      </w:pPr>
      <w:r>
        <w:rPr>
          <w:rStyle w:val="16"/>
          <w:rFonts w:hint="eastAsia" w:ascii="仿宋" w:hAnsi="仿宋" w:eastAsia="仿宋"/>
          <w:color w:val="auto"/>
          <w:sz w:val="32"/>
          <w:szCs w:val="32"/>
          <w:lang w:val="en-US" w:eastAsia="zh-CN"/>
        </w:rPr>
        <w:t>七、</w:t>
      </w: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ascii="仿宋" w:hAnsi="仿宋" w:eastAsia="仿宋"/>
          <w:color w:val="auto"/>
          <w:sz w:val="32"/>
          <w:szCs w:val="32"/>
        </w:rPr>
        <w:t xml:space="preserve">                                       </w:t>
      </w:r>
    </w:p>
    <w:p w14:paraId="6C768364">
      <w:pPr>
        <w:pStyle w:val="2"/>
        <w:jc w:val="left"/>
        <w:rPr>
          <w:rFonts w:hint="eastAsia"/>
          <w:color w:val="auto"/>
          <w:lang w:val="en-US" w:eastAsia="zh-CN"/>
        </w:rPr>
      </w:pPr>
      <w:r>
        <w:rPr>
          <w:rFonts w:hint="eastAsia"/>
          <w:color w:val="auto"/>
          <w:lang w:val="en-US" w:eastAsia="zh-CN"/>
        </w:rPr>
        <w:t xml:space="preserve">   </w:t>
      </w:r>
    </w:p>
    <w:p w14:paraId="0E5604E1">
      <w:pPr>
        <w:rPr>
          <w:rFonts w:hint="eastAsia"/>
          <w:color w:val="auto"/>
          <w:lang w:val="en-US" w:eastAsia="zh-CN"/>
        </w:rPr>
      </w:pPr>
    </w:p>
    <w:p w14:paraId="2C47B4E2">
      <w:pPr>
        <w:pStyle w:val="4"/>
        <w:rPr>
          <w:rFonts w:hint="eastAsia"/>
          <w:lang w:val="en-US" w:eastAsia="zh-CN"/>
        </w:rPr>
      </w:pPr>
    </w:p>
    <w:p w14:paraId="1CE37763">
      <w:pPr>
        <w:pStyle w:val="4"/>
        <w:rPr>
          <w:rFonts w:hint="default"/>
          <w:lang w:val="en-US" w:eastAsia="zh-CN"/>
        </w:rPr>
      </w:pPr>
    </w:p>
    <w:p w14:paraId="3DD92E70">
      <w:pPr>
        <w:jc w:val="left"/>
      </w:pPr>
    </w:p>
    <w:p w14:paraId="5DC40BC4">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14:paraId="1D83DC09">
      <w:pPr>
        <w:spacing w:line="360" w:lineRule="auto"/>
        <w:ind w:firstLine="640" w:firstLineChars="200"/>
        <w:textAlignment w:val="auto"/>
        <w:rPr>
          <w:rStyle w:val="16"/>
          <w:rFonts w:ascii="仿宋" w:hAnsi="仿宋" w:eastAsia="仿宋"/>
          <w:color w:val="auto"/>
          <w:sz w:val="32"/>
          <w:szCs w:val="32"/>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5</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28</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14:paraId="4400667D">
      <w:pPr>
        <w:spacing w:line="360" w:lineRule="auto"/>
        <w:ind w:firstLine="640" w:firstLineChars="200"/>
        <w:textAlignment w:val="auto"/>
        <w:rPr>
          <w:rStyle w:val="16"/>
          <w:rFonts w:ascii="仿宋" w:hAnsi="仿宋" w:eastAsia="仿宋"/>
          <w:color w:val="auto"/>
          <w:sz w:val="32"/>
          <w:szCs w:val="32"/>
        </w:rPr>
      </w:pPr>
    </w:p>
    <w:p w14:paraId="79FE0FD6">
      <w:pPr>
        <w:spacing w:line="360" w:lineRule="auto"/>
        <w:ind w:firstLine="640" w:firstLineChars="200"/>
        <w:textAlignment w:val="auto"/>
        <w:rPr>
          <w:rStyle w:val="16"/>
          <w:rFonts w:ascii="仿宋" w:hAnsi="仿宋" w:eastAsia="仿宋"/>
          <w:color w:val="auto"/>
          <w:sz w:val="32"/>
          <w:szCs w:val="32"/>
        </w:rPr>
      </w:pPr>
    </w:p>
    <w:p w14:paraId="30F5A9BD">
      <w:pPr>
        <w:spacing w:line="360" w:lineRule="auto"/>
        <w:ind w:firstLine="640" w:firstLineChars="200"/>
        <w:textAlignment w:val="auto"/>
        <w:rPr>
          <w:rStyle w:val="16"/>
          <w:rFonts w:ascii="仿宋" w:hAnsi="仿宋" w:eastAsia="仿宋"/>
          <w:color w:val="auto"/>
          <w:sz w:val="32"/>
          <w:szCs w:val="32"/>
        </w:rPr>
      </w:pPr>
    </w:p>
    <w:p w14:paraId="1CF2B37B">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5</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28</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3DE78">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976857D">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0976857D">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14:paraId="07206646">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8B79F">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BC0C040">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2BC0C040">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14:paraId="11190558">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6EAD9">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900123"/>
    <w:multiLevelType w:val="singleLevel"/>
    <w:tmpl w:val="0890012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evenAndOddHeaders w:val="1"/>
  <w:displayHorizontalDrawingGridEvery w:val="1"/>
  <w:displayVerticalDrawingGridEvery w:val="1"/>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645F8"/>
    <w:rsid w:val="00E82E40"/>
    <w:rsid w:val="00F5710E"/>
    <w:rsid w:val="00F634D8"/>
    <w:rsid w:val="00F7548A"/>
    <w:rsid w:val="00FA618D"/>
    <w:rsid w:val="01210341"/>
    <w:rsid w:val="01AC556B"/>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822685D"/>
    <w:rsid w:val="08660559"/>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ACC485F"/>
    <w:rsid w:val="0B304DED"/>
    <w:rsid w:val="0B440899"/>
    <w:rsid w:val="0B6446A4"/>
    <w:rsid w:val="0BA55642"/>
    <w:rsid w:val="0BD72E57"/>
    <w:rsid w:val="0BDE1694"/>
    <w:rsid w:val="0C2B3A73"/>
    <w:rsid w:val="0C301322"/>
    <w:rsid w:val="0C5555BE"/>
    <w:rsid w:val="0CAF1FCC"/>
    <w:rsid w:val="0CC65836"/>
    <w:rsid w:val="0CFC12E8"/>
    <w:rsid w:val="0D693F98"/>
    <w:rsid w:val="0D830185"/>
    <w:rsid w:val="0DF20A80"/>
    <w:rsid w:val="0E2F5220"/>
    <w:rsid w:val="0E364873"/>
    <w:rsid w:val="0E385A18"/>
    <w:rsid w:val="0E570138"/>
    <w:rsid w:val="0E846C5B"/>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203999"/>
    <w:rsid w:val="13464D5E"/>
    <w:rsid w:val="1398649C"/>
    <w:rsid w:val="139A0B1F"/>
    <w:rsid w:val="13C532EF"/>
    <w:rsid w:val="144C07C7"/>
    <w:rsid w:val="1562595D"/>
    <w:rsid w:val="15652C35"/>
    <w:rsid w:val="156D1455"/>
    <w:rsid w:val="15E91737"/>
    <w:rsid w:val="16015C16"/>
    <w:rsid w:val="16041455"/>
    <w:rsid w:val="168C74C9"/>
    <w:rsid w:val="16FF6904"/>
    <w:rsid w:val="171F5F2F"/>
    <w:rsid w:val="1747459A"/>
    <w:rsid w:val="178F5508"/>
    <w:rsid w:val="17D90483"/>
    <w:rsid w:val="17E15C23"/>
    <w:rsid w:val="181C5F12"/>
    <w:rsid w:val="18207E93"/>
    <w:rsid w:val="188A5136"/>
    <w:rsid w:val="188E5849"/>
    <w:rsid w:val="18A37FC9"/>
    <w:rsid w:val="18AE27A5"/>
    <w:rsid w:val="18CC5434"/>
    <w:rsid w:val="18E54146"/>
    <w:rsid w:val="19473B43"/>
    <w:rsid w:val="19AC1F9C"/>
    <w:rsid w:val="19EA6791"/>
    <w:rsid w:val="19F825D9"/>
    <w:rsid w:val="1A437161"/>
    <w:rsid w:val="1A6C6995"/>
    <w:rsid w:val="1A805ECF"/>
    <w:rsid w:val="1AED4AA9"/>
    <w:rsid w:val="1AF35528"/>
    <w:rsid w:val="1AFA27E4"/>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7A6B27"/>
    <w:rsid w:val="1F9A03FC"/>
    <w:rsid w:val="1F9F4FD0"/>
    <w:rsid w:val="1FB13B43"/>
    <w:rsid w:val="1FBC0EEE"/>
    <w:rsid w:val="1FFD3A90"/>
    <w:rsid w:val="203E5C2F"/>
    <w:rsid w:val="20723F75"/>
    <w:rsid w:val="208B0C0A"/>
    <w:rsid w:val="209F2E8C"/>
    <w:rsid w:val="20C94FCD"/>
    <w:rsid w:val="20CF0133"/>
    <w:rsid w:val="212154AC"/>
    <w:rsid w:val="2127683B"/>
    <w:rsid w:val="21500F9E"/>
    <w:rsid w:val="217D77E0"/>
    <w:rsid w:val="21DC075D"/>
    <w:rsid w:val="21EF70BE"/>
    <w:rsid w:val="220E66BC"/>
    <w:rsid w:val="221B45B1"/>
    <w:rsid w:val="2265588B"/>
    <w:rsid w:val="228C2292"/>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7000E4"/>
    <w:rsid w:val="269E1BDF"/>
    <w:rsid w:val="26C86AE1"/>
    <w:rsid w:val="27063174"/>
    <w:rsid w:val="2745621A"/>
    <w:rsid w:val="274B306C"/>
    <w:rsid w:val="28150F91"/>
    <w:rsid w:val="284321AC"/>
    <w:rsid w:val="28441A80"/>
    <w:rsid w:val="28665E9B"/>
    <w:rsid w:val="288E0726"/>
    <w:rsid w:val="289A0EE5"/>
    <w:rsid w:val="28A2177B"/>
    <w:rsid w:val="28DA25CC"/>
    <w:rsid w:val="2956242B"/>
    <w:rsid w:val="29625978"/>
    <w:rsid w:val="29BE7B24"/>
    <w:rsid w:val="29C63095"/>
    <w:rsid w:val="29EC1002"/>
    <w:rsid w:val="2A173A82"/>
    <w:rsid w:val="2A27019D"/>
    <w:rsid w:val="2A4A7282"/>
    <w:rsid w:val="2A77431C"/>
    <w:rsid w:val="2AB8571B"/>
    <w:rsid w:val="2ABD6442"/>
    <w:rsid w:val="2ACD268E"/>
    <w:rsid w:val="2AF53CB3"/>
    <w:rsid w:val="2B065713"/>
    <w:rsid w:val="2B496FAB"/>
    <w:rsid w:val="2B5F7DC4"/>
    <w:rsid w:val="2BD26C46"/>
    <w:rsid w:val="2BDE5B5E"/>
    <w:rsid w:val="2C3F708C"/>
    <w:rsid w:val="2C871D94"/>
    <w:rsid w:val="2CAE4D3A"/>
    <w:rsid w:val="2CE7407F"/>
    <w:rsid w:val="2CFB6C68"/>
    <w:rsid w:val="2D1C121E"/>
    <w:rsid w:val="2D5C4C74"/>
    <w:rsid w:val="2D5F771D"/>
    <w:rsid w:val="2DAA682A"/>
    <w:rsid w:val="2DD6130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AA08EF"/>
    <w:rsid w:val="30BD0622"/>
    <w:rsid w:val="30CD0F38"/>
    <w:rsid w:val="312C0E37"/>
    <w:rsid w:val="31451F91"/>
    <w:rsid w:val="3166710B"/>
    <w:rsid w:val="31B97443"/>
    <w:rsid w:val="31E74361"/>
    <w:rsid w:val="322A1CE7"/>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352E7D"/>
    <w:rsid w:val="3587701E"/>
    <w:rsid w:val="35DE6483"/>
    <w:rsid w:val="361479B3"/>
    <w:rsid w:val="362A341F"/>
    <w:rsid w:val="36995FE7"/>
    <w:rsid w:val="36CB51E2"/>
    <w:rsid w:val="36D33EE3"/>
    <w:rsid w:val="37010A46"/>
    <w:rsid w:val="37075CEA"/>
    <w:rsid w:val="371F6C8E"/>
    <w:rsid w:val="372344BA"/>
    <w:rsid w:val="37334EA2"/>
    <w:rsid w:val="375C4DD9"/>
    <w:rsid w:val="375D3876"/>
    <w:rsid w:val="37663248"/>
    <w:rsid w:val="376B08F5"/>
    <w:rsid w:val="37966A72"/>
    <w:rsid w:val="37D77582"/>
    <w:rsid w:val="37E5426D"/>
    <w:rsid w:val="37FF7133"/>
    <w:rsid w:val="38114125"/>
    <w:rsid w:val="38176CB5"/>
    <w:rsid w:val="38252AC8"/>
    <w:rsid w:val="389B5401"/>
    <w:rsid w:val="38B3284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B17760"/>
    <w:rsid w:val="3DD06792"/>
    <w:rsid w:val="3E6216DB"/>
    <w:rsid w:val="3E6D2368"/>
    <w:rsid w:val="3E8C50F6"/>
    <w:rsid w:val="3E9E6EFC"/>
    <w:rsid w:val="3EA147B7"/>
    <w:rsid w:val="3EAA1A98"/>
    <w:rsid w:val="3ED64314"/>
    <w:rsid w:val="3EDA3818"/>
    <w:rsid w:val="3EE12A57"/>
    <w:rsid w:val="3EE34114"/>
    <w:rsid w:val="3EE73D8E"/>
    <w:rsid w:val="3EEF2E69"/>
    <w:rsid w:val="3F267EF6"/>
    <w:rsid w:val="3F516B05"/>
    <w:rsid w:val="3F544D41"/>
    <w:rsid w:val="3F6B5690"/>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C755E8"/>
    <w:rsid w:val="43DA60A1"/>
    <w:rsid w:val="43E35A87"/>
    <w:rsid w:val="43EC55F4"/>
    <w:rsid w:val="4477148F"/>
    <w:rsid w:val="44947B97"/>
    <w:rsid w:val="44A75A3C"/>
    <w:rsid w:val="44B519AF"/>
    <w:rsid w:val="4502587E"/>
    <w:rsid w:val="458429FA"/>
    <w:rsid w:val="463C0677"/>
    <w:rsid w:val="46773189"/>
    <w:rsid w:val="467C4988"/>
    <w:rsid w:val="468B5AEB"/>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89D100D"/>
    <w:rsid w:val="49540677"/>
    <w:rsid w:val="49926C6C"/>
    <w:rsid w:val="49A72BD4"/>
    <w:rsid w:val="49AA4FB0"/>
    <w:rsid w:val="49DB78B5"/>
    <w:rsid w:val="49E97A04"/>
    <w:rsid w:val="49EA569C"/>
    <w:rsid w:val="4A494A22"/>
    <w:rsid w:val="4A911B79"/>
    <w:rsid w:val="4ADF223E"/>
    <w:rsid w:val="4AF07DCC"/>
    <w:rsid w:val="4B125F29"/>
    <w:rsid w:val="4B620F05"/>
    <w:rsid w:val="4B9F6E4A"/>
    <w:rsid w:val="4BA42C32"/>
    <w:rsid w:val="4BAD0F90"/>
    <w:rsid w:val="4C2274BE"/>
    <w:rsid w:val="4CD95DD7"/>
    <w:rsid w:val="4D137AF0"/>
    <w:rsid w:val="4D377F90"/>
    <w:rsid w:val="4D743394"/>
    <w:rsid w:val="4D7C0517"/>
    <w:rsid w:val="4DAC584E"/>
    <w:rsid w:val="4DD86D52"/>
    <w:rsid w:val="4DDE7B5E"/>
    <w:rsid w:val="4E062159"/>
    <w:rsid w:val="4E543FF1"/>
    <w:rsid w:val="4EC56144"/>
    <w:rsid w:val="4EDE412D"/>
    <w:rsid w:val="4F044A24"/>
    <w:rsid w:val="4F0B6B33"/>
    <w:rsid w:val="4F2B1F6E"/>
    <w:rsid w:val="4F4437F3"/>
    <w:rsid w:val="4F94752D"/>
    <w:rsid w:val="4F9668DE"/>
    <w:rsid w:val="4FC43323"/>
    <w:rsid w:val="4FD91C66"/>
    <w:rsid w:val="4FDF1ADA"/>
    <w:rsid w:val="4FE651D4"/>
    <w:rsid w:val="501660DD"/>
    <w:rsid w:val="505F24B0"/>
    <w:rsid w:val="50681DDC"/>
    <w:rsid w:val="507026E4"/>
    <w:rsid w:val="50C61171"/>
    <w:rsid w:val="51167CDE"/>
    <w:rsid w:val="51324DA9"/>
    <w:rsid w:val="51AD2147"/>
    <w:rsid w:val="51B434D2"/>
    <w:rsid w:val="51CE1891"/>
    <w:rsid w:val="51D501ED"/>
    <w:rsid w:val="51DE248E"/>
    <w:rsid w:val="522D7F16"/>
    <w:rsid w:val="523952D8"/>
    <w:rsid w:val="523B2FBD"/>
    <w:rsid w:val="52400F9E"/>
    <w:rsid w:val="52473BB8"/>
    <w:rsid w:val="52642B9B"/>
    <w:rsid w:val="52854FEC"/>
    <w:rsid w:val="5288313B"/>
    <w:rsid w:val="52D27DE3"/>
    <w:rsid w:val="52F33045"/>
    <w:rsid w:val="531F408E"/>
    <w:rsid w:val="53406525"/>
    <w:rsid w:val="534B5C0F"/>
    <w:rsid w:val="53646721"/>
    <w:rsid w:val="53E44017"/>
    <w:rsid w:val="5432323D"/>
    <w:rsid w:val="54331B24"/>
    <w:rsid w:val="54583460"/>
    <w:rsid w:val="54686A39"/>
    <w:rsid w:val="54B75DCF"/>
    <w:rsid w:val="54E641C3"/>
    <w:rsid w:val="54EC6DF6"/>
    <w:rsid w:val="54F1654C"/>
    <w:rsid w:val="54F16F78"/>
    <w:rsid w:val="55215714"/>
    <w:rsid w:val="554D7806"/>
    <w:rsid w:val="555B0286"/>
    <w:rsid w:val="55876BE5"/>
    <w:rsid w:val="55A94050"/>
    <w:rsid w:val="55CA36B6"/>
    <w:rsid w:val="567F5F3C"/>
    <w:rsid w:val="56DB6AC7"/>
    <w:rsid w:val="56DF16DC"/>
    <w:rsid w:val="57184CF1"/>
    <w:rsid w:val="57780B5F"/>
    <w:rsid w:val="57B96494"/>
    <w:rsid w:val="57DD76E9"/>
    <w:rsid w:val="57FC658A"/>
    <w:rsid w:val="57FE5FE5"/>
    <w:rsid w:val="58095D77"/>
    <w:rsid w:val="586A1F97"/>
    <w:rsid w:val="588B0E82"/>
    <w:rsid w:val="589C6ECF"/>
    <w:rsid w:val="593212FE"/>
    <w:rsid w:val="59597413"/>
    <w:rsid w:val="5988716F"/>
    <w:rsid w:val="59BA4CD4"/>
    <w:rsid w:val="59EE5797"/>
    <w:rsid w:val="5AC272A3"/>
    <w:rsid w:val="5B307B0A"/>
    <w:rsid w:val="5B557E8F"/>
    <w:rsid w:val="5BB1110B"/>
    <w:rsid w:val="5C1B42CB"/>
    <w:rsid w:val="5C2B7BE1"/>
    <w:rsid w:val="5C621337"/>
    <w:rsid w:val="5C7F01BD"/>
    <w:rsid w:val="5D6C33D5"/>
    <w:rsid w:val="5DA25547"/>
    <w:rsid w:val="5DC5227C"/>
    <w:rsid w:val="5DD32B36"/>
    <w:rsid w:val="5DD74E59"/>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854409"/>
    <w:rsid w:val="60B2650C"/>
    <w:rsid w:val="611D40E2"/>
    <w:rsid w:val="614462DE"/>
    <w:rsid w:val="61B516C4"/>
    <w:rsid w:val="61EF4764"/>
    <w:rsid w:val="625904A9"/>
    <w:rsid w:val="628730AA"/>
    <w:rsid w:val="62A64AED"/>
    <w:rsid w:val="62BE2B8C"/>
    <w:rsid w:val="632D32DF"/>
    <w:rsid w:val="634C56B2"/>
    <w:rsid w:val="636B778B"/>
    <w:rsid w:val="63713FBD"/>
    <w:rsid w:val="63950102"/>
    <w:rsid w:val="641D5FD9"/>
    <w:rsid w:val="64566E62"/>
    <w:rsid w:val="647677D7"/>
    <w:rsid w:val="64770209"/>
    <w:rsid w:val="65042865"/>
    <w:rsid w:val="651360F5"/>
    <w:rsid w:val="651B024D"/>
    <w:rsid w:val="65571260"/>
    <w:rsid w:val="65620EA6"/>
    <w:rsid w:val="65640A91"/>
    <w:rsid w:val="65AB3C61"/>
    <w:rsid w:val="65B25CB4"/>
    <w:rsid w:val="65CE2481"/>
    <w:rsid w:val="65DC4ACB"/>
    <w:rsid w:val="65EB11B2"/>
    <w:rsid w:val="65FB616C"/>
    <w:rsid w:val="661125F2"/>
    <w:rsid w:val="6611695D"/>
    <w:rsid w:val="66194DC3"/>
    <w:rsid w:val="661C5B1D"/>
    <w:rsid w:val="66267FA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C25CE"/>
    <w:rsid w:val="6B275374"/>
    <w:rsid w:val="6B826114"/>
    <w:rsid w:val="6BEB28AD"/>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A67FA2"/>
    <w:rsid w:val="6F957251"/>
    <w:rsid w:val="70645DE9"/>
    <w:rsid w:val="70921C55"/>
    <w:rsid w:val="70B658E9"/>
    <w:rsid w:val="71283ECD"/>
    <w:rsid w:val="713D11CB"/>
    <w:rsid w:val="7147364E"/>
    <w:rsid w:val="71502437"/>
    <w:rsid w:val="71E362C3"/>
    <w:rsid w:val="7219039A"/>
    <w:rsid w:val="731775B6"/>
    <w:rsid w:val="73BA11B9"/>
    <w:rsid w:val="73D60472"/>
    <w:rsid w:val="73E84F83"/>
    <w:rsid w:val="73F53D48"/>
    <w:rsid w:val="744F3F9E"/>
    <w:rsid w:val="746D7236"/>
    <w:rsid w:val="7496752E"/>
    <w:rsid w:val="755B54D7"/>
    <w:rsid w:val="75765328"/>
    <w:rsid w:val="75A177EE"/>
    <w:rsid w:val="75C71031"/>
    <w:rsid w:val="75D86CD4"/>
    <w:rsid w:val="760E7139"/>
    <w:rsid w:val="76496AA8"/>
    <w:rsid w:val="764C4F9C"/>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C30024"/>
    <w:rsid w:val="79E24199"/>
    <w:rsid w:val="7A281851"/>
    <w:rsid w:val="7A550F13"/>
    <w:rsid w:val="7A773BB5"/>
    <w:rsid w:val="7A8152C9"/>
    <w:rsid w:val="7AC34054"/>
    <w:rsid w:val="7AD20151"/>
    <w:rsid w:val="7B345817"/>
    <w:rsid w:val="7B5D3DBD"/>
    <w:rsid w:val="7B62786A"/>
    <w:rsid w:val="7BAD7F79"/>
    <w:rsid w:val="7BE82E7A"/>
    <w:rsid w:val="7C047330"/>
    <w:rsid w:val="7C1A0DC0"/>
    <w:rsid w:val="7C614B37"/>
    <w:rsid w:val="7CB32997"/>
    <w:rsid w:val="7CE039CF"/>
    <w:rsid w:val="7D54267F"/>
    <w:rsid w:val="7D7B56F9"/>
    <w:rsid w:val="7D7C739E"/>
    <w:rsid w:val="7DA95783"/>
    <w:rsid w:val="7DBD5F66"/>
    <w:rsid w:val="7DC17EA6"/>
    <w:rsid w:val="7DCE51E9"/>
    <w:rsid w:val="7E0D5B2C"/>
    <w:rsid w:val="7E2115B9"/>
    <w:rsid w:val="7E53749D"/>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autoRedefine/>
    <w:qFormat/>
    <w:uiPriority w:val="99"/>
    <w:pPr>
      <w:spacing w:line="240" w:lineRule="auto"/>
      <w:ind w:firstLine="420"/>
    </w:pPr>
  </w:style>
  <w:style w:type="paragraph" w:styleId="3">
    <w:name w:val="Body Text Indent"/>
    <w:basedOn w:val="1"/>
    <w:autoRedefine/>
    <w:qFormat/>
    <w:uiPriority w:val="99"/>
    <w:pPr>
      <w:ind w:left="420" w:leftChars="200"/>
    </w:pPr>
  </w:style>
  <w:style w:type="paragraph" w:styleId="4">
    <w:name w:val="Normal Indent"/>
    <w:basedOn w:val="1"/>
    <w:next w:val="2"/>
    <w:autoRedefine/>
    <w:qFormat/>
    <w:uiPriority w:val="0"/>
    <w:pPr>
      <w:ind w:firstLine="420"/>
    </w:pPr>
  </w:style>
  <w:style w:type="paragraph" w:styleId="5">
    <w:name w:val="annotation text"/>
    <w:basedOn w:val="1"/>
    <w:autoRedefine/>
    <w:qFormat/>
    <w:uiPriority w:val="0"/>
    <w:pPr>
      <w:jc w:val="left"/>
    </w:pPr>
  </w:style>
  <w:style w:type="paragraph" w:styleId="6">
    <w:name w:val="Body Text"/>
    <w:basedOn w:val="1"/>
    <w:next w:val="1"/>
    <w:link w:val="21"/>
    <w:autoRedefine/>
    <w:qFormat/>
    <w:uiPriority w:val="99"/>
    <w:pPr>
      <w:spacing w:after="120"/>
    </w:pPr>
    <w:rPr>
      <w:rFonts w:ascii="Calibri" w:hAnsi="Calibri"/>
      <w:szCs w:val="22"/>
    </w:rPr>
  </w:style>
  <w:style w:type="paragraph" w:styleId="7">
    <w:name w:val="Plain Text"/>
    <w:basedOn w:val="1"/>
    <w:autoRedefine/>
    <w:qFormat/>
    <w:uiPriority w:val="0"/>
    <w:rPr>
      <w:rFonts w:ascii="宋体" w:hAnsi="Courier New"/>
      <w:szCs w:val="21"/>
    </w:rPr>
  </w:style>
  <w:style w:type="paragraph" w:styleId="8">
    <w:name w:val="Date"/>
    <w:basedOn w:val="1"/>
    <w:next w:val="1"/>
    <w:link w:val="22"/>
    <w:autoRedefine/>
    <w:qFormat/>
    <w:uiPriority w:val="99"/>
    <w:pPr>
      <w:ind w:left="100" w:leftChars="2500"/>
    </w:pPr>
  </w:style>
  <w:style w:type="paragraph" w:styleId="9">
    <w:name w:val="footer"/>
    <w:basedOn w:val="1"/>
    <w:link w:val="23"/>
    <w:autoRedefine/>
    <w:qFormat/>
    <w:uiPriority w:val="99"/>
    <w:pPr>
      <w:tabs>
        <w:tab w:val="center" w:pos="4153"/>
        <w:tab w:val="right" w:pos="8306"/>
      </w:tabs>
      <w:snapToGrid w:val="0"/>
      <w:jc w:val="left"/>
    </w:pPr>
    <w:rPr>
      <w:sz w:val="18"/>
    </w:rPr>
  </w:style>
  <w:style w:type="paragraph" w:styleId="10">
    <w:name w:val="header"/>
    <w:basedOn w:val="1"/>
    <w:link w:val="24"/>
    <w:autoRedefine/>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autoRedefine/>
    <w:qFormat/>
    <w:uiPriority w:val="0"/>
    <w:rPr>
      <w:sz w:val="24"/>
      <w:szCs w:val="22"/>
    </w:rPr>
  </w:style>
  <w:style w:type="paragraph" w:styleId="12">
    <w:name w:val="Body Text First Indent"/>
    <w:basedOn w:val="6"/>
    <w:next w:val="1"/>
    <w:autoRedefine/>
    <w:qFormat/>
    <w:uiPriority w:val="0"/>
    <w:pPr>
      <w:spacing w:after="120"/>
      <w:ind w:firstLine="420" w:firstLineChars="100"/>
    </w:pPr>
  </w:style>
  <w:style w:type="character" w:styleId="15">
    <w:name w:val="Strong"/>
    <w:basedOn w:val="16"/>
    <w:autoRedefine/>
    <w:qFormat/>
    <w:uiPriority w:val="99"/>
    <w:rPr>
      <w:rFonts w:cs="Times New Roman"/>
      <w:b/>
    </w:rPr>
  </w:style>
  <w:style w:type="character" w:customStyle="1" w:styleId="16">
    <w:name w:val="NormalCharacter"/>
    <w:autoRedefine/>
    <w:semiHidden/>
    <w:qFormat/>
    <w:uiPriority w:val="99"/>
  </w:style>
  <w:style w:type="character" w:styleId="17">
    <w:name w:val="annotation reference"/>
    <w:autoRedefine/>
    <w:qFormat/>
    <w:uiPriority w:val="0"/>
    <w:rPr>
      <w:sz w:val="21"/>
      <w:szCs w:val="21"/>
    </w:rPr>
  </w:style>
  <w:style w:type="paragraph" w:customStyle="1" w:styleId="18">
    <w:name w:val="样式 正文缩进正文缩进2正文缩进 Char Char正文缩进 Char Char Char Char正文缩进 Char ..."/>
    <w:basedOn w:val="4"/>
    <w:autoRedefine/>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9">
    <w:name w:val="正文首行缩进 21"/>
    <w:basedOn w:val="3"/>
    <w:next w:val="1"/>
    <w:autoRedefine/>
    <w:qFormat/>
    <w:uiPriority w:val="0"/>
    <w:pPr>
      <w:spacing w:afterLines="0"/>
      <w:ind w:left="420" w:firstLine="420" w:firstLineChars="200"/>
    </w:pPr>
    <w:rPr>
      <w:lang w:eastAsia="zh-CN" w:bidi="ar-SA"/>
    </w:rPr>
  </w:style>
  <w:style w:type="paragraph" w:customStyle="1" w:styleId="20">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Char"/>
    <w:basedOn w:val="14"/>
    <w:link w:val="6"/>
    <w:autoRedefine/>
    <w:semiHidden/>
    <w:qFormat/>
    <w:uiPriority w:val="99"/>
    <w:rPr>
      <w:color w:val="000000"/>
      <w:kern w:val="0"/>
      <w:szCs w:val="20"/>
    </w:rPr>
  </w:style>
  <w:style w:type="character" w:customStyle="1" w:styleId="22">
    <w:name w:val="日期 Char"/>
    <w:basedOn w:val="14"/>
    <w:link w:val="8"/>
    <w:autoRedefine/>
    <w:semiHidden/>
    <w:qFormat/>
    <w:uiPriority w:val="99"/>
    <w:rPr>
      <w:color w:val="000000"/>
      <w:kern w:val="0"/>
      <w:szCs w:val="20"/>
    </w:rPr>
  </w:style>
  <w:style w:type="character" w:customStyle="1" w:styleId="23">
    <w:name w:val="页脚 Char"/>
    <w:basedOn w:val="16"/>
    <w:link w:val="9"/>
    <w:autoRedefine/>
    <w:qFormat/>
    <w:locked/>
    <w:uiPriority w:val="99"/>
    <w:rPr>
      <w:rFonts w:cs="Times New Roman"/>
      <w:color w:val="000000"/>
      <w:sz w:val="18"/>
    </w:rPr>
  </w:style>
  <w:style w:type="character" w:customStyle="1" w:styleId="24">
    <w:name w:val="页眉 Char"/>
    <w:basedOn w:val="16"/>
    <w:link w:val="10"/>
    <w:autoRedefine/>
    <w:qFormat/>
    <w:locked/>
    <w:uiPriority w:val="99"/>
    <w:rPr>
      <w:rFonts w:cs="Times New Roman"/>
      <w:color w:val="000000"/>
      <w:sz w:val="18"/>
      <w:szCs w:val="18"/>
    </w:rPr>
  </w:style>
  <w:style w:type="paragraph" w:customStyle="1" w:styleId="25">
    <w:name w:val="BodyText"/>
    <w:basedOn w:val="1"/>
    <w:autoRedefine/>
    <w:qFormat/>
    <w:uiPriority w:val="99"/>
    <w:pPr>
      <w:spacing w:after="120"/>
    </w:pPr>
    <w:rPr>
      <w:rFonts w:ascii="Calibri" w:hAnsi="Calibri"/>
      <w:szCs w:val="22"/>
    </w:rPr>
  </w:style>
  <w:style w:type="table" w:customStyle="1" w:styleId="26">
    <w:name w:val="TableNormal"/>
    <w:autoRedefine/>
    <w:semiHidden/>
    <w:qFormat/>
    <w:uiPriority w:val="99"/>
    <w:tblPr>
      <w:tblCellMar>
        <w:top w:w="0" w:type="dxa"/>
        <w:left w:w="0" w:type="dxa"/>
        <w:bottom w:w="0" w:type="dxa"/>
        <w:right w:w="0" w:type="dxa"/>
      </w:tblCellMar>
    </w:tblPr>
  </w:style>
  <w:style w:type="character" w:customStyle="1" w:styleId="27">
    <w:name w:val="UserStyle_0"/>
    <w:basedOn w:val="16"/>
    <w:autoRedefine/>
    <w:qFormat/>
    <w:uiPriority w:val="99"/>
    <w:rPr>
      <w:rFonts w:ascii="Times New Roman" w:eastAsia="宋体" w:cs="Times New Roman"/>
      <w:color w:val="0000FF"/>
      <w:sz w:val="21"/>
      <w:u w:val="single"/>
      <w:lang w:val="en-US" w:eastAsia="zh-CN"/>
    </w:rPr>
  </w:style>
  <w:style w:type="character" w:customStyle="1" w:styleId="28">
    <w:name w:val="AnnotationReference"/>
    <w:autoRedefine/>
    <w:qFormat/>
    <w:uiPriority w:val="99"/>
    <w:rPr>
      <w:sz w:val="21"/>
    </w:rPr>
  </w:style>
  <w:style w:type="character" w:customStyle="1" w:styleId="29">
    <w:name w:val="UserStyle_2"/>
    <w:basedOn w:val="16"/>
    <w:autoRedefine/>
    <w:qFormat/>
    <w:uiPriority w:val="99"/>
    <w:rPr>
      <w:rFonts w:ascii="Times New Roman" w:eastAsia="宋体" w:cs="Times New Roman"/>
      <w:color w:val="0000FF"/>
      <w:sz w:val="21"/>
      <w:u w:val="single"/>
      <w:lang w:val="en-US" w:eastAsia="zh-CN"/>
    </w:rPr>
  </w:style>
  <w:style w:type="character" w:customStyle="1" w:styleId="30">
    <w:name w:val="UserStyle_3"/>
    <w:autoRedefine/>
    <w:semiHidden/>
    <w:qFormat/>
    <w:uiPriority w:val="99"/>
    <w:rPr>
      <w:rFonts w:ascii="Times New Roman" w:hAnsi="Times New Roman" w:eastAsia="宋体"/>
      <w:kern w:val="2"/>
      <w:sz w:val="21"/>
      <w:lang w:val="en-US" w:eastAsia="zh-CN"/>
    </w:rPr>
  </w:style>
  <w:style w:type="paragraph" w:customStyle="1" w:styleId="31">
    <w:name w:val="UserStyle_5"/>
    <w:basedOn w:val="1"/>
    <w:next w:val="32"/>
    <w:autoRedefine/>
    <w:qFormat/>
    <w:uiPriority w:val="99"/>
    <w:pPr>
      <w:spacing w:before="566" w:after="544" w:line="566" w:lineRule="atLeast"/>
      <w:jc w:val="center"/>
    </w:pPr>
    <w:rPr>
      <w:rFonts w:ascii="Arial" w:eastAsia="黑体"/>
      <w:sz w:val="54"/>
    </w:rPr>
  </w:style>
  <w:style w:type="paragraph" w:customStyle="1" w:styleId="32">
    <w:name w:val="UserStyle_6"/>
    <w:basedOn w:val="1"/>
    <w:next w:val="33"/>
    <w:autoRedefine/>
    <w:qFormat/>
    <w:uiPriority w:val="99"/>
    <w:pPr>
      <w:spacing w:before="187" w:after="175" w:line="374" w:lineRule="atLeast"/>
      <w:jc w:val="center"/>
    </w:pPr>
    <w:rPr>
      <w:sz w:val="36"/>
    </w:rPr>
  </w:style>
  <w:style w:type="paragraph" w:customStyle="1" w:styleId="33">
    <w:name w:val="UserStyle_16"/>
    <w:basedOn w:val="1"/>
    <w:next w:val="34"/>
    <w:autoRedefine/>
    <w:qFormat/>
    <w:uiPriority w:val="99"/>
    <w:pPr>
      <w:spacing w:before="158" w:after="153" w:line="323" w:lineRule="atLeast"/>
      <w:jc w:val="center"/>
    </w:pPr>
    <w:rPr>
      <w:rFonts w:ascii="Arial" w:eastAsia="黑体"/>
      <w:sz w:val="31"/>
    </w:rPr>
  </w:style>
  <w:style w:type="paragraph" w:customStyle="1" w:styleId="34">
    <w:name w:val="UserStyle_10"/>
    <w:basedOn w:val="1"/>
    <w:next w:val="35"/>
    <w:autoRedefine/>
    <w:qFormat/>
    <w:uiPriority w:val="99"/>
    <w:pPr>
      <w:spacing w:line="289" w:lineRule="atLeast"/>
      <w:jc w:val="center"/>
    </w:pPr>
    <w:rPr>
      <w:sz w:val="28"/>
    </w:rPr>
  </w:style>
  <w:style w:type="paragraph" w:customStyle="1" w:styleId="35">
    <w:name w:val="UserStyle_11"/>
    <w:basedOn w:val="1"/>
    <w:next w:val="1"/>
    <w:autoRedefine/>
    <w:qFormat/>
    <w:uiPriority w:val="99"/>
    <w:pPr>
      <w:spacing w:before="175" w:after="102" w:line="351" w:lineRule="atLeast"/>
    </w:pPr>
    <w:rPr>
      <w:rFonts w:eastAsia="黑体"/>
    </w:rPr>
  </w:style>
  <w:style w:type="paragraph" w:customStyle="1" w:styleId="36">
    <w:name w:val="UserStyle_7"/>
    <w:basedOn w:val="1"/>
    <w:next w:val="1"/>
    <w:autoRedefine/>
    <w:qFormat/>
    <w:uiPriority w:val="99"/>
    <w:pPr>
      <w:tabs>
        <w:tab w:val="left" w:leader="dot" w:pos="8503"/>
      </w:tabs>
      <w:spacing w:line="317" w:lineRule="atLeast"/>
      <w:ind w:firstLine="629"/>
    </w:pPr>
  </w:style>
  <w:style w:type="paragraph" w:customStyle="1" w:styleId="37">
    <w:name w:val="UserStyle_8"/>
    <w:basedOn w:val="1"/>
    <w:next w:val="1"/>
    <w:autoRedefine/>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autoRedefine/>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autoRedefine/>
    <w:qFormat/>
    <w:uiPriority w:val="99"/>
    <w:pPr>
      <w:tabs>
        <w:tab w:val="left" w:leader="dot" w:pos="8503"/>
      </w:tabs>
      <w:spacing w:line="317" w:lineRule="atLeast"/>
      <w:ind w:firstLine="419"/>
    </w:pPr>
  </w:style>
  <w:style w:type="paragraph" w:customStyle="1" w:styleId="40">
    <w:name w:val="UserStyle_12"/>
    <w:basedOn w:val="1"/>
    <w:next w:val="1"/>
    <w:autoRedefine/>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autoRedefine/>
    <w:qFormat/>
    <w:uiPriority w:val="99"/>
    <w:pPr>
      <w:spacing w:line="240" w:lineRule="auto"/>
      <w:textAlignment w:val="auto"/>
    </w:pPr>
    <w:rPr>
      <w:sz w:val="32"/>
      <w:szCs w:val="32"/>
    </w:rPr>
  </w:style>
  <w:style w:type="paragraph" w:customStyle="1" w:styleId="42">
    <w:name w:val="UserStyle_14"/>
    <w:basedOn w:val="1"/>
    <w:autoRedefine/>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autoRedefine/>
    <w:qFormat/>
    <w:uiPriority w:val="99"/>
    <w:pPr>
      <w:tabs>
        <w:tab w:val="left" w:leader="dot" w:pos="8503"/>
      </w:tabs>
      <w:spacing w:line="317" w:lineRule="atLeast"/>
      <w:ind w:firstLine="209"/>
    </w:pPr>
  </w:style>
  <w:style w:type="paragraph" w:customStyle="1" w:styleId="44">
    <w:name w:val="UserStyle_17"/>
    <w:basedOn w:val="1"/>
    <w:autoRedefine/>
    <w:qFormat/>
    <w:uiPriority w:val="99"/>
    <w:pPr>
      <w:spacing w:line="480" w:lineRule="exact"/>
      <w:ind w:firstLine="420" w:firstLineChars="200"/>
      <w:textAlignment w:val="auto"/>
    </w:pPr>
    <w:rPr>
      <w:kern w:val="2"/>
      <w:sz w:val="24"/>
      <w:szCs w:val="24"/>
    </w:rPr>
  </w:style>
  <w:style w:type="table" w:customStyle="1" w:styleId="45">
    <w:name w:val="TableGrid"/>
    <w:basedOn w:val="26"/>
    <w:autoRedefine/>
    <w:qFormat/>
    <w:uiPriority w:val="99"/>
    <w:tblPr>
      <w:tblCellMar>
        <w:top w:w="0" w:type="dxa"/>
        <w:left w:w="0" w:type="dxa"/>
        <w:bottom w:w="0" w:type="dxa"/>
        <w:right w:w="0" w:type="dxa"/>
      </w:tblCellMar>
    </w:tblPr>
  </w:style>
  <w:style w:type="paragraph" w:customStyle="1" w:styleId="46">
    <w:name w:val="BodyTextIndent"/>
    <w:basedOn w:val="1"/>
    <w:autoRedefine/>
    <w:qFormat/>
    <w:uiPriority w:val="99"/>
    <w:pPr>
      <w:spacing w:after="120"/>
      <w:ind w:left="420" w:leftChars="200"/>
    </w:pPr>
  </w:style>
  <w:style w:type="paragraph" w:customStyle="1" w:styleId="47">
    <w:name w:val="BodyText1I2"/>
    <w:basedOn w:val="46"/>
    <w:autoRedefine/>
    <w:qFormat/>
    <w:uiPriority w:val="99"/>
    <w:pPr>
      <w:ind w:firstLine="420" w:firstLineChars="200"/>
    </w:pPr>
  </w:style>
  <w:style w:type="paragraph" w:customStyle="1" w:styleId="48">
    <w:name w:val="ZSZW-正文"/>
    <w:basedOn w:val="1"/>
    <w:autoRedefine/>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autoRedefine/>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1515</Words>
  <Characters>1634</Characters>
  <Lines>10</Lines>
  <Paragraphs>3</Paragraphs>
  <TotalTime>0</TotalTime>
  <ScaleCrop>false</ScaleCrop>
  <LinksUpToDate>false</LinksUpToDate>
  <CharactersWithSpaces>1717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2024-01-25T09:18:00Z</cp:lastPrinted>
  <dcterms:modified xsi:type="dcterms:W3CDTF">2025-04-25T02:56:30Z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4B223CA2B5B24F0BBC3925F45DAE3489</vt:lpwstr>
  </property>
  <property fmtid="{D5CDD505-2E9C-101B-9397-08002B2CF9AE}" pid="4" name="KSOTemplateDocerSaveRecord">
    <vt:lpwstr>eyJoZGlkIjoiZGMyN2E2MTRmYjM2NzM2N2YwMzQyOWU3MDQxMjhiZDciLCJ1c2VySWQiOiIzMzQyNjE5NjcifQ==</vt:lpwstr>
  </property>
</Properties>
</file>