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0"/>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eastAsia="仿宋"/>
                <w:color w:val="000000"/>
              </w:rPr>
            </w:pPr>
            <w:r>
              <w:rPr>
                <w:rFonts w:hint="eastAsia" w:ascii="Times New Roman" w:hAnsi="Times New Roman" w:eastAsia="宋体" w:cs="Times New Roman"/>
                <w:szCs w:val="22"/>
              </w:rPr>
              <w:t>中国石油天然气股份有限公司内蒙古鄂尔多斯市销售分公司东胜油库锅炉清洁能源替代及扩容项目</w:t>
            </w:r>
          </w:p>
        </w:tc>
        <w:tc>
          <w:tcPr>
            <w:tcW w:w="397" w:type="dxa"/>
            <w:vAlign w:val="center"/>
          </w:tcPr>
          <w:p w14:paraId="53D2BE93">
            <w:pPr>
              <w:spacing w:line="600" w:lineRule="exact"/>
              <w:jc w:val="center"/>
              <w:rPr>
                <w:color w:val="000000"/>
                <w:szCs w:val="21"/>
              </w:rPr>
            </w:pPr>
            <w:r>
              <w:rPr>
                <w:rFonts w:hint="eastAsia" w:ascii="Times New Roman" w:hAnsi="Times New Roman" w:eastAsia="宋体" w:cs="Times New Roman"/>
                <w:szCs w:val="22"/>
                <w:lang w:val="en-US" w:eastAsia="zh-CN"/>
              </w:rPr>
              <w:t>鄂尔多斯市东胜区罕台镇查干村高家梁渠社</w:t>
            </w:r>
          </w:p>
        </w:tc>
        <w:tc>
          <w:tcPr>
            <w:tcW w:w="465" w:type="dxa"/>
            <w:vAlign w:val="center"/>
          </w:tcPr>
          <w:p w14:paraId="25BCC080">
            <w:pPr>
              <w:spacing w:line="600" w:lineRule="exact"/>
              <w:jc w:val="center"/>
              <w:rPr>
                <w:color w:val="000000"/>
                <w:szCs w:val="21"/>
              </w:rPr>
            </w:pPr>
            <w:r>
              <w:rPr>
                <w:rFonts w:hint="eastAsia" w:ascii="Times New Roman" w:hAnsi="Times New Roman" w:eastAsia="宋体" w:cs="Times New Roman"/>
                <w:szCs w:val="22"/>
              </w:rPr>
              <w:t>中国石油天然气股份有限公司内蒙古鄂尔多斯市销售分公司</w:t>
            </w:r>
          </w:p>
        </w:tc>
        <w:tc>
          <w:tcPr>
            <w:tcW w:w="675" w:type="dxa"/>
            <w:vAlign w:val="center"/>
          </w:tcPr>
          <w:p w14:paraId="5D04F640">
            <w:pPr>
              <w:spacing w:line="600" w:lineRule="exact"/>
              <w:jc w:val="center"/>
              <w:rPr>
                <w:color w:val="000000"/>
                <w:szCs w:val="21"/>
              </w:rPr>
            </w:pPr>
            <w:r>
              <w:rPr>
                <w:rFonts w:hint="eastAsia" w:ascii="Times New Roman" w:hAnsi="Times New Roman" w:eastAsia="宋体" w:cs="Times New Roman"/>
                <w:szCs w:val="22"/>
              </w:rPr>
              <w:t>鄂尔多斯市环保投资有限公司</w:t>
            </w:r>
          </w:p>
        </w:tc>
        <w:tc>
          <w:tcPr>
            <w:tcW w:w="2555" w:type="dxa"/>
            <w:vAlign w:val="center"/>
          </w:tcPr>
          <w:p w14:paraId="400FA5BF">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改扩建项目，位于东胜区罕台镇查干村高家梁社。项目总占地面积2300平方米，总投资10.1135万元，其中环保投资8.39万元。主要建设内容及规模：本项目不新增用地，在现有锅炉房内拆除2台0.7MW的燃煤热水锅炉，并新建2台1.4MW</w:t>
            </w:r>
            <w:bookmarkStart w:id="0" w:name="OLE_LINK6"/>
            <w:r>
              <w:rPr>
                <w:rFonts w:hint="eastAsia"/>
                <w:color w:val="000000"/>
                <w:szCs w:val="21"/>
                <w:lang w:val="en-US" w:eastAsia="zh-CN"/>
              </w:rPr>
              <w:t>（CWNS1.4-85/60-Y/Q）燃气热水锅炉</w:t>
            </w:r>
            <w:bookmarkEnd w:id="0"/>
            <w:r>
              <w:rPr>
                <w:rFonts w:hint="eastAsia"/>
                <w:color w:val="000000"/>
                <w:szCs w:val="21"/>
                <w:lang w:val="en-US" w:eastAsia="zh-CN"/>
              </w:rPr>
              <w:t>（一用一备），并配套建设软化水制备系统、燃气输送系统和低氮燃烧设施，部分公辅工程和环保工程等依托原有。</w:t>
            </w:r>
          </w:p>
          <w:p w14:paraId="1644BF54">
            <w:pPr>
              <w:spacing w:line="360" w:lineRule="auto"/>
              <w:ind w:firstLine="420" w:firstLineChars="200"/>
              <w:rPr>
                <w:color w:val="000000"/>
                <w:szCs w:val="21"/>
              </w:rPr>
            </w:pPr>
          </w:p>
        </w:tc>
        <w:tc>
          <w:tcPr>
            <w:tcW w:w="4877" w:type="dxa"/>
            <w:vAlign w:val="center"/>
          </w:tcPr>
          <w:p w14:paraId="67C3903D">
            <w:pPr>
              <w:spacing w:line="360" w:lineRule="auto"/>
              <w:jc w:val="left"/>
              <w:rPr>
                <w:rFonts w:hint="eastAsia"/>
                <w:color w:val="000000"/>
                <w:szCs w:val="21"/>
              </w:rPr>
            </w:pPr>
            <w:r>
              <w:rPr>
                <w:rFonts w:hint="eastAsia"/>
                <w:color w:val="000000"/>
                <w:szCs w:val="21"/>
                <w:lang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47A8E9B9">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100F645F">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2C57835D">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加强施工期环境管理，配备足够的洒水车、篷布等防尘设备，有效控制施工期挖土、物料装卸、物料运输过程中产生的扬尘污染。施工期大气污染物排放执行《大气污染物综合排放标准》（GB16297-1996）表2中无组织排放监控浓度限值。</w:t>
            </w:r>
          </w:p>
          <w:p w14:paraId="60EC95A8">
            <w:pPr>
              <w:spacing w:line="360" w:lineRule="auto"/>
              <w:jc w:val="left"/>
              <w:rPr>
                <w:rFonts w:hint="eastAsia"/>
                <w:color w:val="000000"/>
                <w:szCs w:val="21"/>
              </w:rPr>
            </w:pPr>
            <w:r>
              <w:rPr>
                <w:rFonts w:hint="eastAsia"/>
                <w:color w:val="000000"/>
                <w:szCs w:val="21"/>
                <w:lang w:val="en-US" w:eastAsia="zh-CN"/>
              </w:rPr>
              <w:t>2、施工人员生活污水</w:t>
            </w:r>
            <w:r>
              <w:rPr>
                <w:rFonts w:hint="eastAsia"/>
                <w:color w:val="000000"/>
                <w:szCs w:val="21"/>
              </w:rPr>
              <w:t>经厂区</w:t>
            </w:r>
            <w:r>
              <w:rPr>
                <w:rFonts w:hint="eastAsia"/>
                <w:color w:val="000000"/>
                <w:szCs w:val="21"/>
                <w:lang w:val="en-US" w:eastAsia="zh-CN"/>
              </w:rPr>
              <w:t>原有</w:t>
            </w:r>
            <w:r>
              <w:rPr>
                <w:rFonts w:hint="eastAsia"/>
                <w:color w:val="000000"/>
                <w:szCs w:val="21"/>
              </w:rPr>
              <w:t>化粪池处理后拉运至污水处理厂。</w:t>
            </w:r>
          </w:p>
          <w:p w14:paraId="68D4EA55">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14:paraId="513A406D">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4、固体废物集中堆放及时清运，交有关部门进行处理。</w:t>
            </w:r>
          </w:p>
          <w:p w14:paraId="776E2C3F">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779A30B9">
            <w:pPr>
              <w:spacing w:line="360" w:lineRule="auto"/>
              <w:jc w:val="left"/>
              <w:rPr>
                <w:rFonts w:hint="eastAsia"/>
                <w:color w:val="000000"/>
                <w:szCs w:val="21"/>
                <w:lang w:val="en-US" w:eastAsia="zh-CN"/>
              </w:rPr>
            </w:pPr>
            <w:r>
              <w:rPr>
                <w:rFonts w:hint="eastAsia"/>
                <w:color w:val="000000"/>
                <w:szCs w:val="21"/>
                <w:lang w:val="en-US" w:eastAsia="zh-CN"/>
              </w:rPr>
              <w:t>1、大气污染防治措施。运营期</w:t>
            </w:r>
            <w:r>
              <w:rPr>
                <w:rFonts w:hint="eastAsia"/>
                <w:color w:val="000000"/>
                <w:szCs w:val="21"/>
              </w:rPr>
              <w:t>锅炉废气</w:t>
            </w:r>
            <w:r>
              <w:rPr>
                <w:rFonts w:hint="eastAsia"/>
                <w:color w:val="000000"/>
                <w:szCs w:val="21"/>
                <w:lang w:eastAsia="zh-CN"/>
              </w:rPr>
              <w:t>收集处理后</w:t>
            </w:r>
            <w:r>
              <w:rPr>
                <w:rFonts w:hint="eastAsia"/>
                <w:color w:val="000000"/>
                <w:szCs w:val="21"/>
              </w:rPr>
              <w:t>经1根</w:t>
            </w:r>
            <w:r>
              <w:rPr>
                <w:rFonts w:hint="eastAsia"/>
                <w:color w:val="000000"/>
                <w:szCs w:val="21"/>
                <w:lang w:val="en-US" w:eastAsia="zh-CN"/>
              </w:rPr>
              <w:t>15</w:t>
            </w:r>
            <w:r>
              <w:rPr>
                <w:rFonts w:hint="eastAsia"/>
                <w:color w:val="000000"/>
                <w:szCs w:val="21"/>
              </w:rPr>
              <w:t>米高排气筒排放，执行《锅炉大气污染排放标准》（GB13271-2014）</w:t>
            </w:r>
            <w:r>
              <w:rPr>
                <w:rFonts w:hint="eastAsia"/>
                <w:color w:val="000000"/>
                <w:szCs w:val="21"/>
                <w:lang w:eastAsia="zh-CN"/>
              </w:rPr>
              <w:t>表</w:t>
            </w:r>
            <w:r>
              <w:rPr>
                <w:rFonts w:hint="eastAsia"/>
                <w:color w:val="000000"/>
                <w:szCs w:val="21"/>
                <w:lang w:val="en-US" w:eastAsia="zh-CN"/>
              </w:rPr>
              <w:t>2</w:t>
            </w:r>
            <w:r>
              <w:rPr>
                <w:rFonts w:hint="eastAsia"/>
                <w:color w:val="000000"/>
                <w:szCs w:val="21"/>
                <w:lang w:eastAsia="zh-CN"/>
              </w:rPr>
              <w:t>新建锅炉大气污染物排放浓度限值中燃气锅炉标准</w:t>
            </w:r>
            <w:r>
              <w:rPr>
                <w:rFonts w:hint="eastAsia"/>
                <w:color w:val="000000"/>
                <w:szCs w:val="21"/>
              </w:rPr>
              <w:t>。</w:t>
            </w:r>
          </w:p>
          <w:p w14:paraId="1A67B0AD">
            <w:pPr>
              <w:spacing w:line="360" w:lineRule="auto"/>
              <w:jc w:val="left"/>
              <w:rPr>
                <w:rFonts w:hint="eastAsia"/>
                <w:color w:val="000000"/>
                <w:szCs w:val="21"/>
              </w:rPr>
            </w:pPr>
            <w:r>
              <w:rPr>
                <w:rFonts w:hint="eastAsia"/>
                <w:color w:val="000000"/>
                <w:szCs w:val="21"/>
                <w:lang w:val="en-US" w:eastAsia="zh-CN"/>
              </w:rPr>
              <w:t>2、水污染防治措施。运营期</w:t>
            </w:r>
            <w:r>
              <w:rPr>
                <w:rFonts w:hint="eastAsia"/>
                <w:color w:val="000000"/>
                <w:szCs w:val="21"/>
              </w:rPr>
              <w:t>生产废水全部排入厂区化粪池，定期拉运至污水处理厂</w:t>
            </w:r>
            <w:r>
              <w:rPr>
                <w:rFonts w:hint="eastAsia"/>
                <w:color w:val="000000"/>
                <w:szCs w:val="21"/>
                <w:lang w:val="en-US" w:eastAsia="zh-CN"/>
              </w:rPr>
              <w:t>;不新增生活污水。</w:t>
            </w:r>
          </w:p>
          <w:p w14:paraId="7DEC1817">
            <w:pPr>
              <w:spacing w:line="360" w:lineRule="auto"/>
              <w:jc w:val="left"/>
              <w:rPr>
                <w:rFonts w:hint="eastAsia"/>
                <w:color w:val="000000"/>
                <w:szCs w:val="21"/>
              </w:rPr>
            </w:pPr>
            <w:r>
              <w:rPr>
                <w:rFonts w:hint="eastAsia"/>
                <w:color w:val="000000"/>
                <w:szCs w:val="21"/>
                <w:lang w:val="en-US" w:eastAsia="zh-CN"/>
              </w:rPr>
              <w:t>3、噪声污染防治措施。通过选用低噪声设备，基础减振和厂房隔声等措施，确保</w:t>
            </w:r>
            <w:r>
              <w:rPr>
                <w:rFonts w:hint="eastAsia"/>
                <w:color w:val="000000"/>
                <w:szCs w:val="21"/>
              </w:rPr>
              <w:t>运营期厂界噪声</w:t>
            </w:r>
            <w:r>
              <w:rPr>
                <w:rFonts w:hint="eastAsia"/>
                <w:color w:val="000000"/>
                <w:szCs w:val="21"/>
                <w:lang w:val="en-US" w:eastAsia="zh-CN"/>
              </w:rPr>
              <w:t>满足</w:t>
            </w:r>
            <w:r>
              <w:rPr>
                <w:rFonts w:hint="eastAsia"/>
                <w:color w:val="000000"/>
                <w:szCs w:val="21"/>
              </w:rPr>
              <w:t>《工业企业厂界环境噪声排放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14:paraId="5D1DC741">
            <w:pPr>
              <w:spacing w:line="360" w:lineRule="auto"/>
              <w:jc w:val="left"/>
              <w:rPr>
                <w:rFonts w:hint="eastAsia"/>
                <w:color w:val="000000"/>
                <w:szCs w:val="21"/>
              </w:rPr>
            </w:pPr>
            <w:r>
              <w:rPr>
                <w:rFonts w:hint="eastAsia"/>
                <w:color w:val="000000"/>
                <w:szCs w:val="21"/>
                <w:lang w:val="en-US" w:eastAsia="zh-CN"/>
              </w:rPr>
              <w:t>4、固废污染防治措施。妥善处置各类固体废弃物。建设单位须严格按照《一般工业固体废物贮存和填埋污染控制标准》（GB18599-2020）处置一般固废，不得乱弃。</w:t>
            </w:r>
          </w:p>
          <w:p w14:paraId="3D00B420">
            <w:pPr>
              <w:spacing w:line="360" w:lineRule="auto"/>
              <w:jc w:val="left"/>
              <w:rPr>
                <w:rFonts w:hint="eastAsia"/>
                <w:color w:val="000000"/>
                <w:szCs w:val="21"/>
              </w:rPr>
            </w:pPr>
            <w:r>
              <w:rPr>
                <w:rFonts w:hint="eastAsia"/>
                <w:color w:val="000000"/>
                <w:szCs w:val="21"/>
                <w:lang w:val="en-US" w:eastAsia="zh-CN"/>
              </w:rPr>
              <w:t>5、强化环境风险防范，制定突发环境事件应急预案，落实环境风险事故防范措施，提高事故风险防范和污染控制能力。</w:t>
            </w:r>
          </w:p>
          <w:p w14:paraId="4A99C992">
            <w:pPr>
              <w:spacing w:line="360" w:lineRule="auto"/>
              <w:jc w:val="left"/>
              <w:rPr>
                <w:rFonts w:hint="eastAsia"/>
                <w:color w:val="000000"/>
                <w:szCs w:val="21"/>
                <w:lang w:val="en-US" w:eastAsia="zh-CN"/>
              </w:rPr>
            </w:pPr>
            <w:r>
              <w:rPr>
                <w:rFonts w:hint="eastAsia"/>
                <w:color w:val="000000"/>
                <w:szCs w:val="21"/>
                <w:lang w:val="en-US" w:eastAsia="zh-CN"/>
              </w:rPr>
              <w:t>6、按照《排污口规范化整治技术要求》（环监〔1996〕470号）规范设置排污口。</w:t>
            </w:r>
          </w:p>
          <w:p w14:paraId="671A0FF4">
            <w:pPr>
              <w:spacing w:line="360" w:lineRule="auto"/>
              <w:jc w:val="left"/>
              <w:rPr>
                <w:rFonts w:hint="eastAsia"/>
                <w:color w:val="000000"/>
                <w:szCs w:val="21"/>
                <w:lang w:val="en-US" w:eastAsia="zh-CN"/>
              </w:rPr>
            </w:pPr>
            <w:r>
              <w:rPr>
                <w:rFonts w:hint="eastAsia"/>
                <w:color w:val="000000"/>
                <w:szCs w:val="21"/>
                <w:lang w:val="en-US" w:eastAsia="zh-CN"/>
              </w:rPr>
              <w:t>三、本项目申请二氧化硫和氮氧化物总量分别为0.15吨/年和0.22吨/年（鄂环气字〔2025〕20号）。</w:t>
            </w:r>
          </w:p>
          <w:p w14:paraId="602313C3">
            <w:pPr>
              <w:spacing w:line="360" w:lineRule="auto"/>
              <w:jc w:val="left"/>
              <w:rPr>
                <w:rFonts w:hint="eastAsia"/>
                <w:color w:val="000000"/>
                <w:szCs w:val="21"/>
              </w:rPr>
            </w:pPr>
            <w:r>
              <w:rPr>
                <w:rFonts w:hint="eastAsia"/>
                <w:color w:val="000000"/>
                <w:szCs w:val="21"/>
                <w:lang w:val="en-US" w:eastAsia="zh-CN"/>
              </w:rPr>
              <w:t>四、你单位应委托有相应资质的设计单位对建设项目重点环保设施进行设计，并在项目施工及运行过程中严格落实环保设施安全生产工作要求。</w:t>
            </w:r>
          </w:p>
          <w:p w14:paraId="3DCEFBE0">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54F352">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bookmarkStart w:id="1" w:name="_GoBack"/>
            <w:bookmarkEnd w:id="1"/>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15C90A19"/>
    <w:rsid w:val="19B76A12"/>
    <w:rsid w:val="3E062DA7"/>
    <w:rsid w:val="43DC2BDE"/>
    <w:rsid w:val="497150DD"/>
    <w:rsid w:val="4AD11E12"/>
    <w:rsid w:val="4DE41872"/>
    <w:rsid w:val="54973A8B"/>
    <w:rsid w:val="5E371149"/>
    <w:rsid w:val="641136E8"/>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autoRedefine/>
    <w:semiHidden/>
    <w:unhideWhenUsed/>
    <w:qFormat/>
    <w:uiPriority w:val="99"/>
    <w:pPr>
      <w:ind w:firstLine="420" w:firstLineChars="200"/>
    </w:pPr>
  </w:style>
  <w:style w:type="paragraph" w:styleId="5">
    <w:name w:val="Body Text"/>
    <w:basedOn w:val="1"/>
    <w:qFormat/>
    <w:uiPriority w:val="99"/>
    <w:pPr>
      <w:spacing w:after="120"/>
    </w:pPr>
    <w:rPr>
      <w:rFonts w:ascii="Calibri" w:hAnsi="Calibri"/>
      <w:szCs w:val="22"/>
    </w:rPr>
  </w:style>
  <w:style w:type="paragraph" w:styleId="6">
    <w:name w:val="footer"/>
    <w:basedOn w:val="1"/>
    <w:link w:val="14"/>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3"/>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oc 2"/>
    <w:basedOn w:val="1"/>
    <w:next w:val="1"/>
    <w:unhideWhenUsed/>
    <w:qFormat/>
    <w:uiPriority w:val="39"/>
    <w:pPr>
      <w:ind w:left="420" w:leftChars="200"/>
    </w:pPr>
  </w:style>
  <w:style w:type="paragraph" w:styleId="9">
    <w:name w:val="Body Text 2"/>
    <w:basedOn w:val="1"/>
    <w:next w:val="1"/>
    <w:qFormat/>
    <w:uiPriority w:val="0"/>
    <w:pPr>
      <w:spacing w:after="120" w:line="480" w:lineRule="auto"/>
    </w:pPr>
  </w:style>
  <w:style w:type="paragraph" w:customStyle="1" w:styleId="12">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13">
    <w:name w:val="页眉 字符"/>
    <w:basedOn w:val="11"/>
    <w:link w:val="7"/>
    <w:autoRedefine/>
    <w:qFormat/>
    <w:uiPriority w:val="99"/>
    <w:rPr>
      <w:sz w:val="18"/>
      <w:szCs w:val="18"/>
    </w:rPr>
  </w:style>
  <w:style w:type="character" w:customStyle="1" w:styleId="14">
    <w:name w:val="页脚 字符"/>
    <w:basedOn w:val="11"/>
    <w:link w:val="6"/>
    <w:autoRedefine/>
    <w:qFormat/>
    <w:uiPriority w:val="99"/>
    <w:rPr>
      <w:sz w:val="18"/>
      <w:szCs w:val="18"/>
    </w:rPr>
  </w:style>
  <w:style w:type="character" w:customStyle="1" w:styleId="15">
    <w:name w:val="NormalCharacter"/>
    <w:autoRedefine/>
    <w:semiHidden/>
    <w:qFormat/>
    <w:uiPriority w:val="99"/>
  </w:style>
  <w:style w:type="paragraph" w:customStyle="1" w:styleId="16">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17">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1596</Words>
  <Characters>1702</Characters>
  <Lines>11</Lines>
  <Paragraphs>3</Paragraphs>
  <TotalTime>0</TotalTime>
  <ScaleCrop>false</ScaleCrop>
  <LinksUpToDate>false</LinksUpToDate>
  <CharactersWithSpaces>1763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2025-04-22T07:54:27Z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eyJoZGlkIjoiZGMyN2E2MTRmYjM2NzM2N2YwMzQyOWU3MDQxMjhiZDciLCJ1c2VySWQiOiIzMzQyNjE5NjcifQ==</vt:lpwstr>
  </property>
</Properties>
</file>