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内蒙古伊泰煤炭股份有限公司塔拉壕煤矿矿井水处理调蓄水池项目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内蒙古伊泰煤炭股份有限公司塔拉壕煤矿</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lang w:val="en-US" w:eastAsia="zh-CN"/>
              </w:rPr>
              <w:t>内蒙古自治区鄂尔多斯市东胜区铜川镇塔拉壕煤矿井田范围内</w:t>
            </w:r>
          </w:p>
        </w:tc>
        <w:tc>
          <w:tcPr>
            <w:tcW w:w="675" w:type="dxa"/>
            <w:vAlign w:val="center"/>
          </w:tcPr>
          <w:p w14:paraId="5D04F640">
            <w:pPr>
              <w:spacing w:line="600" w:lineRule="exact"/>
              <w:jc w:val="center"/>
              <w:rPr>
                <w:color w:val="000000"/>
                <w:szCs w:val="21"/>
              </w:rPr>
            </w:pPr>
            <w:r>
              <w:rPr>
                <w:rFonts w:hint="eastAsia"/>
                <w:color w:val="000000"/>
                <w:szCs w:val="21"/>
              </w:rPr>
              <w:t>内蒙古碧蓝环境科技有限公司</w:t>
            </w:r>
          </w:p>
        </w:tc>
        <w:tc>
          <w:tcPr>
            <w:tcW w:w="2555" w:type="dxa"/>
            <w:vAlign w:val="center"/>
          </w:tcPr>
          <w:p w14:paraId="113BBAED">
            <w:pPr>
              <w:spacing w:line="360" w:lineRule="auto"/>
              <w:ind w:firstLine="420" w:firstLineChars="200"/>
              <w:rPr>
                <w:color w:val="000000"/>
                <w:szCs w:val="21"/>
              </w:rPr>
            </w:pPr>
            <w:r>
              <w:rPr>
                <w:rFonts w:hint="eastAsia"/>
                <w:color w:val="000000"/>
                <w:szCs w:val="21"/>
                <w:lang w:val="en-US" w:eastAsia="zh-CN"/>
              </w:rPr>
              <w:t>一、该项目属于新建项目，位于东胜区铜川镇塔拉壕煤矿井田范围内。项目总占地面积32048平方米，</w:t>
            </w:r>
            <w:r>
              <w:rPr>
                <w:rFonts w:hint="default"/>
                <w:color w:val="000000"/>
                <w:szCs w:val="21"/>
                <w:lang w:val="en-US" w:eastAsia="zh-CN"/>
              </w:rPr>
              <w:t>总投资</w:t>
            </w:r>
            <w:r>
              <w:rPr>
                <w:rFonts w:hint="eastAsia"/>
                <w:color w:val="000000"/>
                <w:szCs w:val="21"/>
                <w:lang w:val="en-US" w:eastAsia="zh-CN"/>
              </w:rPr>
              <w:t>430万</w:t>
            </w:r>
            <w:r>
              <w:rPr>
                <w:rFonts w:hint="default"/>
                <w:color w:val="000000"/>
                <w:szCs w:val="21"/>
                <w:lang w:val="en-US" w:eastAsia="zh-CN"/>
              </w:rPr>
              <w:t>元，</w:t>
            </w:r>
            <w:r>
              <w:rPr>
                <w:rFonts w:hint="eastAsia"/>
                <w:color w:val="000000"/>
                <w:szCs w:val="21"/>
                <w:lang w:val="en-US" w:eastAsia="zh-CN"/>
              </w:rPr>
              <w:t>环保投资85.15万元。主要建设内容及规模：新建1座占地面积18920平方米，容</w:t>
            </w:r>
            <w:bookmarkStart w:id="0" w:name="_GoBack"/>
            <w:bookmarkEnd w:id="0"/>
            <w:r>
              <w:rPr>
                <w:rFonts w:hint="eastAsia"/>
                <w:color w:val="000000"/>
                <w:szCs w:val="21"/>
                <w:lang w:val="en-US" w:eastAsia="zh-CN"/>
              </w:rPr>
              <w:t>积8万立方米的调蓄水池，新建约2.188千米长输水线及管道附属建筑物。项目建成后，用于暂存塔拉壕煤矿未被回用的矿井水处理站出水，后续由鄂尔多斯市东胜区水务投资建设集团有限公司调配利用。</w:t>
            </w:r>
          </w:p>
        </w:tc>
        <w:tc>
          <w:tcPr>
            <w:tcW w:w="4877" w:type="dxa"/>
            <w:vAlign w:val="center"/>
          </w:tcPr>
          <w:p w14:paraId="21B9EF53">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249EEFB9">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B5454EE">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31B1164">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214013AC">
            <w:pPr>
              <w:spacing w:line="360" w:lineRule="auto"/>
              <w:jc w:val="left"/>
              <w:rPr>
                <w:rFonts w:hint="eastAsia"/>
                <w:color w:val="000000"/>
                <w:szCs w:val="21"/>
                <w:lang w:val="en-US" w:eastAsia="zh-CN"/>
              </w:rPr>
            </w:pPr>
            <w:r>
              <w:rPr>
                <w:rFonts w:hint="eastAsia"/>
                <w:color w:val="000000"/>
                <w:szCs w:val="21"/>
                <w:lang w:val="en-US" w:eastAsia="zh-CN"/>
              </w:rPr>
              <w:t>2、施工废水经临时沉淀池沉淀后用于洒水抑尘，不外排；施工人员生活污水依托塔拉壕煤矿污水处理设施处理。</w:t>
            </w:r>
          </w:p>
          <w:p w14:paraId="39EC9F59">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6DA87DB2">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3F0BFC0B">
            <w:pPr>
              <w:spacing w:line="360" w:lineRule="auto"/>
              <w:jc w:val="left"/>
              <w:rPr>
                <w:rFonts w:hint="eastAsia"/>
                <w:color w:val="000000"/>
                <w:szCs w:val="21"/>
                <w:lang w:val="en-US" w:eastAsia="zh-CN"/>
              </w:rPr>
            </w:pPr>
            <w:r>
              <w:rPr>
                <w:rFonts w:hint="eastAsia"/>
                <w:color w:val="000000"/>
                <w:szCs w:val="21"/>
                <w:lang w:val="en-US" w:eastAsia="zh-CN"/>
              </w:rPr>
              <w:t>5、土石方开挖过程中应严格按照设计要求施工，尽可能缩小施工活动范围。挖方过程中表层土与底层土分开放置，土方填埋时，也应分层回填，即底层土回填在下，表层土回填在上，尽可能保持植物原有的生活环境。施工结束后须尽快对临时占地和周边区域进行生态植被恢复，防止水土流失。</w:t>
            </w:r>
          </w:p>
          <w:p w14:paraId="304EAAD9">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22AA578B">
            <w:pPr>
              <w:spacing w:line="360" w:lineRule="auto"/>
              <w:jc w:val="left"/>
              <w:rPr>
                <w:rFonts w:hint="eastAsia"/>
                <w:color w:val="000000"/>
                <w:szCs w:val="21"/>
                <w:lang w:val="en-US" w:eastAsia="zh-CN"/>
              </w:rPr>
            </w:pPr>
            <w:r>
              <w:rPr>
                <w:rFonts w:hint="eastAsia"/>
                <w:color w:val="000000"/>
                <w:szCs w:val="21"/>
                <w:lang w:val="en-US" w:eastAsia="zh-CN"/>
              </w:rPr>
              <w:t>1、运营期无废气产生</w:t>
            </w:r>
          </w:p>
          <w:p w14:paraId="69FFDEFC">
            <w:pPr>
              <w:spacing w:line="360" w:lineRule="auto"/>
              <w:jc w:val="left"/>
              <w:rPr>
                <w:rFonts w:hint="eastAsia"/>
                <w:color w:val="000000"/>
                <w:szCs w:val="21"/>
                <w:lang w:val="en-US" w:eastAsia="zh-CN"/>
              </w:rPr>
            </w:pPr>
            <w:r>
              <w:rPr>
                <w:rFonts w:hint="eastAsia"/>
                <w:color w:val="000000"/>
                <w:szCs w:val="21"/>
                <w:lang w:val="en-US" w:eastAsia="zh-CN"/>
              </w:rPr>
              <w:t>2、</w:t>
            </w:r>
            <w:r>
              <w:rPr>
                <w:rFonts w:hint="eastAsia"/>
                <w:color w:val="000000"/>
                <w:szCs w:val="21"/>
              </w:rPr>
              <w:t>运营期不产生生产废水，</w:t>
            </w:r>
            <w:r>
              <w:rPr>
                <w:rFonts w:hint="eastAsia"/>
                <w:color w:val="000000"/>
                <w:szCs w:val="21"/>
                <w:lang w:eastAsia="zh-CN"/>
              </w:rPr>
              <w:t>不新增生活污水</w:t>
            </w:r>
            <w:r>
              <w:rPr>
                <w:rFonts w:hint="eastAsia"/>
                <w:color w:val="000000"/>
                <w:szCs w:val="21"/>
                <w:lang w:val="en-US" w:eastAsia="zh-CN"/>
              </w:rPr>
              <w:t>。运营期调蓄水池储水水质满足《地表水环境质量标准》（GB3838-2002）Ⅲ类标准限值。</w:t>
            </w:r>
          </w:p>
          <w:p w14:paraId="34701A5A">
            <w:pPr>
              <w:spacing w:line="360" w:lineRule="auto"/>
              <w:jc w:val="left"/>
              <w:rPr>
                <w:rFonts w:hint="eastAsia"/>
                <w:color w:val="000000"/>
                <w:szCs w:val="21"/>
                <w:lang w:val="en-US" w:eastAsia="zh-CN"/>
              </w:rPr>
            </w:pPr>
            <w:r>
              <w:rPr>
                <w:rFonts w:hint="eastAsia"/>
                <w:color w:val="000000"/>
                <w:szCs w:val="21"/>
                <w:lang w:val="en-US" w:eastAsia="zh-CN"/>
              </w:rPr>
              <w:t>3、</w:t>
            </w:r>
            <w:r>
              <w:rPr>
                <w:rFonts w:hint="eastAsia"/>
                <w:color w:val="000000"/>
                <w:szCs w:val="21"/>
              </w:rPr>
              <w:t>运营期厂界噪声</w:t>
            </w:r>
            <w:r>
              <w:rPr>
                <w:rFonts w:hint="eastAsia"/>
                <w:color w:val="000000"/>
                <w:szCs w:val="21"/>
                <w:lang w:val="en-US" w:eastAsia="zh-CN"/>
              </w:rPr>
              <w:t>执行《工业企业厂界环境噪声排放标准》（GB12348-2008）中2类标准。</w:t>
            </w:r>
          </w:p>
          <w:p w14:paraId="64F2FD90">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4、妥善处置各类固体废弃物。建设单位须严格按照《一般工业固体废物贮存和填埋污染控制标准》（GB18599-2020）处置一般固废，不得乱弃。</w:t>
            </w:r>
          </w:p>
          <w:p w14:paraId="6EF41B55">
            <w:pPr>
              <w:spacing w:line="360" w:lineRule="auto"/>
              <w:jc w:val="left"/>
              <w:rPr>
                <w:rFonts w:hint="eastAsia"/>
                <w:color w:val="000000"/>
                <w:szCs w:val="21"/>
                <w:lang w:val="en-US" w:eastAsia="zh-CN"/>
              </w:rPr>
            </w:pPr>
            <w:r>
              <w:rPr>
                <w:rFonts w:hint="eastAsia"/>
                <w:color w:val="000000"/>
                <w:szCs w:val="21"/>
                <w:lang w:val="en-US" w:eastAsia="zh-CN"/>
              </w:rPr>
              <w:t>5、强化环境风险防范，制定突发环境事件应急预案，落实环境风险事故防范措施，提高事故风险防范和污染控制能力。</w:t>
            </w:r>
          </w:p>
          <w:p w14:paraId="65C40154">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14324B01">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39ADA87">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9B76A12"/>
    <w:rsid w:val="31A836D5"/>
    <w:rsid w:val="3E062DA7"/>
    <w:rsid w:val="43DC2BDE"/>
    <w:rsid w:val="497150DD"/>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paragraph" w:customStyle="1" w:styleId="1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3">
    <w:name w:val="页眉 字符"/>
    <w:basedOn w:val="11"/>
    <w:link w:val="7"/>
    <w:autoRedefine/>
    <w:qFormat/>
    <w:uiPriority w:val="99"/>
    <w:rPr>
      <w:sz w:val="18"/>
      <w:szCs w:val="18"/>
    </w:rPr>
  </w:style>
  <w:style w:type="character" w:customStyle="1" w:styleId="14">
    <w:name w:val="页脚 字符"/>
    <w:basedOn w:val="11"/>
    <w:link w:val="6"/>
    <w:autoRedefine/>
    <w:qFormat/>
    <w:uiPriority w:val="99"/>
    <w:rPr>
      <w:sz w:val="18"/>
      <w:szCs w:val="18"/>
    </w:rPr>
  </w:style>
  <w:style w:type="character" w:customStyle="1" w:styleId="15">
    <w:name w:val="NormalCharacter"/>
    <w:autoRedefine/>
    <w:semiHidden/>
    <w:qFormat/>
    <w:uiPriority w:val="99"/>
  </w:style>
  <w:style w:type="paragraph" w:customStyle="1" w:styleId="16">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17">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1596</Words>
  <Characters>1702</Characters>
  <Lines>11</Lines>
  <Paragraphs>3</Paragraphs>
  <TotalTime>0</TotalTime>
  <ScaleCrop>false</ScaleCrop>
  <LinksUpToDate>false</LinksUpToDate>
  <CharactersWithSpaces>1763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2025-04-18T08:50:22Z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eyJoZGlkIjoiZGMyN2E2MTRmYjM2NzM2N2YwMzQyOWU3MDQxMjhiZDciLCJ1c2VySWQiOiIzMzQyNjE5NjcifQ==</vt:lpwstr>
  </property>
</Properties>
</file>