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380D8">
      <w:pPr>
        <w:snapToGrid w:val="0"/>
        <w:spacing w:line="580" w:lineRule="exact"/>
        <w:jc w:val="center"/>
        <w:rPr>
          <w:rStyle w:val="18"/>
          <w:rFonts w:ascii="仿宋_GB2312" w:eastAsia="仿宋_GB2312"/>
          <w:color w:val="auto"/>
          <w:sz w:val="32"/>
          <w:szCs w:val="32"/>
        </w:rPr>
      </w:pPr>
    </w:p>
    <w:p w14:paraId="476036EF">
      <w:pPr>
        <w:snapToGrid w:val="0"/>
        <w:spacing w:line="580" w:lineRule="exact"/>
        <w:jc w:val="center"/>
        <w:rPr>
          <w:rStyle w:val="18"/>
          <w:rFonts w:ascii="仿宋_GB2312" w:eastAsia="仿宋_GB2312"/>
          <w:color w:val="auto"/>
          <w:sz w:val="32"/>
          <w:szCs w:val="32"/>
        </w:rPr>
      </w:pPr>
    </w:p>
    <w:p w14:paraId="5E55F3A4">
      <w:pPr>
        <w:snapToGrid w:val="0"/>
        <w:spacing w:line="580" w:lineRule="exact"/>
        <w:jc w:val="center"/>
        <w:rPr>
          <w:rStyle w:val="18"/>
          <w:rFonts w:ascii="仿宋_GB2312" w:eastAsia="仿宋_GB2312"/>
          <w:color w:val="auto"/>
          <w:sz w:val="32"/>
          <w:szCs w:val="32"/>
        </w:rPr>
      </w:pPr>
    </w:p>
    <w:p w14:paraId="11C25DFB">
      <w:pPr>
        <w:snapToGrid w:val="0"/>
        <w:spacing w:line="580" w:lineRule="exact"/>
        <w:jc w:val="center"/>
        <w:rPr>
          <w:rStyle w:val="18"/>
          <w:rFonts w:ascii="仿宋_GB2312" w:eastAsia="仿宋_GB2312"/>
          <w:color w:val="auto"/>
          <w:sz w:val="32"/>
          <w:szCs w:val="32"/>
        </w:rPr>
      </w:pPr>
    </w:p>
    <w:p w14:paraId="52687A8D">
      <w:pPr>
        <w:snapToGrid w:val="0"/>
        <w:spacing w:line="580" w:lineRule="exact"/>
        <w:jc w:val="center"/>
        <w:rPr>
          <w:rStyle w:val="18"/>
          <w:rFonts w:ascii="仿宋_GB2312" w:eastAsia="仿宋_GB2312"/>
          <w:color w:val="auto"/>
          <w:sz w:val="32"/>
          <w:szCs w:val="32"/>
        </w:rPr>
      </w:pPr>
    </w:p>
    <w:p w14:paraId="7C432934">
      <w:pPr>
        <w:snapToGrid w:val="0"/>
        <w:spacing w:line="580" w:lineRule="exact"/>
        <w:jc w:val="center"/>
        <w:rPr>
          <w:rStyle w:val="18"/>
          <w:rFonts w:ascii="仿宋_GB2312" w:eastAsia="仿宋_GB2312"/>
          <w:color w:val="auto"/>
          <w:sz w:val="32"/>
          <w:szCs w:val="32"/>
        </w:rPr>
      </w:pPr>
    </w:p>
    <w:p w14:paraId="6FF0BDE2">
      <w:pPr>
        <w:snapToGrid w:val="0"/>
        <w:spacing w:line="580" w:lineRule="exact"/>
        <w:jc w:val="center"/>
        <w:rPr>
          <w:rStyle w:val="18"/>
          <w:rFonts w:ascii="仿宋_GB2312" w:eastAsia="仿宋_GB2312"/>
          <w:color w:val="auto"/>
          <w:sz w:val="32"/>
          <w:szCs w:val="32"/>
        </w:rPr>
      </w:pPr>
    </w:p>
    <w:p w14:paraId="629A9AAF">
      <w:pPr>
        <w:snapToGrid w:val="0"/>
        <w:spacing w:line="580" w:lineRule="exact"/>
        <w:jc w:val="center"/>
        <w:rPr>
          <w:rStyle w:val="18"/>
          <w:rFonts w:ascii="仿宋_GB2312" w:eastAsia="仿宋_GB2312"/>
          <w:color w:val="auto"/>
          <w:sz w:val="32"/>
          <w:szCs w:val="32"/>
        </w:rPr>
      </w:pPr>
    </w:p>
    <w:p w14:paraId="6C160EED">
      <w:pPr>
        <w:pStyle w:val="27"/>
        <w:rPr>
          <w:rStyle w:val="18"/>
          <w:color w:val="auto"/>
        </w:rPr>
      </w:pPr>
    </w:p>
    <w:p w14:paraId="16B5DCBE">
      <w:pPr>
        <w:snapToGrid w:val="0"/>
        <w:spacing w:line="600" w:lineRule="exact"/>
        <w:rPr>
          <w:rStyle w:val="18"/>
          <w:rFonts w:ascii="仿宋_GB2312" w:eastAsia="仿宋_GB2312"/>
          <w:color w:val="auto"/>
          <w:sz w:val="32"/>
          <w:szCs w:val="32"/>
        </w:rPr>
      </w:pPr>
    </w:p>
    <w:p w14:paraId="79DEF24A">
      <w:pPr>
        <w:tabs>
          <w:tab w:val="left" w:pos="7261"/>
        </w:tabs>
        <w:snapToGrid w:val="0"/>
        <w:spacing w:line="600" w:lineRule="exact"/>
        <w:ind w:firstLine="2880" w:firstLineChars="900"/>
        <w:rPr>
          <w:rStyle w:val="18"/>
          <w:rFonts w:hint="eastAsia" w:ascii="仿宋" w:hAnsi="仿宋" w:eastAsia="仿宋"/>
          <w:color w:val="auto"/>
          <w:sz w:val="32"/>
          <w:szCs w:val="32"/>
          <w:lang w:eastAsia="zh-CN"/>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2</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r>
        <w:rPr>
          <w:rStyle w:val="18"/>
          <w:rFonts w:hint="eastAsia" w:ascii="仿宋" w:hAnsi="仿宋" w:eastAsia="仿宋"/>
          <w:color w:val="auto"/>
          <w:sz w:val="32"/>
          <w:szCs w:val="32"/>
          <w:lang w:eastAsia="zh-CN"/>
        </w:rPr>
        <w:tab/>
      </w:r>
    </w:p>
    <w:p w14:paraId="11682474">
      <w:pPr>
        <w:spacing w:line="600" w:lineRule="exact"/>
        <w:jc w:val="center"/>
        <w:rPr>
          <w:rStyle w:val="18"/>
          <w:rFonts w:hint="eastAsia" w:ascii="宋体" w:hAnsi="宋体" w:eastAsia="宋体" w:cs="宋体"/>
          <w:b/>
          <w:bCs w:val="0"/>
          <w:color w:val="auto"/>
          <w:sz w:val="44"/>
          <w:szCs w:val="44"/>
        </w:rPr>
      </w:pPr>
    </w:p>
    <w:p w14:paraId="2F830156">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2C43C323">
      <w:pPr>
        <w:spacing w:line="600" w:lineRule="exact"/>
        <w:jc w:val="center"/>
        <w:rPr>
          <w:rStyle w:val="18"/>
          <w:rFonts w:hint="default" w:ascii="宋体" w:hAnsi="宋体" w:eastAsia="宋体" w:cs="Times New Roman"/>
          <w:b/>
          <w:bCs w:val="0"/>
          <w:color w:val="auto"/>
          <w:sz w:val="44"/>
          <w:szCs w:val="44"/>
        </w:rPr>
      </w:pPr>
      <w:bookmarkStart w:id="0" w:name="_Toc29191"/>
      <w:bookmarkStart w:id="1" w:name="_Toc18538"/>
      <w:bookmarkStart w:id="2" w:name="_Toc4362"/>
      <w:bookmarkStart w:id="3" w:name="_Toc1327"/>
      <w:bookmarkStart w:id="4" w:name="_Toc10352"/>
      <w:bookmarkStart w:id="5" w:name="_Toc19572"/>
      <w:bookmarkStart w:id="6" w:name="_Toc20069"/>
      <w:bookmarkStart w:id="7" w:name="_Toc20992"/>
      <w:bookmarkStart w:id="8" w:name="_Toc19594"/>
      <w:bookmarkStart w:id="9" w:name="_Toc7217"/>
      <w:bookmarkStart w:id="10" w:name="_Toc30150"/>
      <w:bookmarkStart w:id="11" w:name="_Toc11234"/>
      <w:bookmarkStart w:id="12" w:name="_Toc19510"/>
      <w:bookmarkStart w:id="13" w:name="_Toc29311"/>
      <w:bookmarkStart w:id="14" w:name="_Toc529"/>
      <w:bookmarkStart w:id="15" w:name="_Toc22976"/>
      <w:bookmarkStart w:id="16" w:name="_Toc8336"/>
      <w:r>
        <w:rPr>
          <w:rStyle w:val="18"/>
          <w:rFonts w:hint="default" w:ascii="宋体" w:hAnsi="宋体" w:eastAsia="宋体" w:cs="Times New Roman"/>
          <w:b/>
          <w:bCs w:val="0"/>
          <w:color w:val="auto"/>
          <w:sz w:val="44"/>
          <w:szCs w:val="44"/>
        </w:rPr>
        <w:t>鄂尔多斯市巴音孟克纳源煤炭有限</w:t>
      </w:r>
    </w:p>
    <w:p w14:paraId="3EAFA337">
      <w:pPr>
        <w:spacing w:line="600" w:lineRule="exact"/>
        <w:jc w:val="center"/>
        <w:rPr>
          <w:rStyle w:val="18"/>
          <w:rFonts w:hint="default" w:ascii="宋体" w:hAnsi="宋体" w:eastAsia="宋体" w:cs="Times New Roman"/>
          <w:b/>
          <w:bCs w:val="0"/>
          <w:color w:val="auto"/>
          <w:sz w:val="44"/>
          <w:szCs w:val="44"/>
        </w:rPr>
      </w:pPr>
      <w:r>
        <w:rPr>
          <w:rStyle w:val="18"/>
          <w:rFonts w:hint="default" w:ascii="宋体" w:hAnsi="宋体" w:eastAsia="宋体" w:cs="Times New Roman"/>
          <w:b/>
          <w:bCs w:val="0"/>
          <w:color w:val="auto"/>
          <w:sz w:val="44"/>
          <w:szCs w:val="44"/>
        </w:rPr>
        <w:t>责任</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Toc4878"/>
      <w:bookmarkStart w:id="18" w:name="_Toc17481"/>
      <w:bookmarkStart w:id="19" w:name="_Toc23704"/>
      <w:bookmarkStart w:id="20" w:name="_Toc28982"/>
      <w:bookmarkStart w:id="21" w:name="_Toc1831"/>
      <w:bookmarkStart w:id="22" w:name="_Toc20499"/>
      <w:bookmarkStart w:id="23" w:name="_Toc5590"/>
      <w:bookmarkStart w:id="24" w:name="_Toc11551"/>
      <w:bookmarkStart w:id="25" w:name="_Toc7570"/>
      <w:bookmarkStart w:id="26" w:name="_Toc26654"/>
      <w:bookmarkStart w:id="27" w:name="_Toc26082"/>
      <w:bookmarkStart w:id="28" w:name="_Toc6524"/>
      <w:bookmarkStart w:id="29" w:name="_Toc16515"/>
      <w:bookmarkStart w:id="30" w:name="_Toc28244"/>
      <w:bookmarkStart w:id="31" w:name="_Toc6594"/>
      <w:bookmarkStart w:id="32" w:name="_Toc21522"/>
      <w:bookmarkStart w:id="33" w:name="_Toc32402"/>
      <w:r>
        <w:rPr>
          <w:rStyle w:val="18"/>
          <w:rFonts w:hint="default" w:ascii="宋体" w:hAnsi="宋体" w:eastAsia="宋体" w:cs="Times New Roman"/>
          <w:b/>
          <w:bCs w:val="0"/>
          <w:color w:val="auto"/>
          <w:sz w:val="44"/>
          <w:szCs w:val="44"/>
        </w:rPr>
        <w:t>公司纳源智慧养殖基地项目</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415E7E43">
      <w:pPr>
        <w:spacing w:line="600" w:lineRule="exact"/>
        <w:jc w:val="center"/>
        <w:rPr>
          <w:rStyle w:val="18"/>
          <w:rFonts w:hint="eastAsia" w:ascii="宋体" w:hAnsi="宋体" w:eastAsia="宋体" w:cs="Times New Roman"/>
          <w:b/>
          <w:bCs w:val="0"/>
          <w:color w:val="auto"/>
          <w:sz w:val="44"/>
          <w:szCs w:val="44"/>
        </w:rPr>
      </w:pPr>
      <w:r>
        <w:rPr>
          <w:rStyle w:val="18"/>
          <w:rFonts w:hint="eastAsia" w:ascii="宋体" w:hAnsi="宋体" w:eastAsia="宋体" w:cs="Times New Roman"/>
          <w:b/>
          <w:bCs w:val="0"/>
          <w:color w:val="auto"/>
          <w:sz w:val="44"/>
          <w:szCs w:val="44"/>
        </w:rPr>
        <w:t>环境影响</w:t>
      </w:r>
      <w:r>
        <w:rPr>
          <w:rStyle w:val="18"/>
          <w:rFonts w:hint="eastAsia" w:ascii="宋体" w:hAnsi="宋体" w:eastAsia="宋体" w:cs="Times New Roman"/>
          <w:b/>
          <w:bCs w:val="0"/>
          <w:color w:val="auto"/>
          <w:sz w:val="44"/>
          <w:szCs w:val="44"/>
          <w:lang w:eastAsia="zh-CN"/>
        </w:rPr>
        <w:t>报告书</w:t>
      </w:r>
      <w:r>
        <w:rPr>
          <w:rStyle w:val="18"/>
          <w:rFonts w:hint="eastAsia" w:ascii="宋体" w:hAnsi="宋体" w:eastAsia="宋体" w:cs="Times New Roman"/>
          <w:b/>
          <w:bCs w:val="0"/>
          <w:color w:val="auto"/>
          <w:sz w:val="44"/>
          <w:szCs w:val="44"/>
        </w:rPr>
        <w:t>的批复</w:t>
      </w:r>
    </w:p>
    <w:p w14:paraId="21AB812E">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2BBC4C3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Style w:val="18"/>
          <w:rFonts w:hint="eastAsia" w:ascii="仿宋" w:hAnsi="仿宋" w:eastAsia="仿宋" w:cs="Times New Roman"/>
          <w:sz w:val="32"/>
          <w:szCs w:val="32"/>
          <w:lang w:eastAsia="zh-CN"/>
        </w:rPr>
      </w:pPr>
      <w:r>
        <w:rPr>
          <w:rStyle w:val="18"/>
          <w:rFonts w:hint="default" w:ascii="仿宋" w:hAnsi="仿宋" w:eastAsia="仿宋" w:cs="Times New Roman"/>
          <w:sz w:val="32"/>
          <w:szCs w:val="32"/>
        </w:rPr>
        <w:t>鄂尔多斯市巴音孟克纳源煤炭有限责任公司</w:t>
      </w:r>
      <w:r>
        <w:rPr>
          <w:rStyle w:val="18"/>
          <w:rFonts w:hint="eastAsia" w:ascii="仿宋" w:hAnsi="仿宋" w:eastAsia="仿宋" w:cs="Times New Roman"/>
          <w:sz w:val="32"/>
          <w:szCs w:val="32"/>
          <w:lang w:val="en-US" w:eastAsia="zh-CN"/>
        </w:rPr>
        <w:t>：</w:t>
      </w:r>
    </w:p>
    <w:p w14:paraId="4C97F8A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w:t>
      </w:r>
      <w:r>
        <w:rPr>
          <w:rStyle w:val="18"/>
          <w:rFonts w:hint="eastAsia" w:ascii="仿宋" w:hAnsi="仿宋" w:eastAsia="仿宋" w:cs="Times New Roman"/>
          <w:sz w:val="32"/>
          <w:szCs w:val="32"/>
        </w:rPr>
        <w:t>的由</w:t>
      </w:r>
      <w:r>
        <w:rPr>
          <w:rStyle w:val="18"/>
          <w:rFonts w:hint="eastAsia" w:ascii="仿宋" w:hAnsi="仿宋" w:eastAsia="仿宋"/>
          <w:sz w:val="32"/>
          <w:szCs w:val="32"/>
          <w:lang w:val="en-US" w:eastAsia="zh-CN"/>
        </w:rPr>
        <w:t>内蒙古泽郡生态环境科技有限公司</w:t>
      </w:r>
      <w:r>
        <w:rPr>
          <w:rStyle w:val="18"/>
          <w:rFonts w:hint="eastAsia" w:ascii="仿宋" w:hAnsi="仿宋" w:eastAsia="仿宋" w:cs="Times New Roman"/>
          <w:sz w:val="32"/>
          <w:szCs w:val="32"/>
          <w:lang w:val="en-US" w:eastAsia="zh-CN"/>
        </w:rPr>
        <w:t>编</w:t>
      </w:r>
      <w:r>
        <w:rPr>
          <w:rStyle w:val="18"/>
          <w:rFonts w:hint="eastAsia" w:ascii="仿宋" w:hAnsi="仿宋" w:eastAsia="仿宋" w:cs="Times New Roman"/>
          <w:sz w:val="32"/>
          <w:szCs w:val="32"/>
        </w:rPr>
        <w:t>制的</w:t>
      </w:r>
      <w:r>
        <w:rPr>
          <w:rStyle w:val="18"/>
          <w:rFonts w:hint="eastAsia" w:ascii="仿宋" w:hAnsi="仿宋" w:eastAsia="仿宋"/>
          <w:sz w:val="32"/>
          <w:szCs w:val="32"/>
          <w:lang w:val="en-US" w:eastAsia="zh-CN"/>
        </w:rPr>
        <w:t>《</w:t>
      </w:r>
      <w:r>
        <w:rPr>
          <w:rStyle w:val="18"/>
          <w:rFonts w:hint="default" w:ascii="仿宋" w:hAnsi="仿宋" w:eastAsia="仿宋" w:cs="Times New Roman"/>
          <w:sz w:val="32"/>
          <w:szCs w:val="32"/>
          <w:lang w:val="en-US" w:eastAsia="zh-CN"/>
        </w:rPr>
        <w:t>鄂尔多斯市巴音孟克纳源煤炭有限责任公司纳源智慧养殖基地项目</w:t>
      </w:r>
      <w:r>
        <w:rPr>
          <w:rStyle w:val="18"/>
          <w:rFonts w:hint="eastAsia" w:ascii="仿宋" w:hAnsi="仿宋" w:eastAsia="仿宋" w:cs="Times New Roman"/>
          <w:sz w:val="32"/>
          <w:szCs w:val="32"/>
          <w:lang w:val="en-US" w:eastAsia="zh-CN"/>
        </w:rPr>
        <w:t>环境</w:t>
      </w:r>
      <w:r>
        <w:rPr>
          <w:rStyle w:val="18"/>
          <w:rFonts w:hint="eastAsia" w:ascii="仿宋" w:hAnsi="仿宋" w:eastAsia="仿宋" w:cs="Times New Roman"/>
          <w:sz w:val="32"/>
          <w:szCs w:val="32"/>
        </w:rPr>
        <w:t>影响报告</w:t>
      </w:r>
      <w:r>
        <w:rPr>
          <w:rStyle w:val="18"/>
          <w:rFonts w:hint="eastAsia" w:ascii="仿宋" w:hAnsi="仿宋" w:eastAsia="仿宋" w:cs="Times New Roman"/>
          <w:sz w:val="32"/>
          <w:szCs w:val="32"/>
          <w:lang w:eastAsia="zh-CN"/>
        </w:rPr>
        <w:t>书</w:t>
      </w:r>
      <w:r>
        <w:rPr>
          <w:rStyle w:val="18"/>
          <w:rFonts w:hint="eastAsia" w:ascii="仿宋" w:hAnsi="仿宋" w:eastAsia="仿宋" w:cs="Times New Roman"/>
          <w:sz w:val="32"/>
          <w:szCs w:val="32"/>
        </w:rPr>
        <w:t>》（以下简称《</w:t>
      </w:r>
      <w:r>
        <w:rPr>
          <w:rStyle w:val="18"/>
          <w:rFonts w:hint="eastAsia" w:ascii="仿宋" w:hAnsi="仿宋" w:eastAsia="仿宋" w:cs="Times New Roman"/>
          <w:sz w:val="32"/>
          <w:szCs w:val="32"/>
          <w:lang w:eastAsia="zh-CN"/>
        </w:rPr>
        <w:t>报告书</w:t>
      </w:r>
      <w:r>
        <w:rPr>
          <w:rStyle w:val="18"/>
          <w:rFonts w:hint="eastAsia" w:ascii="仿宋" w:hAnsi="仿宋" w:eastAsia="仿宋" w:cs="Times New Roman"/>
          <w:sz w:val="32"/>
          <w:szCs w:val="32"/>
        </w:rPr>
        <w:t>》）已收悉</w:t>
      </w:r>
      <w:r>
        <w:rPr>
          <w:rStyle w:val="18"/>
          <w:rFonts w:hint="eastAsia" w:ascii="仿宋" w:hAnsi="仿宋" w:eastAsia="仿宋" w:cs="Times New Roman"/>
          <w:sz w:val="32"/>
          <w:szCs w:val="32"/>
          <w:lang w:eastAsia="zh-CN"/>
        </w:rPr>
        <w:t>。</w:t>
      </w:r>
      <w:r>
        <w:rPr>
          <w:rStyle w:val="18"/>
          <w:rFonts w:hint="eastAsia" w:ascii="仿宋" w:hAnsi="仿宋" w:eastAsia="仿宋"/>
          <w:sz w:val="32"/>
          <w:szCs w:val="32"/>
          <w:lang w:val="en-US" w:eastAsia="zh-CN"/>
        </w:rPr>
        <w:t>经组织专</w:t>
      </w:r>
      <w:r>
        <w:rPr>
          <w:rStyle w:val="18"/>
          <w:rFonts w:hint="eastAsia" w:ascii="仿宋" w:hAnsi="仿宋" w:eastAsia="仿宋" w:cs="Times New Roman"/>
          <w:sz w:val="32"/>
          <w:szCs w:val="32"/>
          <w:lang w:val="en-US" w:eastAsia="zh-CN"/>
        </w:rPr>
        <w:t>家评审，集体研究，形成如下审批意见：</w:t>
      </w:r>
    </w:p>
    <w:p w14:paraId="55625BE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一、</w:t>
      </w:r>
      <w:r>
        <w:rPr>
          <w:rStyle w:val="18"/>
          <w:rFonts w:hint="eastAsia" w:ascii="仿宋" w:hAnsi="仿宋" w:eastAsia="仿宋"/>
          <w:sz w:val="32"/>
          <w:szCs w:val="32"/>
        </w:rPr>
        <w:t>该项目属于</w:t>
      </w:r>
      <w:r>
        <w:rPr>
          <w:rStyle w:val="18"/>
          <w:rFonts w:hint="eastAsia" w:ascii="仿宋" w:hAnsi="仿宋" w:eastAsia="仿宋"/>
          <w:sz w:val="32"/>
          <w:szCs w:val="32"/>
          <w:lang w:val="en-US" w:eastAsia="zh-CN"/>
        </w:rPr>
        <w:t>新</w:t>
      </w:r>
      <w:r>
        <w:rPr>
          <w:rStyle w:val="18"/>
          <w:rFonts w:hint="eastAsia" w:ascii="仿宋" w:hAnsi="仿宋" w:eastAsia="仿宋"/>
          <w:sz w:val="32"/>
          <w:szCs w:val="32"/>
        </w:rPr>
        <w:t>建项目</w:t>
      </w:r>
      <w:r>
        <w:rPr>
          <w:rStyle w:val="18"/>
          <w:rFonts w:hint="eastAsia" w:ascii="仿宋" w:hAnsi="仿宋" w:eastAsia="仿宋" w:cs="Times New Roman"/>
          <w:color w:val="000000"/>
          <w:sz w:val="32"/>
          <w:szCs w:val="32"/>
          <w:lang w:val="en-US" w:eastAsia="zh-CN" w:bidi="ar-SA"/>
        </w:rPr>
        <w:t>，</w:t>
      </w:r>
      <w:r>
        <w:rPr>
          <w:rStyle w:val="18"/>
          <w:rFonts w:hint="eastAsia" w:ascii="仿宋" w:hAnsi="仿宋" w:eastAsia="仿宋" w:cs="Times New Roman"/>
          <w:sz w:val="32"/>
          <w:szCs w:val="32"/>
          <w:lang w:val="en-US" w:eastAsia="zh-CN"/>
        </w:rPr>
        <w:t>位于</w:t>
      </w:r>
      <w:r>
        <w:rPr>
          <w:rStyle w:val="18"/>
          <w:rFonts w:hint="default" w:ascii="仿宋" w:hAnsi="仿宋" w:eastAsia="仿宋" w:cs="Times New Roman"/>
          <w:sz w:val="32"/>
          <w:szCs w:val="32"/>
          <w:lang w:val="en-US" w:eastAsia="zh-CN"/>
        </w:rPr>
        <w:t>鄂尔多斯市东胜区铜川镇潮脑梁村窑子沟社</w:t>
      </w:r>
      <w:r>
        <w:rPr>
          <w:rStyle w:val="18"/>
          <w:rFonts w:hint="eastAsia" w:ascii="仿宋" w:hAnsi="仿宋" w:eastAsia="仿宋" w:cs="Times New Roman"/>
          <w:sz w:val="32"/>
          <w:szCs w:val="32"/>
          <w:lang w:val="en-US" w:eastAsia="zh-CN"/>
        </w:rPr>
        <w:t>。项目总占地面积168448.88平方米，</w:t>
      </w:r>
      <w:r>
        <w:rPr>
          <w:rStyle w:val="18"/>
          <w:rFonts w:hint="default" w:ascii="仿宋" w:hAnsi="仿宋" w:eastAsia="仿宋" w:cs="Times New Roman"/>
          <w:sz w:val="32"/>
          <w:szCs w:val="32"/>
          <w:lang w:val="en-US" w:eastAsia="zh-CN"/>
        </w:rPr>
        <w:t>总投资</w:t>
      </w:r>
      <w:r>
        <w:rPr>
          <w:rStyle w:val="18"/>
          <w:rFonts w:hint="eastAsia" w:ascii="仿宋" w:hAnsi="仿宋" w:eastAsia="仿宋" w:cs="Times New Roman"/>
          <w:sz w:val="32"/>
          <w:szCs w:val="32"/>
          <w:highlight w:val="none"/>
          <w:lang w:val="en-US" w:eastAsia="zh-CN"/>
        </w:rPr>
        <w:t>6218万</w:t>
      </w:r>
      <w:r>
        <w:rPr>
          <w:rStyle w:val="18"/>
          <w:rFonts w:hint="default" w:ascii="仿宋" w:hAnsi="仿宋" w:eastAsia="仿宋" w:cs="Times New Roman"/>
          <w:sz w:val="32"/>
          <w:szCs w:val="32"/>
          <w:highlight w:val="none"/>
          <w:lang w:val="en-US" w:eastAsia="zh-CN"/>
        </w:rPr>
        <w:t>元，</w:t>
      </w:r>
      <w:r>
        <w:rPr>
          <w:rStyle w:val="18"/>
          <w:rFonts w:hint="eastAsia" w:ascii="仿宋" w:hAnsi="仿宋" w:eastAsia="仿宋" w:cs="Times New Roman"/>
          <w:sz w:val="32"/>
          <w:szCs w:val="32"/>
          <w:highlight w:val="none"/>
          <w:lang w:val="en-US" w:eastAsia="zh-CN"/>
        </w:rPr>
        <w:t>其中</w:t>
      </w:r>
      <w:r>
        <w:rPr>
          <w:rStyle w:val="18"/>
          <w:rFonts w:hint="default" w:ascii="仿宋" w:hAnsi="仿宋" w:eastAsia="仿宋" w:cs="Times New Roman"/>
          <w:sz w:val="32"/>
          <w:szCs w:val="32"/>
          <w:highlight w:val="none"/>
          <w:lang w:val="en-US" w:eastAsia="zh-CN"/>
        </w:rPr>
        <w:t>环保投资</w:t>
      </w:r>
      <w:r>
        <w:rPr>
          <w:rStyle w:val="18"/>
          <w:rFonts w:hint="eastAsia" w:ascii="仿宋" w:hAnsi="仿宋" w:eastAsia="仿宋" w:cs="Times New Roman"/>
          <w:sz w:val="32"/>
          <w:szCs w:val="32"/>
          <w:highlight w:val="none"/>
          <w:lang w:val="en-US" w:eastAsia="zh-CN"/>
        </w:rPr>
        <w:t>109万元。主要建设内容及规模：新建</w:t>
      </w:r>
      <w:r>
        <w:rPr>
          <w:rFonts w:hint="default" w:ascii="Times New Roman" w:hAnsi="Times New Roman" w:eastAsia="仿宋_GB2312" w:cs="Times New Roman"/>
          <w:sz w:val="32"/>
          <w:szCs w:val="32"/>
          <w:highlight w:val="none"/>
          <w:lang w:eastAsia="zh-CN"/>
        </w:rPr>
        <w:t>牛舍及</w:t>
      </w:r>
      <w:r>
        <w:rPr>
          <w:rFonts w:hint="eastAsia" w:ascii="Times New Roman" w:hAnsi="Times New Roman" w:cs="Times New Roman"/>
          <w:sz w:val="32"/>
          <w:szCs w:val="32"/>
          <w:highlight w:val="none"/>
          <w:lang w:eastAsia="zh-CN"/>
        </w:rPr>
        <w:t>运</w:t>
      </w:r>
      <w:r>
        <w:rPr>
          <w:rFonts w:hint="default" w:ascii="Times New Roman" w:hAnsi="Times New Roman" w:eastAsia="仿宋_GB2312" w:cs="Times New Roman"/>
          <w:sz w:val="32"/>
          <w:szCs w:val="32"/>
          <w:highlight w:val="none"/>
        </w:rPr>
        <w:t>动场、饲料区、</w:t>
      </w:r>
      <w:r>
        <w:rPr>
          <w:rFonts w:hint="default" w:ascii="Times New Roman" w:hAnsi="Times New Roman" w:eastAsia="仿宋_GB2312" w:cs="Times New Roman"/>
          <w:sz w:val="32"/>
          <w:szCs w:val="32"/>
          <w:highlight w:val="none"/>
          <w:lang w:eastAsia="zh-CN"/>
        </w:rPr>
        <w:t>粪污</w:t>
      </w:r>
      <w:r>
        <w:rPr>
          <w:rFonts w:hint="eastAsia" w:ascii="Times New Roman" w:hAnsi="Times New Roman" w:eastAsia="仿宋_GB2312" w:cs="Times New Roman"/>
          <w:sz w:val="32"/>
          <w:szCs w:val="32"/>
          <w:highlight w:val="none"/>
          <w:lang w:val="en-US" w:eastAsia="zh-CN"/>
        </w:rPr>
        <w:t>处</w:t>
      </w:r>
      <w:r>
        <w:rPr>
          <w:rFonts w:hint="eastAsia" w:eastAsia="仿宋_GB2312" w:cs="Times New Roman"/>
          <w:sz w:val="32"/>
          <w:szCs w:val="32"/>
          <w:highlight w:val="none"/>
          <w:lang w:val="en-US" w:eastAsia="zh-CN"/>
        </w:rPr>
        <w:t>理</w:t>
      </w:r>
      <w:r>
        <w:rPr>
          <w:rFonts w:hint="eastAsia" w:ascii="Times New Roman" w:hAnsi="Times New Roman" w:eastAsia="仿宋_GB2312" w:cs="Times New Roman"/>
          <w:sz w:val="32"/>
          <w:szCs w:val="32"/>
          <w:highlight w:val="none"/>
          <w:lang w:val="en-US" w:eastAsia="zh-CN"/>
        </w:rPr>
        <w:t>区</w:t>
      </w:r>
      <w:r>
        <w:rPr>
          <w:rFonts w:hint="default" w:ascii="Times New Roman" w:hAnsi="Times New Roman" w:eastAsia="仿宋_GB2312" w:cs="Times New Roman"/>
          <w:sz w:val="32"/>
          <w:szCs w:val="32"/>
          <w:highlight w:val="none"/>
          <w:lang w:eastAsia="zh-CN"/>
        </w:rPr>
        <w:t>、医疗废物暂存间以及</w:t>
      </w:r>
      <w:r>
        <w:rPr>
          <w:rStyle w:val="18"/>
          <w:rFonts w:hint="eastAsia" w:ascii="仿宋" w:hAnsi="仿宋" w:eastAsia="仿宋" w:cs="Times New Roman"/>
          <w:sz w:val="32"/>
          <w:szCs w:val="32"/>
          <w:highlight w:val="none"/>
          <w:lang w:val="en-US" w:eastAsia="zh-CN"/>
        </w:rPr>
        <w:t>配套的公辅工程、储运工程和环保工程。项目建成后年存栏肉牛3300头，年出栏育肥牛1000头，24个月出栏。</w:t>
      </w:r>
    </w:p>
    <w:p w14:paraId="0B3755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rPr>
      </w:pPr>
      <w:r>
        <w:rPr>
          <w:rStyle w:val="18"/>
          <w:rFonts w:hint="eastAsia" w:ascii="仿宋" w:hAnsi="仿宋" w:eastAsia="仿宋"/>
          <w:sz w:val="32"/>
          <w:szCs w:val="32"/>
        </w:rPr>
        <w:t>《</w:t>
      </w:r>
      <w:r>
        <w:rPr>
          <w:rStyle w:val="18"/>
          <w:rFonts w:hint="eastAsia" w:ascii="仿宋" w:hAnsi="仿宋" w:eastAsia="仿宋"/>
          <w:sz w:val="32"/>
          <w:szCs w:val="32"/>
          <w:lang w:eastAsia="zh-CN"/>
        </w:rPr>
        <w:t>报告书</w:t>
      </w:r>
      <w:r>
        <w:rPr>
          <w:rStyle w:val="18"/>
          <w:rFonts w:hint="eastAsia" w:ascii="仿宋" w:hAnsi="仿宋" w:eastAsia="仿宋"/>
          <w:sz w:val="32"/>
          <w:szCs w:val="32"/>
        </w:rPr>
        <w:t>》认为，在全面落实各项生态环境保护和环境污染防治措施的前提下，项目建设对环境的不利影响能够得到一定的缓解和控制。因此，我局原则同意你单位按照《</w:t>
      </w:r>
      <w:r>
        <w:rPr>
          <w:rStyle w:val="18"/>
          <w:rFonts w:hint="eastAsia" w:ascii="仿宋" w:hAnsi="仿宋" w:eastAsia="仿宋"/>
          <w:sz w:val="32"/>
          <w:szCs w:val="32"/>
          <w:lang w:eastAsia="zh-CN"/>
        </w:rPr>
        <w:t>报告书</w:t>
      </w:r>
      <w:r>
        <w:rPr>
          <w:rStyle w:val="18"/>
          <w:rFonts w:hint="eastAsia" w:ascii="仿宋" w:hAnsi="仿宋" w:eastAsia="仿宋"/>
          <w:sz w:val="32"/>
          <w:szCs w:val="32"/>
        </w:rPr>
        <w:t>》中所列的建设项目性质、规模、地点、环境保护措施进行建设。</w:t>
      </w:r>
    </w:p>
    <w:p w14:paraId="5D132DE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olor w:val="auto"/>
          <w:sz w:val="32"/>
          <w:szCs w:val="32"/>
          <w:lang w:val="en-US"/>
        </w:rPr>
      </w:pPr>
      <w:r>
        <w:rPr>
          <w:rStyle w:val="18"/>
          <w:rFonts w:hint="eastAsia" w:ascii="仿宋" w:hAnsi="仿宋" w:eastAsia="仿宋"/>
          <w:sz w:val="32"/>
          <w:szCs w:val="32"/>
          <w:lang w:val="en-US" w:eastAsia="zh-CN"/>
        </w:rPr>
        <w:t>二、在项目工程设计、建设和环境管理中，你单位必须严格落实</w:t>
      </w:r>
      <w:r>
        <w:rPr>
          <w:rStyle w:val="18"/>
          <w:rFonts w:hint="eastAsia" w:ascii="仿宋" w:hAnsi="仿宋" w:eastAsia="仿宋"/>
          <w:sz w:val="32"/>
          <w:szCs w:val="32"/>
        </w:rPr>
        <w:t>《</w:t>
      </w:r>
      <w:r>
        <w:rPr>
          <w:rStyle w:val="18"/>
          <w:rFonts w:hint="eastAsia" w:ascii="仿宋" w:hAnsi="仿宋" w:eastAsia="仿宋"/>
          <w:sz w:val="32"/>
          <w:szCs w:val="32"/>
          <w:lang w:eastAsia="zh-CN"/>
        </w:rPr>
        <w:t>报告书</w:t>
      </w:r>
      <w:r>
        <w:rPr>
          <w:rStyle w:val="18"/>
          <w:rFonts w:hint="eastAsia" w:ascii="仿宋" w:hAnsi="仿宋" w:eastAsia="仿宋"/>
          <w:sz w:val="32"/>
          <w:szCs w:val="32"/>
        </w:rPr>
        <w:t>》</w:t>
      </w:r>
      <w:r>
        <w:rPr>
          <w:rStyle w:val="18"/>
          <w:rFonts w:hint="eastAsia" w:ascii="仿宋" w:hAnsi="仿宋" w:eastAsia="仿宋"/>
          <w:sz w:val="32"/>
          <w:szCs w:val="32"/>
          <w:lang w:val="en-US" w:eastAsia="zh-CN"/>
        </w:rPr>
        <w:t>中提出的各项环保措施和要求，确保各项污染物稳定达标排放，并须着重做好以下工作：</w:t>
      </w:r>
    </w:p>
    <w:p w14:paraId="2047594C">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8"/>
          <w:rFonts w:hint="eastAsia" w:ascii="仿宋" w:hAnsi="仿宋" w:eastAsia="仿宋" w:cs="Times New Roman"/>
          <w:sz w:val="32"/>
          <w:szCs w:val="32"/>
          <w:lang w:val="en-US" w:eastAsia="zh-CN"/>
        </w:rPr>
        <w:t>一）严格落实施工期污染防治措施</w:t>
      </w:r>
    </w:p>
    <w:p w14:paraId="498BE5D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1、</w:t>
      </w:r>
      <w:r>
        <w:rPr>
          <w:rStyle w:val="18"/>
          <w:rFonts w:hint="eastAsia" w:ascii="仿宋" w:hAnsi="仿宋" w:eastAsia="仿宋" w:cs="Times New Roman"/>
          <w:sz w:val="32"/>
          <w:szCs w:val="32"/>
        </w:rPr>
        <w:t>加强施工期环境管理，</w:t>
      </w:r>
      <w:r>
        <w:rPr>
          <w:rFonts w:hint="default" w:ascii="Times New Roman" w:hAnsi="Times New Roman" w:eastAsia="仿宋_GB2312" w:cs="Times New Roman"/>
          <w:color w:val="auto"/>
          <w:kern w:val="2"/>
          <w:sz w:val="32"/>
          <w:szCs w:val="32"/>
          <w:lang w:val="en-US" w:eastAsia="zh-CN" w:bidi="ar-SA"/>
        </w:rPr>
        <w:t>施工单位在土石方开挖及设备安装过程中应严格按照设计要求施工，施工场地四周须建立围挡，定期进行洒水和清扫</w:t>
      </w:r>
      <w:r>
        <w:rPr>
          <w:rStyle w:val="18"/>
          <w:rFonts w:hint="eastAsia" w:ascii="仿宋" w:hAnsi="仿宋" w:eastAsia="仿宋" w:cs="Times New Roman"/>
          <w:sz w:val="32"/>
          <w:szCs w:val="32"/>
          <w:lang w:eastAsia="zh-CN"/>
        </w:rPr>
        <w:t>。</w:t>
      </w:r>
      <w:r>
        <w:rPr>
          <w:rStyle w:val="18"/>
          <w:rFonts w:hint="eastAsia" w:ascii="仿宋" w:hAnsi="仿宋" w:eastAsia="仿宋" w:cs="Times New Roman"/>
          <w:sz w:val="32"/>
          <w:szCs w:val="32"/>
        </w:rPr>
        <w:t>施工期大气污染物排放执行《大气污染物综合排放标准》（GB</w:t>
      </w:r>
      <w:r>
        <w:rPr>
          <w:rStyle w:val="18"/>
          <w:rFonts w:hint="eastAsia" w:ascii="仿宋" w:hAnsi="仿宋" w:eastAsia="仿宋" w:cs="Times New Roman"/>
          <w:sz w:val="32"/>
          <w:szCs w:val="32"/>
          <w:lang w:val="en-US" w:eastAsia="zh-CN"/>
        </w:rPr>
        <w:t xml:space="preserve"> </w:t>
      </w:r>
      <w:r>
        <w:rPr>
          <w:rStyle w:val="18"/>
          <w:rFonts w:hint="eastAsia" w:ascii="仿宋" w:hAnsi="仿宋" w:eastAsia="仿宋" w:cs="Times New Roman"/>
          <w:sz w:val="32"/>
          <w:szCs w:val="32"/>
        </w:rPr>
        <w:t>16297-1996）表2中无组织排放监控浓度限值。</w:t>
      </w:r>
    </w:p>
    <w:p w14:paraId="4F47632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2、施工人员生活污水</w:t>
      </w:r>
      <w:r>
        <w:rPr>
          <w:rStyle w:val="18"/>
          <w:rFonts w:hint="eastAsia" w:ascii="仿宋" w:hAnsi="仿宋" w:eastAsia="仿宋" w:cs="Times New Roman"/>
          <w:sz w:val="32"/>
          <w:szCs w:val="32"/>
        </w:rPr>
        <w:t>依托</w:t>
      </w:r>
      <w:r>
        <w:rPr>
          <w:rStyle w:val="18"/>
          <w:rFonts w:hint="eastAsia" w:ascii="仿宋" w:hAnsi="仿宋" w:eastAsia="仿宋" w:cs="Times New Roman"/>
          <w:sz w:val="32"/>
          <w:szCs w:val="32"/>
          <w:lang w:val="en-US" w:eastAsia="zh-CN"/>
        </w:rPr>
        <w:t>纳源煤矿生活污水处理站处理</w:t>
      </w:r>
      <w:r>
        <w:rPr>
          <w:rStyle w:val="18"/>
          <w:rFonts w:hint="eastAsia" w:ascii="仿宋" w:hAnsi="仿宋" w:eastAsia="仿宋" w:cs="Times New Roman"/>
          <w:sz w:val="32"/>
          <w:szCs w:val="32"/>
        </w:rPr>
        <w:t>。</w:t>
      </w:r>
    </w:p>
    <w:p w14:paraId="2521F8B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 12523-2011）。</w:t>
      </w:r>
    </w:p>
    <w:p w14:paraId="7665A79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4、</w:t>
      </w:r>
      <w:r>
        <w:rPr>
          <w:rStyle w:val="18"/>
          <w:rFonts w:hint="eastAsia" w:ascii="仿宋" w:hAnsi="仿宋" w:eastAsia="仿宋" w:cs="Times New Roman"/>
          <w:color w:val="000000"/>
          <w:sz w:val="32"/>
          <w:szCs w:val="32"/>
          <w:lang w:val="en-US" w:eastAsia="zh-CN" w:bidi="ar-SA"/>
        </w:rPr>
        <w:t>固体废物集中堆放及时清运，交有关部门进行处理</w:t>
      </w:r>
      <w:r>
        <w:rPr>
          <w:rStyle w:val="18"/>
          <w:rFonts w:hint="eastAsia" w:ascii="仿宋" w:hAnsi="仿宋" w:eastAsia="仿宋" w:cs="Times New Roman"/>
          <w:sz w:val="32"/>
          <w:szCs w:val="32"/>
          <w:lang w:val="en-US" w:eastAsia="zh-CN"/>
        </w:rPr>
        <w:t>。</w:t>
      </w:r>
    </w:p>
    <w:p w14:paraId="3056367E">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5、</w:t>
      </w:r>
      <w:r>
        <w:rPr>
          <w:rFonts w:hint="default" w:ascii="Times New Roman" w:hAnsi="Times New Roman" w:eastAsia="仿宋_GB2312" w:cs="Times New Roman"/>
          <w:color w:val="auto"/>
          <w:kern w:val="2"/>
          <w:sz w:val="32"/>
          <w:szCs w:val="32"/>
          <w:lang w:val="en-US" w:eastAsia="zh-CN" w:bidi="ar-SA"/>
        </w:rPr>
        <w:t>严格控制施工范围，施工场地</w:t>
      </w:r>
      <w:r>
        <w:rPr>
          <w:rFonts w:hint="eastAsia" w:ascii="Times New Roman" w:hAnsi="Times New Roman"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设施等均置于永久占地范围内，减少施工期水土流失</w:t>
      </w:r>
      <w:r>
        <w:rPr>
          <w:rFonts w:hint="default" w:ascii="Times New Roman" w:hAnsi="Times New Roman" w:cs="Times New Roman"/>
          <w:color w:val="auto"/>
          <w:kern w:val="2"/>
          <w:sz w:val="32"/>
          <w:szCs w:val="32"/>
          <w:lang w:val="en-US" w:eastAsia="zh-CN" w:bidi="ar-SA"/>
        </w:rPr>
        <w:t>。</w:t>
      </w:r>
    </w:p>
    <w:p w14:paraId="1088A8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w:t>
      </w:r>
      <w:r>
        <w:rPr>
          <w:rStyle w:val="18"/>
          <w:rFonts w:hint="eastAsia" w:ascii="仿宋" w:hAnsi="仿宋" w:eastAsia="仿宋" w:cs="Times New Roman"/>
          <w:sz w:val="32"/>
          <w:szCs w:val="32"/>
          <w:lang w:val="en-US" w:eastAsia="zh-CN"/>
        </w:rPr>
        <w:t>二）</w:t>
      </w:r>
      <w:r>
        <w:rPr>
          <w:rFonts w:hint="eastAsia" w:ascii="仿宋" w:hAnsi="仿宋" w:eastAsia="仿宋" w:cs="仿宋"/>
          <w:color w:val="auto"/>
          <w:sz w:val="32"/>
          <w:szCs w:val="32"/>
          <w:lang w:val="en-US" w:eastAsia="zh-CN"/>
        </w:rPr>
        <w:t>严格落实运营期污染防治措施</w:t>
      </w:r>
    </w:p>
    <w:p w14:paraId="33C7DC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color w:val="auto"/>
          <w:kern w:val="0"/>
          <w:sz w:val="32"/>
          <w:szCs w:val="32"/>
          <w:lang w:val="en-US" w:eastAsia="zh-CN" w:bidi="ar-SA"/>
        </w:rPr>
        <w:t>1、大气污染防治措施。</w:t>
      </w:r>
      <w:r>
        <w:rPr>
          <w:rFonts w:hint="default" w:ascii="仿宋" w:hAnsi="仿宋" w:eastAsia="仿宋" w:cs="仿宋"/>
          <w:color w:val="auto"/>
          <w:kern w:val="0"/>
          <w:sz w:val="32"/>
          <w:szCs w:val="32"/>
          <w:lang w:val="en-US" w:eastAsia="zh-CN" w:bidi="ar-SA"/>
        </w:rPr>
        <w:t>牛舍定时喷洒除臭剂，保持舍内通风，采用干清粪的方式，牛粪及时清理，合理设计日粮</w:t>
      </w:r>
      <w:r>
        <w:rPr>
          <w:rFonts w:hint="eastAsia" w:ascii="仿宋" w:hAnsi="仿宋" w:eastAsia="仿宋" w:cs="仿宋"/>
          <w:color w:val="auto"/>
          <w:kern w:val="0"/>
          <w:sz w:val="32"/>
          <w:szCs w:val="32"/>
          <w:lang w:val="en-US" w:eastAsia="zh-CN" w:bidi="ar-SA"/>
        </w:rPr>
        <w:t>；</w:t>
      </w:r>
      <w:r>
        <w:rPr>
          <w:rStyle w:val="18"/>
          <w:rFonts w:hint="eastAsia" w:ascii="仿宋" w:hAnsi="仿宋" w:eastAsia="仿宋" w:cs="Times New Roman"/>
          <w:sz w:val="32"/>
          <w:szCs w:val="32"/>
          <w:lang w:val="en-US" w:eastAsia="zh-CN"/>
        </w:rPr>
        <w:t>有机肥贮存棚全封闭，定时喷洒生物除臭剂，有机肥及时外售。粪污生物</w:t>
      </w:r>
      <w:r>
        <w:rPr>
          <w:rStyle w:val="18"/>
          <w:rFonts w:hint="eastAsia" w:ascii="仿宋" w:hAnsi="仿宋" w:eastAsia="仿宋" w:cs="Times New Roman"/>
          <w:sz w:val="32"/>
          <w:szCs w:val="32"/>
          <w:highlight w:val="none"/>
          <w:lang w:val="en-US" w:eastAsia="zh-CN"/>
        </w:rPr>
        <w:t>处理</w:t>
      </w:r>
      <w:r>
        <w:rPr>
          <w:rStyle w:val="18"/>
          <w:rFonts w:hint="eastAsia" w:ascii="仿宋" w:hAnsi="仿宋" w:eastAsia="仿宋" w:cs="Times New Roman"/>
          <w:sz w:val="32"/>
          <w:szCs w:val="32"/>
          <w:lang w:val="en-US" w:eastAsia="zh-CN"/>
        </w:rPr>
        <w:t>车间废气经收集处理后由</w:t>
      </w:r>
      <w:r>
        <w:rPr>
          <w:rFonts w:hint="eastAsia" w:ascii="仿宋" w:hAnsi="仿宋" w:eastAsia="仿宋" w:cs="仿宋"/>
          <w:strike w:val="0"/>
          <w:dstrike w:val="0"/>
          <w:color w:val="auto"/>
          <w:kern w:val="0"/>
          <w:sz w:val="32"/>
          <w:szCs w:val="32"/>
          <w:lang w:val="en-US" w:eastAsia="zh-CN" w:bidi="ar-SA"/>
        </w:rPr>
        <w:t>1根</w:t>
      </w:r>
      <w:r>
        <w:rPr>
          <w:rStyle w:val="18"/>
          <w:rFonts w:hint="eastAsia" w:ascii="仿宋" w:hAnsi="仿宋" w:eastAsia="仿宋"/>
          <w:color w:val="auto"/>
          <w:sz w:val="32"/>
          <w:szCs w:val="32"/>
          <w:lang w:val="en-US" w:eastAsia="zh-CN"/>
        </w:rPr>
        <w:t>15米高</w:t>
      </w:r>
      <w:r>
        <w:rPr>
          <w:rStyle w:val="18"/>
          <w:rFonts w:hint="eastAsia" w:ascii="仿宋" w:hAnsi="仿宋" w:eastAsia="仿宋" w:cs="Times New Roman"/>
          <w:sz w:val="32"/>
          <w:szCs w:val="32"/>
          <w:lang w:val="en-US" w:eastAsia="zh-CN"/>
        </w:rPr>
        <w:t>排气筒排放，执行</w:t>
      </w:r>
      <w:r>
        <w:rPr>
          <w:rStyle w:val="18"/>
          <w:rFonts w:hint="default" w:ascii="仿宋" w:hAnsi="仿宋" w:eastAsia="仿宋" w:cs="Times New Roman"/>
          <w:sz w:val="32"/>
          <w:szCs w:val="32"/>
        </w:rPr>
        <w:t>《恶臭污染物排放标准》</w:t>
      </w:r>
      <w:r>
        <w:rPr>
          <w:rStyle w:val="18"/>
          <w:rFonts w:hint="eastAsia" w:ascii="仿宋" w:hAnsi="仿宋" w:eastAsia="仿宋" w:cs="Times New Roman"/>
          <w:sz w:val="32"/>
          <w:szCs w:val="32"/>
          <w:lang w:eastAsia="zh-CN"/>
        </w:rPr>
        <w:t>（</w:t>
      </w:r>
      <w:r>
        <w:rPr>
          <w:rStyle w:val="18"/>
          <w:rFonts w:hint="default" w:ascii="仿宋" w:hAnsi="仿宋" w:eastAsia="仿宋" w:cs="Times New Roman"/>
          <w:sz w:val="32"/>
          <w:szCs w:val="32"/>
        </w:rPr>
        <w:t>GB</w:t>
      </w:r>
      <w:r>
        <w:rPr>
          <w:rStyle w:val="18"/>
          <w:rFonts w:hint="eastAsia" w:ascii="仿宋" w:hAnsi="仿宋" w:eastAsia="仿宋" w:cs="Times New Roman"/>
          <w:sz w:val="32"/>
          <w:szCs w:val="32"/>
          <w:lang w:val="en-US" w:eastAsia="zh-CN"/>
        </w:rPr>
        <w:t xml:space="preserve"> </w:t>
      </w:r>
      <w:r>
        <w:rPr>
          <w:rStyle w:val="18"/>
          <w:rFonts w:hint="default" w:ascii="仿宋" w:hAnsi="仿宋" w:eastAsia="仿宋" w:cs="Times New Roman"/>
          <w:sz w:val="32"/>
          <w:szCs w:val="32"/>
        </w:rPr>
        <w:t>14554-</w:t>
      </w:r>
      <w:r>
        <w:rPr>
          <w:rStyle w:val="18"/>
          <w:rFonts w:hint="eastAsia" w:ascii="仿宋" w:hAnsi="仿宋" w:eastAsia="仿宋" w:cs="Times New Roman"/>
          <w:sz w:val="32"/>
          <w:szCs w:val="32"/>
          <w:lang w:val="en-US" w:eastAsia="zh-CN"/>
        </w:rPr>
        <w:t>19</w:t>
      </w:r>
      <w:r>
        <w:rPr>
          <w:rStyle w:val="18"/>
          <w:rFonts w:hint="default" w:ascii="仿宋" w:hAnsi="仿宋" w:eastAsia="仿宋" w:cs="Times New Roman"/>
          <w:sz w:val="32"/>
          <w:szCs w:val="32"/>
        </w:rPr>
        <w:t>93</w:t>
      </w:r>
      <w:r>
        <w:rPr>
          <w:rStyle w:val="18"/>
          <w:rFonts w:hint="eastAsia" w:ascii="仿宋" w:hAnsi="仿宋" w:eastAsia="仿宋" w:cs="Times New Roman"/>
          <w:sz w:val="32"/>
          <w:szCs w:val="32"/>
          <w:lang w:eastAsia="zh-CN"/>
        </w:rPr>
        <w:t>）</w:t>
      </w:r>
      <w:r>
        <w:rPr>
          <w:rStyle w:val="18"/>
          <w:rFonts w:hint="eastAsia" w:ascii="仿宋" w:hAnsi="仿宋" w:eastAsia="仿宋" w:cs="Times New Roman"/>
          <w:sz w:val="32"/>
          <w:szCs w:val="32"/>
          <w:lang w:val="en-US" w:eastAsia="zh-CN"/>
        </w:rPr>
        <w:t>表2中标准限值。厂界氨</w:t>
      </w:r>
      <w:r>
        <w:rPr>
          <w:rStyle w:val="18"/>
          <w:rFonts w:hint="default" w:ascii="仿宋" w:hAnsi="仿宋" w:eastAsia="仿宋" w:cs="Times New Roman"/>
          <w:sz w:val="32"/>
          <w:szCs w:val="32"/>
        </w:rPr>
        <w:t>、</w:t>
      </w:r>
      <w:r>
        <w:rPr>
          <w:rStyle w:val="18"/>
          <w:rFonts w:hint="eastAsia" w:ascii="仿宋" w:hAnsi="仿宋" w:eastAsia="仿宋" w:cs="Times New Roman"/>
          <w:sz w:val="32"/>
          <w:szCs w:val="32"/>
          <w:lang w:val="en-US" w:eastAsia="zh-CN"/>
        </w:rPr>
        <w:t>硫化氢</w:t>
      </w:r>
      <w:r>
        <w:rPr>
          <w:rStyle w:val="18"/>
          <w:rFonts w:hint="eastAsia" w:ascii="仿宋" w:hAnsi="仿宋" w:eastAsia="仿宋" w:cs="Times New Roman"/>
          <w:sz w:val="32"/>
          <w:szCs w:val="32"/>
          <w:lang w:eastAsia="zh-CN"/>
        </w:rPr>
        <w:t>无组织排放</w:t>
      </w:r>
      <w:r>
        <w:rPr>
          <w:rStyle w:val="18"/>
          <w:rFonts w:hint="default" w:ascii="仿宋" w:hAnsi="仿宋" w:eastAsia="仿宋" w:cs="Times New Roman"/>
          <w:sz w:val="32"/>
          <w:szCs w:val="32"/>
        </w:rPr>
        <w:t>执行《恶臭污染物排放标准》（GB</w:t>
      </w:r>
      <w:r>
        <w:rPr>
          <w:rStyle w:val="18"/>
          <w:rFonts w:hint="eastAsia" w:ascii="仿宋" w:hAnsi="仿宋" w:eastAsia="仿宋" w:cs="Times New Roman"/>
          <w:sz w:val="32"/>
          <w:szCs w:val="32"/>
          <w:lang w:val="en-US" w:eastAsia="zh-CN"/>
        </w:rPr>
        <w:t xml:space="preserve"> </w:t>
      </w:r>
      <w:r>
        <w:rPr>
          <w:rStyle w:val="18"/>
          <w:rFonts w:hint="default" w:ascii="仿宋" w:hAnsi="仿宋" w:eastAsia="仿宋" w:cs="Times New Roman"/>
          <w:sz w:val="32"/>
          <w:szCs w:val="32"/>
        </w:rPr>
        <w:t>1455</w:t>
      </w:r>
      <w:r>
        <w:rPr>
          <w:rStyle w:val="18"/>
          <w:rFonts w:hint="eastAsia" w:ascii="仿宋" w:hAnsi="仿宋" w:eastAsia="仿宋" w:cs="Times New Roman"/>
          <w:sz w:val="32"/>
          <w:szCs w:val="32"/>
          <w:lang w:val="en-US" w:eastAsia="zh-CN"/>
        </w:rPr>
        <w:t>4</w:t>
      </w:r>
      <w:r>
        <w:rPr>
          <w:rStyle w:val="18"/>
          <w:rFonts w:hint="default" w:ascii="仿宋" w:hAnsi="仿宋" w:eastAsia="仿宋" w:cs="Times New Roman"/>
          <w:sz w:val="32"/>
          <w:szCs w:val="32"/>
        </w:rPr>
        <w:t>-</w:t>
      </w:r>
      <w:r>
        <w:rPr>
          <w:rStyle w:val="18"/>
          <w:rFonts w:hint="eastAsia" w:ascii="仿宋" w:hAnsi="仿宋" w:eastAsia="仿宋" w:cs="Times New Roman"/>
          <w:sz w:val="32"/>
          <w:szCs w:val="32"/>
          <w:lang w:val="en-US" w:eastAsia="zh-CN"/>
        </w:rPr>
        <w:t>19</w:t>
      </w:r>
      <w:r>
        <w:rPr>
          <w:rStyle w:val="18"/>
          <w:rFonts w:hint="default" w:ascii="仿宋" w:hAnsi="仿宋" w:eastAsia="仿宋" w:cs="Times New Roman"/>
          <w:sz w:val="32"/>
          <w:szCs w:val="32"/>
        </w:rPr>
        <w:t>93）</w:t>
      </w:r>
      <w:r>
        <w:rPr>
          <w:rStyle w:val="18"/>
          <w:rFonts w:hint="eastAsia" w:ascii="仿宋" w:hAnsi="仿宋" w:eastAsia="仿宋"/>
          <w:color w:val="auto"/>
          <w:sz w:val="32"/>
          <w:szCs w:val="32"/>
        </w:rPr>
        <w:t>表1</w:t>
      </w:r>
      <w:r>
        <w:rPr>
          <w:rStyle w:val="18"/>
          <w:rFonts w:hint="eastAsia" w:ascii="仿宋" w:hAnsi="仿宋" w:eastAsia="仿宋"/>
          <w:color w:val="auto"/>
          <w:sz w:val="32"/>
          <w:szCs w:val="32"/>
          <w:lang w:val="en-US" w:eastAsia="zh-CN"/>
        </w:rPr>
        <w:t>中</w:t>
      </w:r>
      <w:r>
        <w:rPr>
          <w:rFonts w:hint="eastAsia" w:ascii="仿宋" w:hAnsi="仿宋" w:eastAsia="仿宋" w:cs="仿宋"/>
          <w:strike w:val="0"/>
          <w:dstrike w:val="0"/>
          <w:color w:val="auto"/>
          <w:kern w:val="0"/>
          <w:sz w:val="32"/>
          <w:szCs w:val="32"/>
          <w:lang w:val="en-US" w:eastAsia="zh-CN" w:bidi="ar-SA"/>
        </w:rPr>
        <w:t>恶臭污染物厂界</w:t>
      </w:r>
      <w:r>
        <w:rPr>
          <w:rStyle w:val="18"/>
          <w:rFonts w:hint="eastAsia" w:ascii="仿宋" w:hAnsi="仿宋" w:eastAsia="仿宋" w:cs="Times New Roman"/>
          <w:color w:val="auto"/>
          <w:sz w:val="32"/>
          <w:szCs w:val="32"/>
          <w:lang w:val="en-US" w:eastAsia="zh-CN"/>
        </w:rPr>
        <w:t>二级</w:t>
      </w:r>
      <w:r>
        <w:rPr>
          <w:rStyle w:val="18"/>
          <w:rFonts w:hint="eastAsia" w:ascii="仿宋" w:hAnsi="仿宋" w:eastAsia="仿宋" w:cs="Times New Roman"/>
          <w:color w:val="auto"/>
          <w:sz w:val="32"/>
          <w:szCs w:val="32"/>
        </w:rPr>
        <w:t>新</w:t>
      </w:r>
      <w:r>
        <w:rPr>
          <w:rStyle w:val="18"/>
          <w:rFonts w:hint="eastAsia" w:ascii="仿宋" w:hAnsi="仿宋" w:eastAsia="仿宋" w:cs="Times New Roman"/>
          <w:color w:val="auto"/>
          <w:sz w:val="32"/>
          <w:szCs w:val="32"/>
          <w:lang w:eastAsia="zh-CN"/>
        </w:rPr>
        <w:t>扩改建</w:t>
      </w:r>
      <w:r>
        <w:rPr>
          <w:rStyle w:val="18"/>
          <w:rFonts w:hint="eastAsia" w:ascii="仿宋" w:hAnsi="仿宋" w:eastAsia="仿宋" w:cs="Times New Roman"/>
          <w:color w:val="auto"/>
          <w:sz w:val="32"/>
          <w:szCs w:val="32"/>
        </w:rPr>
        <w:t>标准限值</w:t>
      </w:r>
      <w:r>
        <w:rPr>
          <w:rStyle w:val="18"/>
          <w:rFonts w:hint="eastAsia" w:ascii="仿宋" w:hAnsi="仿宋" w:eastAsia="仿宋" w:cs="Times New Roman"/>
          <w:sz w:val="32"/>
          <w:szCs w:val="32"/>
          <w:lang w:eastAsia="zh-CN"/>
        </w:rPr>
        <w:t>；臭气浓度执行《畜禽养殖业污染物排放标准》（GB</w:t>
      </w:r>
      <w:r>
        <w:rPr>
          <w:rStyle w:val="18"/>
          <w:rFonts w:hint="eastAsia" w:ascii="仿宋" w:hAnsi="仿宋" w:eastAsia="仿宋" w:cs="Times New Roman"/>
          <w:sz w:val="32"/>
          <w:szCs w:val="32"/>
          <w:lang w:val="en-US" w:eastAsia="zh-CN"/>
        </w:rPr>
        <w:t xml:space="preserve"> </w:t>
      </w:r>
      <w:r>
        <w:rPr>
          <w:rStyle w:val="18"/>
          <w:rFonts w:hint="eastAsia" w:ascii="仿宋" w:hAnsi="仿宋" w:eastAsia="仿宋" w:cs="Times New Roman"/>
          <w:sz w:val="32"/>
          <w:szCs w:val="32"/>
          <w:lang w:eastAsia="zh-CN"/>
        </w:rPr>
        <w:t>18596-2001）</w:t>
      </w:r>
      <w:r>
        <w:rPr>
          <w:rStyle w:val="18"/>
          <w:rFonts w:hint="eastAsia" w:ascii="仿宋" w:hAnsi="仿宋" w:eastAsia="仿宋" w:cs="Times New Roman"/>
          <w:sz w:val="32"/>
          <w:szCs w:val="32"/>
          <w:lang w:val="en-US" w:eastAsia="zh-CN"/>
        </w:rPr>
        <w:t>表7排放标准限值。</w:t>
      </w:r>
      <w:r>
        <w:rPr>
          <w:rFonts w:hint="eastAsia" w:ascii="仿宋" w:hAnsi="仿宋" w:eastAsia="仿宋" w:cs="仿宋"/>
          <w:color w:val="auto"/>
          <w:kern w:val="0"/>
          <w:sz w:val="32"/>
          <w:szCs w:val="32"/>
          <w:lang w:val="en-US" w:eastAsia="zh-CN" w:bidi="ar-SA"/>
        </w:rPr>
        <w:t>饲料搅拌车间全封闭，饲料搅拌粉尘经搅拌机自带除尘设备处理后排放，</w:t>
      </w:r>
      <w:r>
        <w:rPr>
          <w:rStyle w:val="18"/>
          <w:rFonts w:hint="eastAsia" w:ascii="仿宋" w:hAnsi="仿宋" w:eastAsia="仿宋" w:cs="Times New Roman"/>
          <w:sz w:val="32"/>
          <w:szCs w:val="32"/>
          <w:lang w:val="en-US" w:eastAsia="zh-CN"/>
        </w:rPr>
        <w:t>厂界颗粒物无组织排放执行《大气污染物综合排放标准》（G</w:t>
      </w:r>
      <w:r>
        <w:rPr>
          <w:rStyle w:val="18"/>
          <w:rFonts w:hint="eastAsia" w:ascii="仿宋" w:hAnsi="仿宋" w:eastAsia="仿宋" w:cs="Times New Roman"/>
          <w:sz w:val="32"/>
          <w:szCs w:val="32"/>
        </w:rPr>
        <w:t>B</w:t>
      </w:r>
      <w:r>
        <w:rPr>
          <w:rStyle w:val="18"/>
          <w:rFonts w:hint="eastAsia" w:ascii="仿宋" w:hAnsi="仿宋" w:eastAsia="仿宋" w:cs="Times New Roman"/>
          <w:sz w:val="32"/>
          <w:szCs w:val="32"/>
          <w:lang w:val="en-US" w:eastAsia="zh-CN"/>
        </w:rPr>
        <w:t xml:space="preserve"> </w:t>
      </w:r>
      <w:r>
        <w:rPr>
          <w:rStyle w:val="18"/>
          <w:rFonts w:hint="eastAsia" w:ascii="仿宋" w:hAnsi="仿宋" w:eastAsia="仿宋" w:cs="Times New Roman"/>
          <w:sz w:val="32"/>
          <w:szCs w:val="32"/>
        </w:rPr>
        <w:t>16297-1996）表2中无组织排放监控浓度限值</w:t>
      </w:r>
      <w:r>
        <w:rPr>
          <w:rStyle w:val="18"/>
          <w:rFonts w:hint="eastAsia" w:ascii="仿宋" w:hAnsi="仿宋" w:eastAsia="仿宋" w:cs="Times New Roman"/>
          <w:sz w:val="32"/>
          <w:szCs w:val="32"/>
          <w:lang w:eastAsia="zh-CN"/>
        </w:rPr>
        <w:t>。</w:t>
      </w:r>
    </w:p>
    <w:p w14:paraId="61734961">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firstLine="640" w:firstLineChars="200"/>
        <w:textAlignment w:val="auto"/>
        <w:outlineLvl w:val="9"/>
        <w:rPr>
          <w:rStyle w:val="18"/>
          <w:rFonts w:hint="eastAsia" w:ascii="仿宋" w:hAnsi="仿宋" w:eastAsia="仿宋" w:cs="Times New Roman"/>
          <w:color w:val="auto"/>
          <w:sz w:val="32"/>
          <w:szCs w:val="32"/>
          <w:lang w:val="en-US" w:eastAsia="zh-CN"/>
        </w:rPr>
      </w:pPr>
      <w:r>
        <w:rPr>
          <w:rStyle w:val="18"/>
          <w:rFonts w:hint="eastAsia" w:ascii="仿宋" w:hAnsi="仿宋" w:eastAsia="仿宋" w:cs="Times New Roman"/>
          <w:color w:val="auto"/>
          <w:sz w:val="32"/>
          <w:szCs w:val="32"/>
          <w:lang w:val="en-US" w:eastAsia="zh-CN"/>
        </w:rPr>
        <w:t>2、水污染防治措施。</w:t>
      </w:r>
      <w:r>
        <w:rPr>
          <w:rFonts w:hint="default" w:ascii="仿宋" w:hAnsi="仿宋" w:eastAsia="仿宋" w:cs="仿宋"/>
          <w:color w:val="auto"/>
          <w:kern w:val="0"/>
          <w:sz w:val="32"/>
          <w:szCs w:val="32"/>
          <w:lang w:val="en-US" w:eastAsia="zh-CN" w:bidi="ar-SA"/>
        </w:rPr>
        <w:t>按照“雨污分流、清污分流、分质处理、回收利用”原则设计给排水。</w:t>
      </w:r>
      <w:r>
        <w:rPr>
          <w:rFonts w:hint="eastAsia" w:ascii="仿宋" w:hAnsi="仿宋" w:eastAsia="仿宋" w:cs="仿宋"/>
          <w:color w:val="auto"/>
          <w:kern w:val="0"/>
          <w:sz w:val="32"/>
          <w:szCs w:val="32"/>
          <w:lang w:val="en-US" w:eastAsia="zh-CN" w:bidi="ar-SA"/>
        </w:rPr>
        <w:t>牛尿液、堆肥渗滤液和青贮池渗出液经</w:t>
      </w:r>
      <w:r>
        <w:rPr>
          <w:rStyle w:val="18"/>
          <w:rFonts w:hint="default" w:ascii="仿宋" w:hAnsi="仿宋" w:eastAsia="仿宋" w:cs="Times New Roman"/>
          <w:color w:val="auto"/>
          <w:sz w:val="32"/>
          <w:szCs w:val="32"/>
          <w:lang w:val="en-US" w:eastAsia="zh-CN"/>
        </w:rPr>
        <w:t>收集掺入牛粪便中堆肥后还田，不外排</w:t>
      </w:r>
      <w:r>
        <w:rPr>
          <w:rStyle w:val="18"/>
          <w:rFonts w:hint="eastAsia" w:ascii="仿宋" w:hAnsi="仿宋" w:eastAsia="仿宋" w:cs="Times New Roman"/>
          <w:color w:val="auto"/>
          <w:sz w:val="32"/>
          <w:szCs w:val="32"/>
          <w:lang w:val="en-US" w:eastAsia="zh-CN"/>
        </w:rPr>
        <w:t>；初期雨水收集沉淀后用于场区绿化；运动场雨水收集后拉运至煤矿生活污水处理站处理。</w:t>
      </w:r>
      <w:r>
        <w:rPr>
          <w:rFonts w:hint="default" w:ascii="仿宋" w:hAnsi="仿宋" w:eastAsia="仿宋" w:cs="仿宋"/>
          <w:color w:val="auto"/>
          <w:kern w:val="0"/>
          <w:sz w:val="32"/>
          <w:szCs w:val="32"/>
          <w:lang w:val="en-US" w:eastAsia="zh-CN" w:bidi="ar-SA"/>
        </w:rPr>
        <w:t>生活污水经化粪池</w:t>
      </w:r>
      <w:r>
        <w:rPr>
          <w:rFonts w:hint="eastAsia" w:ascii="仿宋" w:hAnsi="仿宋" w:eastAsia="仿宋" w:cs="仿宋"/>
          <w:color w:val="auto"/>
          <w:kern w:val="0"/>
          <w:sz w:val="32"/>
          <w:szCs w:val="32"/>
          <w:lang w:val="en-US" w:eastAsia="zh-CN" w:bidi="ar-SA"/>
        </w:rPr>
        <w:t>沉淀</w:t>
      </w:r>
      <w:r>
        <w:rPr>
          <w:rFonts w:hint="default" w:ascii="仿宋" w:hAnsi="仿宋" w:eastAsia="仿宋" w:cs="仿宋"/>
          <w:color w:val="auto"/>
          <w:kern w:val="0"/>
          <w:sz w:val="32"/>
          <w:szCs w:val="32"/>
          <w:lang w:val="en-US" w:eastAsia="zh-CN" w:bidi="ar-SA"/>
        </w:rPr>
        <w:t>后，拉运至</w:t>
      </w:r>
      <w:r>
        <w:rPr>
          <w:rStyle w:val="18"/>
          <w:rFonts w:hint="eastAsia" w:ascii="仿宋" w:hAnsi="仿宋" w:eastAsia="仿宋" w:cs="Times New Roman"/>
          <w:color w:val="auto"/>
          <w:sz w:val="32"/>
          <w:szCs w:val="32"/>
          <w:lang w:val="en-US" w:eastAsia="zh-CN"/>
        </w:rPr>
        <w:t>煤矿生活污水处理站处理。</w:t>
      </w:r>
    </w:p>
    <w:p w14:paraId="568EC4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color w:val="auto"/>
          <w:highlight w:val="none"/>
        </w:rPr>
      </w:pPr>
      <w:r>
        <w:rPr>
          <w:rStyle w:val="18"/>
          <w:rFonts w:hint="eastAsia" w:ascii="仿宋" w:hAnsi="仿宋" w:eastAsia="仿宋"/>
          <w:color w:val="auto"/>
          <w:sz w:val="32"/>
          <w:szCs w:val="32"/>
          <w:lang w:val="en-US" w:eastAsia="zh-CN"/>
        </w:rPr>
        <w:t>3、噪声污染防治措施。通过选用低噪声设备，合理布局，基</w:t>
      </w:r>
      <w:r>
        <w:rPr>
          <w:rStyle w:val="18"/>
          <w:rFonts w:hint="eastAsia" w:ascii="仿宋" w:hAnsi="仿宋" w:eastAsia="仿宋"/>
          <w:color w:val="auto"/>
          <w:sz w:val="32"/>
          <w:szCs w:val="32"/>
          <w:highlight w:val="none"/>
          <w:lang w:val="en-US" w:eastAsia="zh-CN"/>
        </w:rPr>
        <w:t>础减振和厂房隔声等措施，确保</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满足</w:t>
      </w:r>
      <w:r>
        <w:rPr>
          <w:rStyle w:val="18"/>
          <w:rFonts w:hint="eastAsia" w:ascii="仿宋" w:hAnsi="仿宋" w:eastAsia="仿宋"/>
          <w:color w:val="auto"/>
          <w:sz w:val="32"/>
          <w:szCs w:val="32"/>
          <w:highlight w:val="none"/>
        </w:rPr>
        <w:t>《工业企业厂界环境噪声排放</w:t>
      </w:r>
      <w:r>
        <w:rPr>
          <w:rStyle w:val="18"/>
          <w:rFonts w:hint="eastAsia" w:ascii="仿宋" w:hAnsi="仿宋" w:eastAsia="仿宋"/>
          <w:color w:val="auto"/>
          <w:sz w:val="32"/>
          <w:szCs w:val="32"/>
          <w:highlight w:val="none"/>
          <w:lang w:val="en-US" w:eastAsia="zh-CN"/>
        </w:rPr>
        <w:t>标</w:t>
      </w:r>
      <w:r>
        <w:rPr>
          <w:rStyle w:val="18"/>
          <w:rFonts w:hint="eastAsia" w:ascii="仿宋" w:hAnsi="仿宋" w:eastAsia="仿宋"/>
          <w:color w:val="auto"/>
          <w:sz w:val="32"/>
          <w:szCs w:val="32"/>
          <w:highlight w:val="none"/>
        </w:rPr>
        <w:t>准》（GB</w:t>
      </w:r>
      <w:r>
        <w:rPr>
          <w:rStyle w:val="18"/>
          <w:rFonts w:hint="eastAsia" w:ascii="仿宋" w:hAnsi="仿宋" w:eastAsia="仿宋"/>
          <w:color w:val="auto"/>
          <w:sz w:val="32"/>
          <w:szCs w:val="32"/>
          <w:highlight w:val="none"/>
          <w:lang w:val="en-US" w:eastAsia="zh-CN"/>
        </w:rPr>
        <w:t xml:space="preserve"> </w:t>
      </w:r>
      <w:r>
        <w:rPr>
          <w:rStyle w:val="18"/>
          <w:rFonts w:hint="eastAsia" w:ascii="仿宋" w:hAnsi="仿宋" w:eastAsia="仿宋"/>
          <w:color w:val="auto"/>
          <w:sz w:val="32"/>
          <w:szCs w:val="32"/>
          <w:highlight w:val="none"/>
        </w:rPr>
        <w:t>12348-2008）中</w:t>
      </w:r>
      <w:r>
        <w:rPr>
          <w:rStyle w:val="18"/>
          <w:rFonts w:hint="eastAsia" w:ascii="仿宋" w:hAnsi="仿宋" w:eastAsia="仿宋"/>
          <w:color w:val="auto"/>
          <w:sz w:val="32"/>
          <w:szCs w:val="32"/>
          <w:highlight w:val="none"/>
          <w:lang w:val="en-US" w:eastAsia="zh-CN"/>
        </w:rPr>
        <w:t>2</w:t>
      </w:r>
      <w:r>
        <w:rPr>
          <w:rStyle w:val="18"/>
          <w:rFonts w:hint="eastAsia" w:ascii="仿宋" w:hAnsi="仿宋" w:eastAsia="仿宋"/>
          <w:color w:val="auto"/>
          <w:sz w:val="32"/>
          <w:szCs w:val="32"/>
          <w:highlight w:val="none"/>
        </w:rPr>
        <w:t>类标准。</w:t>
      </w:r>
    </w:p>
    <w:p w14:paraId="5DF375B4">
      <w:pPr>
        <w:pStyle w:val="7"/>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firstLine="640" w:firstLineChars="200"/>
        <w:textAlignment w:val="auto"/>
        <w:outlineLvl w:val="9"/>
        <w:rPr>
          <w:color w:val="auto"/>
          <w:highlight w:val="none"/>
        </w:rPr>
      </w:pPr>
      <w:r>
        <w:rPr>
          <w:rFonts w:hint="eastAsia" w:ascii="仿宋" w:hAnsi="仿宋" w:eastAsia="仿宋" w:cs="仿宋"/>
          <w:color w:val="auto"/>
          <w:kern w:val="0"/>
          <w:sz w:val="32"/>
          <w:szCs w:val="32"/>
          <w:highlight w:val="none"/>
          <w:lang w:val="en-US" w:eastAsia="zh-CN" w:bidi="ar-SA"/>
        </w:rPr>
        <w:t>4、固废污染防治措施。妥善处置各类固体废弃物。建设单位须严格按照《一般工业固体废物贮存和填埋污染控制标准》（GB 18599-2020）处置一般固废，不得乱弃。牛粪、废垫料运至粪污生物处理车间堆肥后还田；</w:t>
      </w:r>
      <w:r>
        <w:rPr>
          <w:rFonts w:hint="default" w:ascii="仿宋" w:hAnsi="仿宋" w:eastAsia="仿宋" w:cs="仿宋"/>
          <w:color w:val="auto"/>
          <w:kern w:val="0"/>
          <w:sz w:val="32"/>
          <w:szCs w:val="32"/>
          <w:highlight w:val="none"/>
          <w:lang w:val="en-US" w:eastAsia="zh-CN" w:bidi="ar-SA"/>
        </w:rPr>
        <w:t>病死牛尸体</w:t>
      </w:r>
      <w:r>
        <w:rPr>
          <w:rFonts w:hint="eastAsia" w:ascii="仿宋" w:hAnsi="仿宋" w:eastAsia="仿宋" w:cs="仿宋"/>
          <w:color w:val="auto"/>
          <w:kern w:val="0"/>
          <w:sz w:val="32"/>
          <w:szCs w:val="32"/>
          <w:highlight w:val="none"/>
          <w:lang w:val="en-US" w:eastAsia="zh-CN" w:bidi="ar-SA"/>
        </w:rPr>
        <w:t>及胎盘</w:t>
      </w:r>
      <w:r>
        <w:rPr>
          <w:rFonts w:hint="default" w:ascii="仿宋" w:hAnsi="仿宋" w:eastAsia="仿宋" w:cs="仿宋"/>
          <w:color w:val="auto"/>
          <w:kern w:val="0"/>
          <w:sz w:val="32"/>
          <w:szCs w:val="32"/>
          <w:highlight w:val="none"/>
          <w:lang w:val="en-US" w:eastAsia="zh-CN" w:bidi="ar-SA"/>
        </w:rPr>
        <w:t>暂存</w:t>
      </w:r>
      <w:r>
        <w:rPr>
          <w:rFonts w:hint="eastAsia" w:ascii="仿宋" w:hAnsi="仿宋" w:eastAsia="仿宋" w:cs="仿宋"/>
          <w:color w:val="auto"/>
          <w:kern w:val="0"/>
          <w:sz w:val="32"/>
          <w:szCs w:val="32"/>
          <w:highlight w:val="none"/>
          <w:lang w:val="en-US" w:eastAsia="zh-CN" w:bidi="ar-SA"/>
        </w:rPr>
        <w:t>于</w:t>
      </w:r>
      <w:r>
        <w:rPr>
          <w:rFonts w:hint="default" w:ascii="仿宋" w:hAnsi="仿宋" w:eastAsia="仿宋" w:cs="仿宋"/>
          <w:color w:val="auto"/>
          <w:kern w:val="0"/>
          <w:sz w:val="32"/>
          <w:szCs w:val="32"/>
          <w:highlight w:val="none"/>
          <w:lang w:val="en-US" w:eastAsia="zh-CN" w:bidi="ar-SA"/>
        </w:rPr>
        <w:t>医疗废物暂存间冷冻柜，</w:t>
      </w:r>
      <w:r>
        <w:rPr>
          <w:rFonts w:hint="eastAsia" w:ascii="仿宋" w:hAnsi="仿宋" w:eastAsia="仿宋" w:cs="仿宋"/>
          <w:color w:val="auto"/>
          <w:kern w:val="0"/>
          <w:sz w:val="32"/>
          <w:szCs w:val="32"/>
          <w:highlight w:val="none"/>
          <w:lang w:val="en-US" w:eastAsia="zh-CN" w:bidi="ar-SA"/>
        </w:rPr>
        <w:t>及时</w:t>
      </w:r>
      <w:r>
        <w:rPr>
          <w:rFonts w:hint="default" w:ascii="仿宋" w:hAnsi="仿宋" w:eastAsia="仿宋" w:cs="仿宋"/>
          <w:color w:val="auto"/>
          <w:kern w:val="0"/>
          <w:sz w:val="32"/>
          <w:szCs w:val="32"/>
          <w:highlight w:val="none"/>
          <w:lang w:val="en-US" w:eastAsia="zh-CN" w:bidi="ar-SA"/>
        </w:rPr>
        <w:t>委托内蒙古两宜生物科技有限公司无害化处理</w:t>
      </w:r>
      <w:r>
        <w:rPr>
          <w:rFonts w:hint="eastAsia" w:ascii="仿宋" w:hAnsi="仿宋" w:eastAsia="仿宋" w:cs="仿宋"/>
          <w:color w:val="auto"/>
          <w:kern w:val="0"/>
          <w:sz w:val="32"/>
          <w:szCs w:val="32"/>
          <w:highlight w:val="none"/>
          <w:lang w:val="en-US" w:eastAsia="zh-CN" w:bidi="ar-SA"/>
        </w:rPr>
        <w:t>。医疗废物暂存间</w:t>
      </w:r>
      <w:r>
        <w:rPr>
          <w:rFonts w:hint="default" w:ascii="仿宋" w:hAnsi="仿宋" w:eastAsia="仿宋" w:cs="仿宋"/>
          <w:color w:val="auto"/>
          <w:kern w:val="0"/>
          <w:sz w:val="32"/>
          <w:szCs w:val="32"/>
          <w:highlight w:val="none"/>
          <w:lang w:val="en-US" w:eastAsia="zh-CN" w:bidi="ar-SA"/>
        </w:rPr>
        <w:t>须严格按照《危险废物贮存污染控制标准》（GB</w:t>
      </w:r>
      <w:r>
        <w:rPr>
          <w:rFonts w:hint="eastAsia" w:ascii="仿宋" w:hAnsi="仿宋" w:eastAsia="仿宋" w:cs="仿宋"/>
          <w:color w:val="auto"/>
          <w:kern w:val="0"/>
          <w:sz w:val="32"/>
          <w:szCs w:val="32"/>
          <w:highlight w:val="none"/>
          <w:lang w:val="en-US" w:eastAsia="zh-CN" w:bidi="ar-SA"/>
        </w:rPr>
        <w:t xml:space="preserve"> </w:t>
      </w:r>
      <w:r>
        <w:rPr>
          <w:rFonts w:hint="default" w:ascii="仿宋" w:hAnsi="仿宋" w:eastAsia="仿宋" w:cs="仿宋"/>
          <w:color w:val="auto"/>
          <w:kern w:val="0"/>
          <w:sz w:val="32"/>
          <w:szCs w:val="32"/>
          <w:highlight w:val="none"/>
          <w:lang w:val="en-US" w:eastAsia="zh-CN" w:bidi="ar-SA"/>
        </w:rPr>
        <w:t>18597-20</w:t>
      </w:r>
      <w:r>
        <w:rPr>
          <w:rFonts w:hint="eastAsia" w:ascii="仿宋" w:hAnsi="仿宋" w:eastAsia="仿宋" w:cs="仿宋"/>
          <w:color w:val="auto"/>
          <w:kern w:val="0"/>
          <w:sz w:val="32"/>
          <w:szCs w:val="32"/>
          <w:highlight w:val="none"/>
          <w:lang w:val="en-US" w:eastAsia="zh-CN" w:bidi="ar-SA"/>
        </w:rPr>
        <w:t>23</w:t>
      </w:r>
      <w:r>
        <w:rPr>
          <w:rFonts w:hint="default" w:ascii="仿宋" w:hAnsi="仿宋" w:eastAsia="仿宋" w:cs="仿宋"/>
          <w:color w:val="auto"/>
          <w:kern w:val="0"/>
          <w:sz w:val="32"/>
          <w:szCs w:val="32"/>
          <w:highlight w:val="none"/>
          <w:lang w:val="en-US" w:eastAsia="zh-CN" w:bidi="ar-SA"/>
        </w:rPr>
        <w:t>）进行设计、建设和管理</w:t>
      </w:r>
      <w:r>
        <w:rPr>
          <w:rFonts w:hint="eastAsia" w:ascii="仿宋" w:hAnsi="仿宋" w:eastAsia="仿宋" w:cs="仿宋"/>
          <w:color w:val="auto"/>
          <w:kern w:val="0"/>
          <w:sz w:val="32"/>
          <w:szCs w:val="32"/>
          <w:highlight w:val="none"/>
          <w:lang w:val="en-US" w:eastAsia="zh-CN" w:bidi="ar-SA"/>
        </w:rPr>
        <w:t>，医疗废物暂存于医疗废物暂存间，定期委托有资质单位处置</w:t>
      </w:r>
      <w:r>
        <w:rPr>
          <w:rFonts w:hint="default" w:ascii="仿宋" w:hAnsi="仿宋" w:eastAsia="仿宋" w:cs="仿宋"/>
          <w:color w:val="auto"/>
          <w:kern w:val="0"/>
          <w:sz w:val="32"/>
          <w:szCs w:val="32"/>
          <w:highlight w:val="none"/>
          <w:lang w:val="en-US" w:eastAsia="zh-CN" w:bidi="ar-SA"/>
        </w:rPr>
        <w:t>。</w:t>
      </w:r>
    </w:p>
    <w:p w14:paraId="5A4A2BB1">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default" w:ascii="仿宋" w:hAnsi="仿宋" w:eastAsia="仿宋" w:cs="仿宋"/>
          <w:strike w:val="0"/>
          <w:dstrike w:val="0"/>
          <w:color w:val="auto"/>
          <w:kern w:val="0"/>
          <w:sz w:val="32"/>
          <w:szCs w:val="32"/>
          <w:highlight w:val="none"/>
          <w:lang w:val="en-US" w:eastAsia="zh-CN" w:bidi="ar-SA"/>
        </w:rPr>
      </w:pPr>
      <w:r>
        <w:rPr>
          <w:rFonts w:hint="eastAsia" w:ascii="仿宋" w:hAnsi="仿宋" w:eastAsia="仿宋" w:cs="仿宋"/>
          <w:strike w:val="0"/>
          <w:dstrike w:val="0"/>
          <w:color w:val="auto"/>
          <w:kern w:val="0"/>
          <w:sz w:val="32"/>
          <w:szCs w:val="32"/>
          <w:highlight w:val="none"/>
          <w:lang w:val="en-US" w:eastAsia="zh-CN" w:bidi="ar-SA"/>
        </w:rPr>
        <w:t>5、切实落实土壤和地下水污染防治措施。严格按照《环境影响评价技术导则地下水》(HJ 610-2016)等要求，对厂区采取分区防渗措施，加强防渗设施的日常维护，确保防渗设施牢固安全。依据《地下水环境监测技术规范》(HJ 164-2020)、《排污单位自行监测技术指南畜禽养殖行业》(HJ 1252-2022)中的要求，建立完善的土壤和地下水监测制度，确保及时发现并处理厂区渗漏情况。</w:t>
      </w:r>
    </w:p>
    <w:p w14:paraId="2152D1A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highlight w:val="none"/>
        </w:rPr>
      </w:pPr>
      <w:r>
        <w:rPr>
          <w:rFonts w:hint="eastAsia" w:ascii="仿宋" w:hAnsi="仿宋" w:eastAsia="仿宋" w:cs="仿宋"/>
          <w:strike w:val="0"/>
          <w:dstrike w:val="0"/>
          <w:color w:val="auto"/>
          <w:kern w:val="0"/>
          <w:sz w:val="32"/>
          <w:szCs w:val="32"/>
          <w:highlight w:val="none"/>
          <w:lang w:val="en-US" w:eastAsia="zh-CN" w:bidi="ar-SA"/>
        </w:rPr>
        <w:t>6、强化环境风险防范，制定突发环境事件应急预案，落实环境风险事故防范措施，提高事故风险防范和污染控制能力。</w:t>
      </w:r>
    </w:p>
    <w:p w14:paraId="01B59AA9">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highlight w:val="none"/>
          <w:lang w:val="en-US" w:eastAsia="zh-CN" w:bidi="ar-SA"/>
        </w:rPr>
      </w:pPr>
      <w:r>
        <w:rPr>
          <w:rFonts w:hint="eastAsia" w:ascii="仿宋" w:hAnsi="仿宋" w:eastAsia="仿宋" w:cs="仿宋"/>
          <w:strike w:val="0"/>
          <w:dstrike w:val="0"/>
          <w:color w:val="auto"/>
          <w:kern w:val="0"/>
          <w:sz w:val="32"/>
          <w:szCs w:val="32"/>
          <w:highlight w:val="none"/>
          <w:lang w:val="en-US" w:eastAsia="zh-CN" w:bidi="ar-SA"/>
        </w:rPr>
        <w:t>7、按照《排污口规范化整治技术要求》（环监〔1996〕470号）规范设置排污口。</w:t>
      </w:r>
    </w:p>
    <w:p w14:paraId="5E969D6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highlight w:val="none"/>
        </w:rPr>
      </w:pPr>
      <w:r>
        <w:rPr>
          <w:rFonts w:hint="eastAsia" w:ascii="仿宋" w:hAnsi="仿宋" w:eastAsia="仿宋" w:cs="仿宋"/>
          <w:strike w:val="0"/>
          <w:dstrike w:val="0"/>
          <w:color w:val="auto"/>
          <w:kern w:val="0"/>
          <w:sz w:val="32"/>
          <w:szCs w:val="32"/>
          <w:highlight w:val="none"/>
          <w:lang w:val="en-US" w:eastAsia="zh-CN" w:bidi="ar-SA"/>
        </w:rPr>
        <w:t>你单位应委托有相应资质的设计单位对建设项目重点环保设施进行设计，并在项目施工及运行过程中严格落实环保设施安全生产工作要求。</w:t>
      </w:r>
    </w:p>
    <w:p w14:paraId="1028AF4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highlight w:val="none"/>
        </w:rPr>
      </w:pPr>
      <w:r>
        <w:rPr>
          <w:rStyle w:val="18"/>
          <w:rFonts w:hint="eastAsia" w:ascii="仿宋" w:hAnsi="仿宋" w:eastAsia="仿宋"/>
          <w:color w:val="auto"/>
          <w:sz w:val="32"/>
          <w:szCs w:val="32"/>
          <w:highlight w:val="none"/>
        </w:rPr>
        <w:t>你单位在该项目环保申报过程中如有瞒报、假报情形，则是严重的违法行为，须承担因此产生的一切后果。</w:t>
      </w:r>
      <w:r>
        <w:rPr>
          <w:rFonts w:hint="eastAsia" w:ascii="仿宋" w:hAnsi="仿宋" w:eastAsia="仿宋" w:cs="仿宋"/>
          <w:color w:val="auto"/>
          <w:sz w:val="32"/>
          <w:szCs w:val="32"/>
          <w:highlight w:val="none"/>
        </w:rPr>
        <w:t>项目在取得用地、林草等</w:t>
      </w:r>
      <w:r>
        <w:rPr>
          <w:rFonts w:hint="eastAsia" w:ascii="仿宋" w:hAnsi="仿宋" w:eastAsia="仿宋" w:cs="仿宋"/>
          <w:color w:val="auto"/>
          <w:sz w:val="32"/>
          <w:szCs w:val="32"/>
          <w:highlight w:val="none"/>
          <w:lang w:val="en-US" w:eastAsia="zh-CN"/>
        </w:rPr>
        <w:t>手续</w:t>
      </w:r>
      <w:r>
        <w:rPr>
          <w:rFonts w:hint="eastAsia" w:ascii="仿宋" w:hAnsi="仿宋" w:eastAsia="仿宋" w:cs="仿宋"/>
          <w:color w:val="auto"/>
          <w:sz w:val="32"/>
          <w:szCs w:val="32"/>
          <w:highlight w:val="none"/>
        </w:rPr>
        <w:t>后方可开工建设</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2"/>
          <w:sz w:val="32"/>
          <w:szCs w:val="32"/>
          <w:highlight w:val="none"/>
          <w:lang w:val="en-US" w:eastAsia="zh-CN" w:bidi="ar-SA"/>
        </w:rPr>
        <w:t>在实施过程中发现文物古迹应立即停止施工并报告有关部门进行妥善处理。</w:t>
      </w:r>
      <w:r>
        <w:rPr>
          <w:rStyle w:val="18"/>
          <w:rFonts w:hint="eastAsia" w:ascii="仿宋" w:hAnsi="仿宋" w:eastAsia="仿宋"/>
          <w:color w:val="auto"/>
          <w:sz w:val="32"/>
          <w:szCs w:val="32"/>
          <w:highlight w:val="none"/>
        </w:rPr>
        <w:t>项目建设必须严格执行环境保护“三同时”制度。项目竣工后，须按照规定程序实施竣工环境保护验收。</w:t>
      </w:r>
    </w:p>
    <w:p w14:paraId="28BCEF18">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highlight w:val="none"/>
        </w:rPr>
        <w:t>你单位应在收到本批复20日内，将《</w:t>
      </w:r>
      <w:r>
        <w:rPr>
          <w:rStyle w:val="18"/>
          <w:rFonts w:hint="eastAsia" w:ascii="仿宋" w:hAnsi="仿宋" w:eastAsia="仿宋" w:cs="Times New Roman"/>
          <w:color w:val="auto"/>
          <w:sz w:val="32"/>
          <w:szCs w:val="32"/>
          <w:highlight w:val="none"/>
          <w:lang w:eastAsia="zh-CN"/>
        </w:rPr>
        <w:t>报告书</w:t>
      </w:r>
      <w:r>
        <w:rPr>
          <w:rStyle w:val="18"/>
          <w:rFonts w:hint="eastAsia" w:ascii="仿宋" w:hAnsi="仿宋" w:eastAsia="仿宋" w:cs="Times New Roman"/>
          <w:color w:val="auto"/>
          <w:sz w:val="32"/>
          <w:szCs w:val="32"/>
          <w:highlight w:val="none"/>
        </w:rPr>
        <w:t>》（报批版）及批复文件送至鄂尔多斯市生态环境综合行政执法支队东胜区大队，由鄂尔多斯市生态环境综合行政执法支队东胜区大队负责该项目的事中事后监管</w:t>
      </w:r>
      <w:r>
        <w:rPr>
          <w:rStyle w:val="18"/>
          <w:rFonts w:hint="eastAsia" w:ascii="仿宋" w:hAnsi="仿宋" w:eastAsia="仿宋" w:cs="Times New Roman"/>
          <w:color w:val="auto"/>
          <w:sz w:val="32"/>
          <w:szCs w:val="32"/>
          <w:highlight w:val="none"/>
          <w:lang w:eastAsia="zh-CN"/>
        </w:rPr>
        <w:t>。</w:t>
      </w:r>
      <w:r>
        <w:rPr>
          <w:rStyle w:val="18"/>
          <w:rFonts w:hint="eastAsia" w:ascii="仿宋" w:hAnsi="仿宋" w:eastAsia="仿宋"/>
          <w:color w:val="auto"/>
          <w:sz w:val="32"/>
          <w:szCs w:val="32"/>
          <w:highlight w:val="none"/>
        </w:rPr>
        <w:t>该项目从批准之日起超过</w:t>
      </w:r>
      <w:r>
        <w:rPr>
          <w:rStyle w:val="18"/>
          <w:rFonts w:ascii="仿宋" w:hAnsi="仿宋" w:eastAsia="仿宋"/>
          <w:color w:val="auto"/>
          <w:sz w:val="32"/>
          <w:szCs w:val="32"/>
          <w:highlight w:val="none"/>
        </w:rPr>
        <w:t>5</w:t>
      </w:r>
      <w:r>
        <w:rPr>
          <w:rStyle w:val="18"/>
          <w:rFonts w:hint="eastAsia" w:ascii="仿宋" w:hAnsi="仿宋" w:eastAsia="仿宋"/>
          <w:color w:val="auto"/>
          <w:sz w:val="32"/>
          <w:szCs w:val="32"/>
          <w:highlight w:val="none"/>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highlight w:val="none"/>
        </w:rPr>
        <w:t xml:space="preserve">  </w:t>
      </w:r>
      <w:r>
        <w:rPr>
          <w:rStyle w:val="18"/>
          <w:rFonts w:ascii="仿宋" w:hAnsi="仿宋" w:eastAsia="仿宋"/>
          <w:color w:val="auto"/>
          <w:sz w:val="32"/>
          <w:szCs w:val="32"/>
        </w:rPr>
        <w:t xml:space="preserve">                                     </w:t>
      </w:r>
    </w:p>
    <w:p w14:paraId="1958BBD2">
      <w:pPr>
        <w:pStyle w:val="2"/>
        <w:jc w:val="left"/>
        <w:rPr>
          <w:rFonts w:hint="eastAsia"/>
          <w:color w:val="auto"/>
          <w:lang w:val="en-US" w:eastAsia="zh-CN"/>
        </w:rPr>
      </w:pPr>
      <w:r>
        <w:rPr>
          <w:rFonts w:hint="eastAsia"/>
          <w:color w:val="auto"/>
          <w:lang w:val="en-US" w:eastAsia="zh-CN"/>
        </w:rPr>
        <w:t xml:space="preserve">   </w:t>
      </w:r>
    </w:p>
    <w:p w14:paraId="2BC4CDB0">
      <w:pPr>
        <w:pStyle w:val="8"/>
        <w:rPr>
          <w:rFonts w:hint="default"/>
          <w:lang w:val="en-US" w:eastAsia="zh-CN"/>
        </w:rPr>
      </w:pPr>
    </w:p>
    <w:p w14:paraId="3F276D2A">
      <w:pPr>
        <w:spacing w:line="360" w:lineRule="auto"/>
        <w:ind w:firstLine="3840" w:firstLineChars="1200"/>
        <w:textAlignment w:val="auto"/>
        <w:rPr>
          <w:rStyle w:val="18"/>
          <w:rFonts w:hint="eastAsia" w:ascii="仿宋" w:hAnsi="仿宋" w:eastAsia="仿宋"/>
          <w:color w:val="auto"/>
          <w:sz w:val="32"/>
          <w:szCs w:val="32"/>
        </w:rPr>
      </w:pPr>
    </w:p>
    <w:p w14:paraId="31CB32ED">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14:paraId="21686C67">
      <w:pPr>
        <w:pStyle w:val="2"/>
        <w:rPr>
          <w:rFonts w:hint="default"/>
          <w:lang w:val="en-US" w:eastAsia="zh-CN"/>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1</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16</w:t>
      </w:r>
      <w:r>
        <w:rPr>
          <w:rStyle w:val="18"/>
          <w:rFonts w:hint="eastAsia" w:ascii="仿宋" w:hAnsi="仿宋" w:eastAsia="仿宋"/>
          <w:color w:val="auto"/>
          <w:sz w:val="32"/>
          <w:szCs w:val="32"/>
        </w:rPr>
        <w:t>日</w:t>
      </w:r>
    </w:p>
    <w:p w14:paraId="7B792BEE">
      <w:pPr>
        <w:rPr>
          <w:rFonts w:hint="default"/>
          <w:lang w:val="en-US" w:eastAsia="zh-CN"/>
        </w:rPr>
      </w:pPr>
    </w:p>
    <w:p w14:paraId="3D2EF470">
      <w:pPr>
        <w:rPr>
          <w:rFonts w:hint="default"/>
          <w:lang w:val="en-US" w:eastAsia="zh-CN"/>
        </w:rPr>
      </w:pPr>
    </w:p>
    <w:p w14:paraId="5DB75F00">
      <w:pPr>
        <w:rPr>
          <w:rFonts w:hint="default"/>
          <w:lang w:val="en-US" w:eastAsia="zh-CN"/>
        </w:rPr>
      </w:pPr>
    </w:p>
    <w:p w14:paraId="356C0826">
      <w:pPr>
        <w:rPr>
          <w:rFonts w:hint="default"/>
          <w:lang w:val="en-US" w:eastAsia="zh-CN"/>
        </w:rPr>
      </w:pPr>
    </w:p>
    <w:p w14:paraId="59CCBB1C">
      <w:pPr>
        <w:widowControl w:val="0"/>
        <w:numPr>
          <w:ilvl w:val="-1"/>
          <w:numId w:val="0"/>
        </w:numPr>
        <w:spacing w:line="360" w:lineRule="auto"/>
        <w:ind w:firstLine="0" w:firstLineChars="0"/>
        <w:textAlignment w:val="auto"/>
        <w:rPr>
          <w:rStyle w:val="18"/>
          <w:rFonts w:hint="eastAsia" w:ascii="仿宋" w:hAnsi="仿宋" w:eastAsia="仿宋"/>
          <w:color w:val="auto"/>
          <w:sz w:val="32"/>
          <w:szCs w:val="32"/>
          <w:lang w:eastAsia="zh-CN"/>
        </w:rPr>
      </w:pPr>
      <w:r>
        <w:rPr>
          <w:rStyle w:val="18"/>
          <w:rFonts w:hint="eastAsia" w:ascii="仿宋" w:hAnsi="仿宋" w:eastAsia="仿宋"/>
          <w:color w:val="auto"/>
          <w:sz w:val="32"/>
          <w:szCs w:val="32"/>
          <w:lang w:eastAsia="zh-CN"/>
        </w:rPr>
        <w:t>（本页</w:t>
      </w:r>
      <w:bookmarkStart w:id="34" w:name="_GoBack"/>
      <w:bookmarkEnd w:id="34"/>
      <w:r>
        <w:rPr>
          <w:rStyle w:val="18"/>
          <w:rFonts w:hint="eastAsia" w:ascii="仿宋" w:hAnsi="仿宋" w:eastAsia="仿宋"/>
          <w:color w:val="auto"/>
          <w:sz w:val="32"/>
          <w:szCs w:val="32"/>
          <w:lang w:eastAsia="zh-CN"/>
        </w:rPr>
        <w:t>无正文）</w:t>
      </w:r>
    </w:p>
    <w:p w14:paraId="1E51625F">
      <w:pPr>
        <w:rPr>
          <w:rFonts w:hint="default"/>
          <w:lang w:val="en-US" w:eastAsia="zh-CN"/>
        </w:rPr>
      </w:pPr>
    </w:p>
    <w:p w14:paraId="36664DD5">
      <w:pPr>
        <w:rPr>
          <w:rFonts w:hint="default"/>
          <w:lang w:val="en-US" w:eastAsia="zh-CN"/>
        </w:rPr>
      </w:pPr>
    </w:p>
    <w:p w14:paraId="73B53F88">
      <w:pPr>
        <w:rPr>
          <w:rFonts w:hint="default"/>
          <w:lang w:val="en-US" w:eastAsia="zh-CN"/>
        </w:rPr>
      </w:pPr>
    </w:p>
    <w:p w14:paraId="21E1A0EA">
      <w:pPr>
        <w:rPr>
          <w:rFonts w:hint="default"/>
          <w:lang w:val="en-US" w:eastAsia="zh-CN"/>
        </w:rPr>
      </w:pPr>
    </w:p>
    <w:p w14:paraId="7B34F54E">
      <w:pPr>
        <w:rPr>
          <w:rFonts w:hint="default"/>
          <w:lang w:val="en-US" w:eastAsia="zh-CN"/>
        </w:rPr>
      </w:pPr>
    </w:p>
    <w:p w14:paraId="70ADC91B">
      <w:pPr>
        <w:rPr>
          <w:rFonts w:hint="default"/>
          <w:lang w:val="en-US" w:eastAsia="zh-CN"/>
        </w:rPr>
      </w:pPr>
    </w:p>
    <w:p w14:paraId="24237D3D">
      <w:pPr>
        <w:rPr>
          <w:rFonts w:hint="default"/>
          <w:lang w:val="en-US" w:eastAsia="zh-CN"/>
        </w:rPr>
      </w:pPr>
    </w:p>
    <w:p w14:paraId="2FEF09E9">
      <w:pPr>
        <w:rPr>
          <w:rFonts w:hint="default"/>
          <w:lang w:val="en-US" w:eastAsia="zh-CN"/>
        </w:rPr>
      </w:pPr>
    </w:p>
    <w:p w14:paraId="348EE5CE">
      <w:pPr>
        <w:rPr>
          <w:rFonts w:hint="default"/>
          <w:lang w:val="en-US" w:eastAsia="zh-CN"/>
        </w:rPr>
      </w:pPr>
    </w:p>
    <w:p w14:paraId="274BA5A1">
      <w:pPr>
        <w:rPr>
          <w:rFonts w:hint="default"/>
          <w:lang w:val="en-US" w:eastAsia="zh-CN"/>
        </w:rPr>
      </w:pPr>
    </w:p>
    <w:p w14:paraId="68811C0E">
      <w:pPr>
        <w:rPr>
          <w:rFonts w:hint="default"/>
          <w:lang w:val="en-US" w:eastAsia="zh-CN"/>
        </w:rPr>
      </w:pPr>
    </w:p>
    <w:p w14:paraId="42C857E3">
      <w:pPr>
        <w:rPr>
          <w:rFonts w:hint="default"/>
          <w:lang w:val="en-US" w:eastAsia="zh-CN"/>
        </w:rPr>
      </w:pPr>
    </w:p>
    <w:p w14:paraId="542246D7">
      <w:pPr>
        <w:rPr>
          <w:rFonts w:hint="default"/>
          <w:lang w:val="en-US" w:eastAsia="zh-CN"/>
        </w:rPr>
      </w:pPr>
    </w:p>
    <w:p w14:paraId="5203E51A">
      <w:pPr>
        <w:rPr>
          <w:rFonts w:hint="default"/>
          <w:lang w:val="en-US" w:eastAsia="zh-CN"/>
        </w:rPr>
      </w:pPr>
    </w:p>
    <w:p w14:paraId="3F6800B1">
      <w:pPr>
        <w:rPr>
          <w:rFonts w:hint="default"/>
          <w:lang w:val="en-US" w:eastAsia="zh-CN"/>
        </w:rPr>
      </w:pPr>
    </w:p>
    <w:p w14:paraId="11EF2E77">
      <w:pPr>
        <w:rPr>
          <w:rFonts w:hint="default"/>
          <w:lang w:val="en-US" w:eastAsia="zh-CN"/>
        </w:rPr>
      </w:pPr>
    </w:p>
    <w:p w14:paraId="3FA3846B">
      <w:pPr>
        <w:rPr>
          <w:rFonts w:hint="default"/>
          <w:lang w:val="en-US" w:eastAsia="zh-CN"/>
        </w:rPr>
      </w:pPr>
    </w:p>
    <w:p w14:paraId="7BDB3694">
      <w:pPr>
        <w:rPr>
          <w:rFonts w:hint="default"/>
          <w:lang w:val="en-US" w:eastAsia="zh-CN"/>
        </w:rPr>
      </w:pPr>
    </w:p>
    <w:p w14:paraId="0A34281B">
      <w:pPr>
        <w:rPr>
          <w:rFonts w:hint="default"/>
          <w:lang w:val="en-US" w:eastAsia="zh-CN"/>
        </w:rPr>
      </w:pPr>
    </w:p>
    <w:p w14:paraId="677E5B2E">
      <w:pPr>
        <w:rPr>
          <w:rFonts w:hint="default"/>
          <w:lang w:val="en-US" w:eastAsia="zh-CN"/>
        </w:rPr>
      </w:pPr>
    </w:p>
    <w:p w14:paraId="4915642B">
      <w:pPr>
        <w:rPr>
          <w:rFonts w:hint="default"/>
          <w:lang w:val="en-US" w:eastAsia="zh-CN"/>
        </w:rPr>
      </w:pPr>
    </w:p>
    <w:p w14:paraId="7017373C">
      <w:pPr>
        <w:rPr>
          <w:rFonts w:hint="default"/>
          <w:lang w:val="en-US" w:eastAsia="zh-CN"/>
        </w:rPr>
      </w:pPr>
    </w:p>
    <w:p w14:paraId="32AFDCAF">
      <w:pPr>
        <w:rPr>
          <w:rFonts w:hint="default"/>
          <w:lang w:val="en-US" w:eastAsia="zh-CN"/>
        </w:rPr>
      </w:pPr>
    </w:p>
    <w:p w14:paraId="53887B1A">
      <w:pPr>
        <w:rPr>
          <w:rFonts w:hint="default"/>
          <w:lang w:val="en-US" w:eastAsia="zh-CN"/>
        </w:rPr>
      </w:pPr>
    </w:p>
    <w:p w14:paraId="1149BD32">
      <w:pPr>
        <w:rPr>
          <w:rFonts w:hint="default"/>
          <w:lang w:val="en-US" w:eastAsia="zh-CN"/>
        </w:rPr>
      </w:pPr>
    </w:p>
    <w:p w14:paraId="3F883D5B">
      <w:pPr>
        <w:rPr>
          <w:rFonts w:hint="default"/>
          <w:lang w:val="en-US" w:eastAsia="zh-CN"/>
        </w:rPr>
      </w:pPr>
    </w:p>
    <w:p w14:paraId="60DD144D">
      <w:pPr>
        <w:rPr>
          <w:rFonts w:hint="default"/>
          <w:lang w:val="en-US" w:eastAsia="zh-CN"/>
        </w:rPr>
      </w:pPr>
    </w:p>
    <w:p w14:paraId="0AF52196">
      <w:pPr>
        <w:rPr>
          <w:rFonts w:hint="default"/>
          <w:lang w:val="en-US" w:eastAsia="zh-CN"/>
        </w:rPr>
      </w:pPr>
    </w:p>
    <w:p w14:paraId="7083C84F">
      <w:pPr>
        <w:rPr>
          <w:rFonts w:hint="default"/>
          <w:lang w:val="en-US" w:eastAsia="zh-CN"/>
        </w:rPr>
      </w:pPr>
    </w:p>
    <w:p w14:paraId="1F4E01BF">
      <w:pPr>
        <w:rPr>
          <w:rFonts w:hint="default"/>
          <w:lang w:val="en-US" w:eastAsia="zh-CN"/>
        </w:rPr>
      </w:pPr>
    </w:p>
    <w:p w14:paraId="40E468F2">
      <w:pPr>
        <w:rPr>
          <w:rFonts w:hint="default"/>
          <w:lang w:val="en-US" w:eastAsia="zh-CN"/>
        </w:rPr>
      </w:pPr>
    </w:p>
    <w:p w14:paraId="1DA21ECE">
      <w:pPr>
        <w:rPr>
          <w:rFonts w:hint="default"/>
          <w:lang w:val="en-US" w:eastAsia="zh-CN"/>
        </w:rPr>
      </w:pPr>
    </w:p>
    <w:p w14:paraId="12733E81">
      <w:pPr>
        <w:spacing w:line="360" w:lineRule="auto"/>
        <w:ind w:firstLine="3840" w:firstLineChars="1200"/>
        <w:textAlignment w:val="auto"/>
        <w:rPr>
          <w:rStyle w:val="18"/>
          <w:rFonts w:hint="eastAsia" w:ascii="仿宋" w:hAnsi="仿宋" w:eastAsia="仿宋"/>
          <w:color w:val="auto"/>
          <w:sz w:val="32"/>
          <w:szCs w:val="32"/>
        </w:rPr>
      </w:pPr>
    </w:p>
    <w:p w14:paraId="13A16D2F">
      <w:pPr>
        <w:spacing w:line="360" w:lineRule="auto"/>
        <w:ind w:firstLine="640" w:firstLineChars="200"/>
        <w:textAlignment w:val="auto"/>
        <w:rPr>
          <w:color w:val="auto"/>
        </w:rPr>
      </w:pPr>
      <w:r>
        <w:rPr>
          <w:rStyle w:val="18"/>
          <w:rFonts w:ascii="仿宋" w:hAnsi="仿宋" w:eastAsia="仿宋"/>
          <w:color w:val="auto"/>
          <w:sz w:val="32"/>
          <w:szCs w:val="32"/>
        </w:rPr>
        <w:t xml:space="preserve"> </w:t>
      </w:r>
    </w:p>
    <w:p w14:paraId="4B9CAD6A">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202</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1</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16</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CD6E1">
    <w:pPr>
      <w:pStyle w:val="12"/>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C6E77D">
                          <w:pPr>
                            <w:pStyle w:val="12"/>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16C6E77D">
                    <w:pPr>
                      <w:pStyle w:val="12"/>
                    </w:pPr>
                    <w:r>
                      <w:fldChar w:fldCharType="begin"/>
                    </w:r>
                    <w:r>
                      <w:instrText xml:space="preserve"> PAGE  \* MERGEFORMAT </w:instrText>
                    </w:r>
                    <w:r>
                      <w:fldChar w:fldCharType="separate"/>
                    </w:r>
                    <w:r>
                      <w:t>- 3 -</w:t>
                    </w:r>
                    <w:r>
                      <w:fldChar w:fldCharType="end"/>
                    </w:r>
                  </w:p>
                </w:txbxContent>
              </v:textbox>
            </v:shape>
          </w:pict>
        </mc:Fallback>
      </mc:AlternateContent>
    </w:r>
  </w:p>
  <w:p w14:paraId="536FC46D">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13798">
    <w:pPr>
      <w:pStyle w:val="12"/>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0120EB">
                          <w:pPr>
                            <w:pStyle w:val="12"/>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490120EB">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14:paraId="41BD5810">
    <w:pPr>
      <w:pStyle w:val="12"/>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8270">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B0ABC"/>
    <w:rsid w:val="01210341"/>
    <w:rsid w:val="014557C2"/>
    <w:rsid w:val="01AC556B"/>
    <w:rsid w:val="027F4D04"/>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A4100"/>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8C09BF"/>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055224"/>
    <w:rsid w:val="19473B43"/>
    <w:rsid w:val="19AC1F9C"/>
    <w:rsid w:val="19EA6791"/>
    <w:rsid w:val="19F825D9"/>
    <w:rsid w:val="1A437161"/>
    <w:rsid w:val="1A6C6995"/>
    <w:rsid w:val="1A805ECF"/>
    <w:rsid w:val="1AE52B44"/>
    <w:rsid w:val="1AF8344E"/>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95B40"/>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BC0562"/>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2A4220"/>
    <w:rsid w:val="343D6FC0"/>
    <w:rsid w:val="34525876"/>
    <w:rsid w:val="346C54C4"/>
    <w:rsid w:val="348778C5"/>
    <w:rsid w:val="349B6ECC"/>
    <w:rsid w:val="34AB3D37"/>
    <w:rsid w:val="352B46F4"/>
    <w:rsid w:val="35352E7D"/>
    <w:rsid w:val="357339A5"/>
    <w:rsid w:val="3587701E"/>
    <w:rsid w:val="35DE6483"/>
    <w:rsid w:val="361479B3"/>
    <w:rsid w:val="362A341F"/>
    <w:rsid w:val="36CB51E2"/>
    <w:rsid w:val="36D33EE3"/>
    <w:rsid w:val="36D74177"/>
    <w:rsid w:val="37010A46"/>
    <w:rsid w:val="37075CEA"/>
    <w:rsid w:val="371F6C8E"/>
    <w:rsid w:val="372344BA"/>
    <w:rsid w:val="37334EA2"/>
    <w:rsid w:val="375C4DD9"/>
    <w:rsid w:val="375D3876"/>
    <w:rsid w:val="37663248"/>
    <w:rsid w:val="377F4883"/>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3743F"/>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F54D58"/>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4D6810"/>
    <w:rsid w:val="52642B9B"/>
    <w:rsid w:val="5288313B"/>
    <w:rsid w:val="52D27DE3"/>
    <w:rsid w:val="52F201A7"/>
    <w:rsid w:val="52F33045"/>
    <w:rsid w:val="531F408E"/>
    <w:rsid w:val="53406525"/>
    <w:rsid w:val="534B5C0F"/>
    <w:rsid w:val="535B54D0"/>
    <w:rsid w:val="53646721"/>
    <w:rsid w:val="539B439B"/>
    <w:rsid w:val="53E44017"/>
    <w:rsid w:val="5426635A"/>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9FD562C"/>
    <w:rsid w:val="5AAB7FEF"/>
    <w:rsid w:val="5AC272A3"/>
    <w:rsid w:val="5B307B0A"/>
    <w:rsid w:val="5B557E8F"/>
    <w:rsid w:val="5BB1110B"/>
    <w:rsid w:val="5C2B7BE1"/>
    <w:rsid w:val="5C621337"/>
    <w:rsid w:val="5C764EA6"/>
    <w:rsid w:val="5C7F01BD"/>
    <w:rsid w:val="5CAC7619"/>
    <w:rsid w:val="5D6C33D5"/>
    <w:rsid w:val="5DA25547"/>
    <w:rsid w:val="5DC5227C"/>
    <w:rsid w:val="5DD32B36"/>
    <w:rsid w:val="5DEC6C8E"/>
    <w:rsid w:val="5DF951D1"/>
    <w:rsid w:val="5DFA4819"/>
    <w:rsid w:val="5EFB79A1"/>
    <w:rsid w:val="5F2A616C"/>
    <w:rsid w:val="5F3C052E"/>
    <w:rsid w:val="5F473629"/>
    <w:rsid w:val="5F6C71D0"/>
    <w:rsid w:val="5F785148"/>
    <w:rsid w:val="5F8724D9"/>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9D3C8C"/>
    <w:rsid w:val="62A64AED"/>
    <w:rsid w:val="62B965EC"/>
    <w:rsid w:val="62BE2B8C"/>
    <w:rsid w:val="632919C3"/>
    <w:rsid w:val="632D32DF"/>
    <w:rsid w:val="636B778B"/>
    <w:rsid w:val="63713FBD"/>
    <w:rsid w:val="63950102"/>
    <w:rsid w:val="63A177AC"/>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0961B1"/>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E362C3"/>
    <w:rsid w:val="7219039A"/>
    <w:rsid w:val="724B4BCF"/>
    <w:rsid w:val="731775B6"/>
    <w:rsid w:val="7358775B"/>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4">
    <w:name w:val="heading 4"/>
    <w:basedOn w:val="1"/>
    <w:next w:val="5"/>
    <w:unhideWhenUsed/>
    <w:qFormat/>
    <w:locked/>
    <w:uiPriority w:val="0"/>
    <w:pPr>
      <w:keepNext/>
      <w:keepLines/>
      <w:spacing w:before="60" w:after="60"/>
      <w:ind w:left="200" w:leftChars="200" w:firstLine="0" w:firstLineChars="0"/>
      <w:jc w:val="left"/>
      <w:outlineLvl w:val="3"/>
    </w:pPr>
    <w:rPr>
      <w:rFonts w:ascii="Times New Roman" w:hAnsi="Times New Roman" w:cs="宋体"/>
      <w:b/>
      <w:bCs/>
      <w:szCs w:val="28"/>
      <w:lang w:val="zh-CN" w:bidi="zh-CN"/>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customStyle="1" w:styleId="5">
    <w:name w:val="报告书正文"/>
    <w:basedOn w:val="6"/>
    <w:qFormat/>
    <w:uiPriority w:val="0"/>
    <w:pPr>
      <w:spacing w:after="0"/>
      <w:ind w:firstLine="200" w:firstLineChars="200"/>
    </w:pPr>
  </w:style>
  <w:style w:type="paragraph" w:styleId="6">
    <w:name w:val="Body Text First Indent"/>
    <w:basedOn w:val="7"/>
    <w:next w:val="1"/>
    <w:qFormat/>
    <w:uiPriority w:val="0"/>
    <w:pPr>
      <w:spacing w:after="120"/>
      <w:ind w:firstLine="420" w:firstLineChars="100"/>
    </w:pPr>
  </w:style>
  <w:style w:type="paragraph" w:styleId="7">
    <w:name w:val="Body Text"/>
    <w:basedOn w:val="1"/>
    <w:link w:val="23"/>
    <w:qFormat/>
    <w:uiPriority w:val="99"/>
    <w:pPr>
      <w:spacing w:after="120"/>
    </w:pPr>
    <w:rPr>
      <w:rFonts w:ascii="Calibri" w:hAnsi="Calibri"/>
      <w:szCs w:val="22"/>
    </w:rPr>
  </w:style>
  <w:style w:type="paragraph" w:styleId="8">
    <w:name w:val="Normal Indent"/>
    <w:basedOn w:val="1"/>
    <w:next w:val="1"/>
    <w:qFormat/>
    <w:uiPriority w:val="0"/>
    <w:pPr>
      <w:ind w:firstLine="420"/>
    </w:pPr>
  </w:style>
  <w:style w:type="paragraph" w:styleId="9">
    <w:name w:val="annotation text"/>
    <w:basedOn w:val="1"/>
    <w:qFormat/>
    <w:uiPriority w:val="0"/>
    <w:pPr>
      <w:jc w:val="left"/>
    </w:pPr>
  </w:style>
  <w:style w:type="paragraph" w:styleId="10">
    <w:name w:val="Plain Text"/>
    <w:basedOn w:val="1"/>
    <w:qFormat/>
    <w:uiPriority w:val="0"/>
    <w:rPr>
      <w:rFonts w:ascii="宋体" w:hAnsi="Courier New"/>
      <w:szCs w:val="21"/>
    </w:rPr>
  </w:style>
  <w:style w:type="paragraph" w:styleId="11">
    <w:name w:val="Date"/>
    <w:basedOn w:val="1"/>
    <w:next w:val="1"/>
    <w:link w:val="24"/>
    <w:qFormat/>
    <w:uiPriority w:val="99"/>
    <w:pPr>
      <w:ind w:left="100" w:leftChars="2500"/>
    </w:pPr>
  </w:style>
  <w:style w:type="paragraph" w:styleId="12">
    <w:name w:val="footer"/>
    <w:basedOn w:val="1"/>
    <w:link w:val="25"/>
    <w:qFormat/>
    <w:uiPriority w:val="99"/>
    <w:pPr>
      <w:tabs>
        <w:tab w:val="center" w:pos="4153"/>
        <w:tab w:val="right" w:pos="8306"/>
      </w:tabs>
      <w:snapToGrid w:val="0"/>
      <w:jc w:val="left"/>
    </w:pPr>
    <w:rPr>
      <w:sz w:val="18"/>
    </w:rPr>
  </w:style>
  <w:style w:type="paragraph" w:styleId="13">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4">
    <w:name w:val="Body Text 2"/>
    <w:basedOn w:val="1"/>
    <w:next w:val="1"/>
    <w:qFormat/>
    <w:uiPriority w:val="0"/>
    <w:rPr>
      <w:sz w:val="24"/>
      <w:szCs w:val="22"/>
    </w:r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8"/>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3"/>
    <w:next w:val="1"/>
    <w:qFormat/>
    <w:uiPriority w:val="0"/>
    <w:pPr>
      <w:spacing w:afterLines="0"/>
      <w:ind w:left="420" w:firstLine="420" w:firstLineChars="200"/>
    </w:pPr>
    <w:rPr>
      <w:lang w:eastAsia="zh-CN" w:bidi="ar-SA"/>
    </w:rPr>
  </w:style>
  <w:style w:type="paragraph" w:customStyle="1" w:styleId="2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6"/>
    <w:link w:val="7"/>
    <w:semiHidden/>
    <w:qFormat/>
    <w:uiPriority w:val="99"/>
    <w:rPr>
      <w:color w:val="000000"/>
      <w:kern w:val="0"/>
      <w:szCs w:val="20"/>
    </w:rPr>
  </w:style>
  <w:style w:type="character" w:customStyle="1" w:styleId="24">
    <w:name w:val="日期 Char"/>
    <w:basedOn w:val="16"/>
    <w:link w:val="11"/>
    <w:semiHidden/>
    <w:qFormat/>
    <w:uiPriority w:val="99"/>
    <w:rPr>
      <w:color w:val="000000"/>
      <w:kern w:val="0"/>
      <w:szCs w:val="20"/>
    </w:rPr>
  </w:style>
  <w:style w:type="character" w:customStyle="1" w:styleId="25">
    <w:name w:val="页脚 Char"/>
    <w:basedOn w:val="18"/>
    <w:link w:val="12"/>
    <w:qFormat/>
    <w:locked/>
    <w:uiPriority w:val="99"/>
    <w:rPr>
      <w:rFonts w:cs="Times New Roman"/>
      <w:color w:val="000000"/>
      <w:sz w:val="18"/>
    </w:rPr>
  </w:style>
  <w:style w:type="character" w:customStyle="1" w:styleId="26">
    <w:name w:val="页眉 Char"/>
    <w:basedOn w:val="18"/>
    <w:link w:val="13"/>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2186</Words>
  <Characters>2345</Characters>
  <Lines>10</Lines>
  <Paragraphs>3</Paragraphs>
  <TotalTime>9</TotalTime>
  <ScaleCrop>false</ScaleCrop>
  <LinksUpToDate>false</LinksUpToDate>
  <CharactersWithSpaces>2440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2025-01-15T03:50:21Z</cp:lastPrinted>
  <dcterms:modified xsi:type="dcterms:W3CDTF">2025-01-15T03:50:48Z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4F912A3DF6E24B1BBC0D5CB81BAD0542_13</vt:lpwstr>
  </property>
  <property fmtid="{D5CDD505-2E9C-101B-9397-08002B2CF9AE}" pid="4" name="KSOTemplateDocerSaveRecord">
    <vt:lpwstr>eyJoZGlkIjoiZGMyN2E2MTRmYjM2NzM2N2YwMzQyOWU3MDQxMjhiZDciLCJ1c2VySWQiOiIzMzQyNjE5NjcifQ==</vt:lpwstr>
  </property>
</Properties>
</file>