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11"/>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spacing w:line="600" w:lineRule="exact"/>
              <w:jc w:val="center"/>
              <w:rPr>
                <w:rFonts w:eastAsia="仿宋"/>
                <w:color w:val="000000"/>
              </w:rPr>
            </w:pPr>
            <w:r>
              <w:rPr>
                <w:rFonts w:hint="eastAsia" w:ascii="Times New Roman" w:hAnsi="Times New Roman" w:eastAsia="宋体" w:cs="Times New Roman"/>
                <w:szCs w:val="22"/>
              </w:rPr>
              <w:t>金通煤矿矿井水和生活污水处理设施改扩建项目</w:t>
            </w:r>
          </w:p>
        </w:tc>
        <w:tc>
          <w:tcPr>
            <w:tcW w:w="397" w:type="dxa"/>
            <w:vAlign w:val="center"/>
          </w:tcPr>
          <w:p>
            <w:pPr>
              <w:spacing w:line="600" w:lineRule="exact"/>
              <w:jc w:val="center"/>
              <w:rPr>
                <w:color w:val="000000"/>
                <w:szCs w:val="21"/>
              </w:rPr>
            </w:pPr>
            <w:r>
              <w:rPr>
                <w:rFonts w:hint="eastAsia"/>
                <w:color w:val="000000"/>
                <w:szCs w:val="21"/>
                <w:lang w:val="en-US" w:eastAsia="zh-CN"/>
              </w:rPr>
              <w:t>内蒙古自治区鄂尔多斯市东胜区铜川镇神山</w:t>
            </w:r>
            <w:r>
              <w:rPr>
                <w:rFonts w:hint="eastAsia"/>
                <w:color w:val="000000"/>
                <w:szCs w:val="21"/>
                <w:lang w:val="en-US"/>
              </w:rPr>
              <w:t>村金通煤矿工业场地内</w:t>
            </w:r>
          </w:p>
        </w:tc>
        <w:tc>
          <w:tcPr>
            <w:tcW w:w="465" w:type="dxa"/>
            <w:vAlign w:val="center"/>
          </w:tcPr>
          <w:p>
            <w:pPr>
              <w:spacing w:line="600" w:lineRule="exact"/>
              <w:jc w:val="center"/>
              <w:rPr>
                <w:color w:val="000000"/>
                <w:szCs w:val="21"/>
              </w:rPr>
            </w:pPr>
            <w:r>
              <w:rPr>
                <w:rFonts w:hint="eastAsia"/>
                <w:color w:val="000000"/>
                <w:szCs w:val="21"/>
                <w:lang w:eastAsia="zh-CN"/>
              </w:rPr>
              <w:t>鄂尔多斯市金通矿业有限公司</w:t>
            </w:r>
          </w:p>
        </w:tc>
        <w:tc>
          <w:tcPr>
            <w:tcW w:w="675" w:type="dxa"/>
            <w:vAlign w:val="center"/>
          </w:tcPr>
          <w:p>
            <w:pPr>
              <w:spacing w:line="600" w:lineRule="exact"/>
              <w:jc w:val="center"/>
              <w:rPr>
                <w:color w:val="000000"/>
                <w:szCs w:val="21"/>
              </w:rPr>
            </w:pPr>
            <w:r>
              <w:rPr>
                <w:rFonts w:hint="eastAsia"/>
                <w:color w:val="000000"/>
                <w:szCs w:val="21"/>
              </w:rPr>
              <w:t>内蒙古碧蓝环境科技有限公司</w:t>
            </w:r>
          </w:p>
        </w:tc>
        <w:tc>
          <w:tcPr>
            <w:tcW w:w="2555" w:type="dxa"/>
            <w:vAlign w:val="center"/>
          </w:tcPr>
          <w:p>
            <w:pPr>
              <w:spacing w:line="360" w:lineRule="auto"/>
              <w:ind w:firstLine="420" w:firstLineChars="200"/>
              <w:rPr>
                <w:rFonts w:hint="default"/>
                <w:color w:val="000000"/>
                <w:szCs w:val="21"/>
                <w:lang w:val="en-US" w:eastAsia="zh-CN"/>
              </w:rPr>
            </w:pPr>
            <w:r>
              <w:rPr>
                <w:rFonts w:hint="default"/>
                <w:color w:val="000000"/>
                <w:szCs w:val="21"/>
                <w:lang w:val="en-US" w:eastAsia="zh-CN"/>
              </w:rPr>
              <w:t>一、</w:t>
            </w:r>
            <w:r>
              <w:rPr>
                <w:rFonts w:hint="default"/>
                <w:color w:val="000000"/>
                <w:szCs w:val="21"/>
              </w:rPr>
              <w:t>该项目</w:t>
            </w:r>
            <w:r>
              <w:rPr>
                <w:rFonts w:hint="default"/>
                <w:color w:val="000000"/>
                <w:szCs w:val="21"/>
                <w:lang w:eastAsia="zh-CN"/>
              </w:rPr>
              <w:t>属于改扩建项目，位于</w:t>
            </w:r>
            <w:r>
              <w:rPr>
                <w:rFonts w:hint="default"/>
                <w:color w:val="000000"/>
                <w:szCs w:val="21"/>
                <w:lang w:val="en-US" w:eastAsia="zh-CN"/>
              </w:rPr>
              <w:t>东胜区铜川镇神山</w:t>
            </w:r>
            <w:r>
              <w:rPr>
                <w:rFonts w:hint="default"/>
                <w:color w:val="000000"/>
                <w:szCs w:val="21"/>
                <w:lang w:val="en-US"/>
              </w:rPr>
              <w:t>村金通煤矿工业场地内</w:t>
            </w:r>
            <w:r>
              <w:rPr>
                <w:rFonts w:hint="default"/>
                <w:color w:val="000000"/>
                <w:szCs w:val="21"/>
                <w:lang w:eastAsia="zh-CN"/>
              </w:rPr>
              <w:t>。</w:t>
            </w:r>
            <w:r>
              <w:rPr>
                <w:rFonts w:hint="default"/>
                <w:color w:val="000000"/>
                <w:szCs w:val="21"/>
                <w:lang w:val="en-US" w:eastAsia="zh-CN"/>
              </w:rPr>
              <w:t>项目总</w:t>
            </w:r>
            <w:r>
              <w:rPr>
                <w:rFonts w:hint="default"/>
                <w:color w:val="000000"/>
                <w:szCs w:val="21"/>
                <w:lang w:eastAsia="zh-CN"/>
              </w:rPr>
              <w:t>占地</w:t>
            </w:r>
            <w:r>
              <w:rPr>
                <w:rFonts w:hint="default"/>
                <w:color w:val="000000"/>
                <w:szCs w:val="21"/>
                <w:lang w:val="en-US" w:eastAsia="zh-CN"/>
              </w:rPr>
              <w:t>面积963.72平</w:t>
            </w:r>
            <w:r>
              <w:rPr>
                <w:rFonts w:hint="default"/>
                <w:color w:val="000000"/>
                <w:szCs w:val="21"/>
                <w:lang w:eastAsia="zh-CN"/>
              </w:rPr>
              <w:t>方米，总投资</w:t>
            </w:r>
            <w:r>
              <w:rPr>
                <w:rFonts w:hint="default"/>
                <w:color w:val="000000"/>
                <w:szCs w:val="21"/>
                <w:lang w:val="en-US" w:eastAsia="zh-CN"/>
              </w:rPr>
              <w:t>500万</w:t>
            </w:r>
            <w:r>
              <w:rPr>
                <w:rFonts w:hint="default"/>
                <w:color w:val="000000"/>
                <w:szCs w:val="21"/>
                <w:lang w:eastAsia="zh-CN"/>
              </w:rPr>
              <w:t>元</w:t>
            </w:r>
            <w:r>
              <w:rPr>
                <w:rFonts w:hint="default"/>
                <w:color w:val="000000"/>
                <w:szCs w:val="21"/>
              </w:rPr>
              <w:t>，</w:t>
            </w:r>
            <w:r>
              <w:rPr>
                <w:rFonts w:hint="default"/>
                <w:color w:val="000000"/>
                <w:szCs w:val="21"/>
                <w:lang w:eastAsia="zh-CN"/>
              </w:rPr>
              <w:t>全部为环保投资</w:t>
            </w:r>
            <w:r>
              <w:rPr>
                <w:rFonts w:hint="default"/>
                <w:color w:val="000000"/>
                <w:szCs w:val="21"/>
              </w:rPr>
              <w:t>。</w:t>
            </w:r>
            <w:r>
              <w:rPr>
                <w:rFonts w:hint="default"/>
                <w:color w:val="000000"/>
                <w:szCs w:val="21"/>
                <w:lang w:eastAsia="zh-CN"/>
              </w:rPr>
              <w:t>主要建设内容及规模：</w:t>
            </w:r>
            <w:r>
              <w:rPr>
                <w:rFonts w:hint="default"/>
                <w:color w:val="000000"/>
                <w:szCs w:val="21"/>
                <w:lang w:val="en-US" w:eastAsia="zh-CN"/>
              </w:rPr>
              <w:t>对金通煤矿现有矿井水处理系统进行改扩建，</w:t>
            </w:r>
            <w:r>
              <w:rPr>
                <w:rFonts w:hint="default"/>
                <w:color w:val="000000"/>
                <w:szCs w:val="21"/>
                <w:lang w:val="zh-CN" w:eastAsia="zh-CN"/>
              </w:rPr>
              <w:t>处理规模由</w:t>
            </w:r>
            <w:r>
              <w:rPr>
                <w:rFonts w:hint="default"/>
                <w:color w:val="000000"/>
                <w:szCs w:val="21"/>
                <w:lang w:val="en-US" w:eastAsia="zh-CN"/>
              </w:rPr>
              <w:t>1200</w:t>
            </w:r>
            <w:r>
              <w:rPr>
                <w:rFonts w:hint="default"/>
                <w:color w:val="000000"/>
                <w:szCs w:val="21"/>
                <w:lang w:val="zh-CN" w:eastAsia="zh-CN"/>
              </w:rPr>
              <w:t>m</w:t>
            </w:r>
            <w:r>
              <w:rPr>
                <w:rFonts w:hint="default"/>
                <w:color w:val="000000"/>
                <w:szCs w:val="21"/>
                <w:vertAlign w:val="superscript"/>
                <w:lang w:val="zh-CN" w:eastAsia="zh-CN"/>
              </w:rPr>
              <w:t>3</w:t>
            </w:r>
            <w:r>
              <w:rPr>
                <w:rFonts w:hint="default"/>
                <w:color w:val="000000"/>
                <w:szCs w:val="21"/>
                <w:lang w:val="zh-CN" w:eastAsia="zh-CN"/>
              </w:rPr>
              <w:t>/d提高至</w:t>
            </w:r>
            <w:r>
              <w:rPr>
                <w:rFonts w:hint="default"/>
                <w:color w:val="000000"/>
                <w:szCs w:val="21"/>
                <w:lang w:val="en-US" w:eastAsia="zh-CN"/>
              </w:rPr>
              <w:t>24</w:t>
            </w:r>
            <w:r>
              <w:rPr>
                <w:rFonts w:hint="default"/>
                <w:color w:val="000000"/>
                <w:szCs w:val="21"/>
                <w:lang w:val="zh-CN" w:eastAsia="zh-CN"/>
              </w:rPr>
              <w:t>00m</w:t>
            </w:r>
            <w:r>
              <w:rPr>
                <w:rFonts w:hint="default"/>
                <w:color w:val="000000"/>
                <w:szCs w:val="21"/>
                <w:vertAlign w:val="superscript"/>
                <w:lang w:val="zh-CN" w:eastAsia="zh-CN"/>
              </w:rPr>
              <w:t>3</w:t>
            </w:r>
            <w:r>
              <w:rPr>
                <w:rFonts w:hint="default"/>
                <w:color w:val="000000"/>
                <w:szCs w:val="21"/>
                <w:lang w:val="zh-CN" w:eastAsia="zh-CN"/>
              </w:rPr>
              <w:t>/d，</w:t>
            </w:r>
            <w:r>
              <w:rPr>
                <w:rFonts w:hint="default"/>
                <w:color w:val="000000"/>
                <w:szCs w:val="21"/>
                <w:lang w:val="en-US" w:eastAsia="zh-CN"/>
              </w:rPr>
              <w:t>处理工艺为</w:t>
            </w:r>
            <w:r>
              <w:rPr>
                <w:rFonts w:hint="eastAsia"/>
                <w:color w:val="000000"/>
                <w:szCs w:val="21"/>
                <w:lang w:val="en-US" w:eastAsia="zh-CN"/>
              </w:rPr>
              <w:t>“</w:t>
            </w:r>
            <w:r>
              <w:rPr>
                <w:rFonts w:hint="default"/>
                <w:color w:val="000000"/>
                <w:szCs w:val="21"/>
                <w:lang w:val="en-US" w:eastAsia="zh-CN"/>
              </w:rPr>
              <w:t>多介质活性炭过滤器+反渗透</w:t>
            </w:r>
            <w:r>
              <w:rPr>
                <w:rFonts w:hint="eastAsia"/>
                <w:color w:val="000000"/>
                <w:szCs w:val="21"/>
                <w:lang w:val="en-US" w:eastAsia="zh-CN"/>
              </w:rPr>
              <w:t>”；</w:t>
            </w:r>
            <w:r>
              <w:rPr>
                <w:rFonts w:hint="default"/>
                <w:color w:val="000000"/>
                <w:szCs w:val="21"/>
                <w:lang w:val="en-US" w:eastAsia="zh-CN"/>
              </w:rPr>
              <w:t>生活污水</w:t>
            </w:r>
            <w:r>
              <w:rPr>
                <w:rFonts w:hint="default"/>
                <w:color w:val="000000"/>
                <w:szCs w:val="21"/>
                <w:lang w:val="zh-CN" w:eastAsia="zh-CN"/>
              </w:rPr>
              <w:t>处理站处理规模</w:t>
            </w:r>
            <w:r>
              <w:rPr>
                <w:rFonts w:hint="default"/>
                <w:color w:val="000000"/>
                <w:szCs w:val="21"/>
                <w:lang w:val="en-US" w:eastAsia="zh-CN"/>
              </w:rPr>
              <w:t>不变，</w:t>
            </w:r>
            <w:r>
              <w:rPr>
                <w:rFonts w:hint="eastAsia"/>
                <w:color w:val="000000"/>
                <w:szCs w:val="21"/>
                <w:lang w:val="en-US" w:eastAsia="zh-CN"/>
              </w:rPr>
              <w:t>仍为</w:t>
            </w:r>
            <w:r>
              <w:rPr>
                <w:rFonts w:hint="default"/>
                <w:color w:val="000000"/>
                <w:szCs w:val="21"/>
                <w:lang w:val="en-US" w:eastAsia="zh-CN"/>
              </w:rPr>
              <w:t>240m</w:t>
            </w:r>
            <w:r>
              <w:rPr>
                <w:rFonts w:hint="default"/>
                <w:color w:val="000000"/>
                <w:szCs w:val="21"/>
                <w:vertAlign w:val="superscript"/>
                <w:lang w:val="en-US" w:eastAsia="zh-CN"/>
              </w:rPr>
              <w:t>3</w:t>
            </w:r>
            <w:r>
              <w:rPr>
                <w:rFonts w:hint="default"/>
                <w:color w:val="000000"/>
                <w:szCs w:val="21"/>
                <w:lang w:val="en-US" w:eastAsia="zh-CN"/>
              </w:rPr>
              <w:t>/d</w:t>
            </w:r>
            <w:r>
              <w:rPr>
                <w:rFonts w:hint="eastAsia"/>
                <w:color w:val="000000"/>
                <w:szCs w:val="21"/>
                <w:lang w:val="en-US" w:eastAsia="zh-CN"/>
              </w:rPr>
              <w:t>，</w:t>
            </w:r>
            <w:r>
              <w:rPr>
                <w:rFonts w:hint="default"/>
                <w:color w:val="000000"/>
                <w:szCs w:val="21"/>
                <w:lang w:val="en-US" w:eastAsia="zh-CN"/>
              </w:rPr>
              <w:t>拆除现有一体化污水处理设备，新建一套地埋式一体化处理设备，处理工艺为A/O+MBR。</w:t>
            </w:r>
          </w:p>
          <w:p>
            <w:pPr>
              <w:spacing w:line="360" w:lineRule="auto"/>
              <w:ind w:firstLine="420" w:firstLineChars="200"/>
              <w:rPr>
                <w:color w:val="000000"/>
                <w:szCs w:val="21"/>
              </w:rPr>
            </w:pP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2、施工人员生活污水依托现有生活污水处理设施处理。</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1、大气污染防治措施。运营期生活污水处理站产生的恶臭气体无组织排放执行《恶臭污染物排放标准》（GB14554-1993）</w:t>
            </w:r>
            <w:r>
              <w:rPr>
                <w:rFonts w:hint="eastAsia"/>
                <w:color w:val="000000"/>
                <w:szCs w:val="21"/>
              </w:rPr>
              <w:t>表1</w:t>
            </w:r>
            <w:r>
              <w:rPr>
                <w:rFonts w:hint="eastAsia"/>
                <w:color w:val="000000"/>
                <w:szCs w:val="21"/>
                <w:lang w:val="en-US" w:eastAsia="zh-CN"/>
              </w:rPr>
              <w:t>中恶臭污染物厂界二级</w:t>
            </w:r>
            <w:r>
              <w:rPr>
                <w:rFonts w:hint="eastAsia"/>
                <w:color w:val="000000"/>
                <w:szCs w:val="21"/>
              </w:rPr>
              <w:t>新</w:t>
            </w:r>
            <w:r>
              <w:rPr>
                <w:rFonts w:hint="eastAsia"/>
                <w:color w:val="000000"/>
                <w:szCs w:val="21"/>
                <w:lang w:eastAsia="zh-CN"/>
              </w:rPr>
              <w:t>扩改建</w:t>
            </w:r>
            <w:r>
              <w:rPr>
                <w:rFonts w:hint="eastAsia"/>
                <w:color w:val="000000"/>
                <w:szCs w:val="21"/>
              </w:rPr>
              <w:t>标准限值</w:t>
            </w:r>
            <w:r>
              <w:rPr>
                <w:rFonts w:hint="eastAsia"/>
                <w:color w:val="000000"/>
                <w:szCs w:val="21"/>
                <w:lang w:eastAsia="zh-CN"/>
              </w:rPr>
              <w:t>。</w:t>
            </w:r>
          </w:p>
          <w:p>
            <w:pPr>
              <w:spacing w:line="360" w:lineRule="auto"/>
              <w:jc w:val="left"/>
              <w:rPr>
                <w:rFonts w:hint="eastAsia"/>
                <w:color w:val="000000"/>
                <w:szCs w:val="21"/>
                <w:lang w:val="en-US" w:eastAsia="zh-CN"/>
              </w:rPr>
            </w:pPr>
            <w:r>
              <w:rPr>
                <w:rFonts w:hint="eastAsia"/>
                <w:color w:val="000000"/>
                <w:szCs w:val="21"/>
                <w:lang w:val="en-US" w:eastAsia="zh-CN"/>
              </w:rPr>
              <w:t>2、水污染防治措施。运营期生产废水经矿井水处理站预处理后，出水水质同时满足《煤炭工业污染物排放标准》（GB20426-2006）表1和表2中新（扩、改）建生产线排放限值及《煤矿井下消防、洒水设计规范》（GB50383-2016）附录B井下消防、洒水水质标准要求后，部分用于金通煤矿及神通煤矿两矿井下消防、生产用水及地面生产系统洒水抑尘，不外排；剩余部分经深度处理系统处理后</w:t>
            </w:r>
            <w:bookmarkStart w:id="0" w:name="_GoBack"/>
            <w:bookmarkEnd w:id="0"/>
            <w:r>
              <w:rPr>
                <w:rFonts w:hint="eastAsia"/>
                <w:color w:val="000000"/>
                <w:szCs w:val="21"/>
                <w:lang w:val="en-US" w:eastAsia="zh-CN"/>
              </w:rPr>
              <w:t>用于金通煤矿生活用水；污泥池上清液及浓水返回矿井水处理站处理，不外排。生活污水处理站出水满足《城市污水再生利用 城市杂用水水质》（GB/T18920-2020）中规定的城市绿化、道路清扫、消防、建筑施工水质标准要求，用于矿区绿化、道路降尘等，不外排。</w:t>
            </w:r>
          </w:p>
          <w:p>
            <w:pPr>
              <w:spacing w:line="360" w:lineRule="auto"/>
              <w:jc w:val="left"/>
              <w:rPr>
                <w:rFonts w:hint="eastAsia"/>
                <w:color w:val="000000"/>
                <w:szCs w:val="21"/>
              </w:rPr>
            </w:pPr>
            <w:r>
              <w:rPr>
                <w:rFonts w:hint="eastAsia"/>
                <w:color w:val="000000"/>
                <w:szCs w:val="21"/>
                <w:lang w:val="en-US" w:eastAsia="zh-CN"/>
              </w:rPr>
              <w:t>3、噪声污染防治措施。通过选用低噪声设备，基础减振和厂房隔声等措施，确保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pPr>
              <w:spacing w:line="360" w:lineRule="auto"/>
              <w:jc w:val="left"/>
              <w:rPr>
                <w:rFonts w:hint="eastAsia"/>
                <w:color w:val="000000"/>
                <w:szCs w:val="21"/>
                <w:lang w:val="en-US" w:eastAsia="zh-CN"/>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lang w:val="en-US" w:eastAsia="zh-CN"/>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3E062DA7"/>
    <w:rsid w:val="43DC2BDE"/>
    <w:rsid w:val="497150DD"/>
    <w:rsid w:val="4AD11E12"/>
    <w:rsid w:val="4D4A4260"/>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styleId="3">
    <w:name w:val="Normal Indent"/>
    <w:basedOn w:val="1"/>
    <w:next w:val="4"/>
    <w:semiHidden/>
    <w:unhideWhenUsed/>
    <w:qFormat/>
    <w:uiPriority w:val="99"/>
    <w:pPr>
      <w:ind w:firstLine="420" w:firstLineChars="20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Body Text"/>
    <w:basedOn w:val="1"/>
    <w:qFormat/>
    <w:uiPriority w:val="99"/>
    <w:pPr>
      <w:spacing w:after="120"/>
    </w:pPr>
    <w:rPr>
      <w:rFonts w:ascii="Calibri" w:hAnsi="Calibri"/>
      <w:szCs w:val="22"/>
    </w:rPr>
  </w:style>
  <w:style w:type="paragraph" w:styleId="7">
    <w:name w:val="footer"/>
    <w:basedOn w:val="1"/>
    <w:link w:val="1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oc 2"/>
    <w:basedOn w:val="1"/>
    <w:next w:val="1"/>
    <w:unhideWhenUsed/>
    <w:qFormat/>
    <w:uiPriority w:val="39"/>
    <w:pPr>
      <w:ind w:left="420" w:leftChars="200"/>
    </w:pPr>
  </w:style>
  <w:style w:type="paragraph" w:styleId="10">
    <w:name w:val="Body Text 2"/>
    <w:basedOn w:val="1"/>
    <w:next w:val="1"/>
    <w:qFormat/>
    <w:uiPriority w:val="0"/>
    <w:pPr>
      <w:spacing w:after="120" w:line="480" w:lineRule="auto"/>
    </w:pPr>
  </w:style>
  <w:style w:type="character" w:customStyle="1" w:styleId="13">
    <w:name w:val="页眉 字符"/>
    <w:basedOn w:val="12"/>
    <w:link w:val="8"/>
    <w:qFormat/>
    <w:uiPriority w:val="99"/>
    <w:rPr>
      <w:sz w:val="18"/>
      <w:szCs w:val="18"/>
    </w:rPr>
  </w:style>
  <w:style w:type="character" w:customStyle="1" w:styleId="14">
    <w:name w:val="页脚 字符"/>
    <w:basedOn w:val="12"/>
    <w:link w:val="7"/>
    <w:qFormat/>
    <w:uiPriority w:val="99"/>
    <w:rPr>
      <w:sz w:val="18"/>
      <w:szCs w:val="18"/>
    </w:rPr>
  </w:style>
  <w:style w:type="character" w:customStyle="1" w:styleId="15">
    <w:name w:val="NormalCharacter"/>
    <w:semiHidden/>
    <w:qFormat/>
    <w:uiPriority w:val="99"/>
  </w:style>
  <w:style w:type="paragraph" w:customStyle="1" w:styleId="16">
    <w:name w:val="图表"/>
    <w:basedOn w:val="5"/>
    <w:qFormat/>
    <w:uiPriority w:val="0"/>
    <w:pPr>
      <w:widowControl/>
      <w:autoSpaceDE w:val="0"/>
      <w:autoSpaceDN w:val="0"/>
      <w:adjustRightInd w:val="0"/>
      <w:snapToGrid w:val="0"/>
      <w:spacing w:after="0" w:line="360" w:lineRule="auto"/>
      <w:ind w:left="0" w:leftChars="0"/>
      <w:jc w:val="center"/>
    </w:pPr>
    <w:rPr>
      <w:b/>
    </w:rPr>
  </w:style>
  <w:style w:type="paragraph" w:customStyle="1" w:styleId="17">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1878</Words>
  <Characters>2042</Characters>
  <Lines>11</Lines>
  <Paragraphs>3</Paragraphs>
  <TotalTime>0</TotalTime>
  <ScaleCrop>false</ScaleCrop>
  <LinksUpToDate>false</LinksUpToDate>
  <CharactersWithSpaces>2099</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lenovo</cp:lastModifiedBy>
  <dcterms:modified xsi:type="dcterms:W3CDTF">2025-01-16T08:16:44Z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eyJoZGlkIjoiZGMyN2E2MTRmYjM2NzM2N2YwMzQyOWU3MDQxMjhiZDciLCJ1c2VySWQiOiIzMzQyNjE5NjcifQ==</vt:lpwstr>
  </property>
</Properties>
</file>