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559"/>
        <w:gridCol w:w="504"/>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5" w:type="dxa"/>
            <w:vAlign w:val="center"/>
          </w:tcPr>
          <w:p>
            <w:pPr>
              <w:spacing w:line="240" w:lineRule="atLeast"/>
              <w:jc w:val="center"/>
              <w:rPr>
                <w:color w:val="000000"/>
                <w:szCs w:val="21"/>
              </w:rPr>
            </w:pPr>
            <w:r>
              <w:rPr>
                <w:color w:val="000000"/>
                <w:szCs w:val="21"/>
              </w:rPr>
              <w:t>编号</w:t>
            </w:r>
          </w:p>
        </w:tc>
        <w:tc>
          <w:tcPr>
            <w:tcW w:w="559" w:type="dxa"/>
            <w:vAlign w:val="center"/>
          </w:tcPr>
          <w:p>
            <w:pPr>
              <w:spacing w:line="240" w:lineRule="atLeast"/>
              <w:jc w:val="center"/>
              <w:rPr>
                <w:color w:val="000000"/>
                <w:szCs w:val="21"/>
              </w:rPr>
            </w:pPr>
            <w:r>
              <w:rPr>
                <w:color w:val="000000"/>
                <w:szCs w:val="21"/>
              </w:rPr>
              <w:t>项目名称</w:t>
            </w:r>
          </w:p>
        </w:tc>
        <w:tc>
          <w:tcPr>
            <w:tcW w:w="504"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595" w:type="dxa"/>
            <w:vAlign w:val="center"/>
          </w:tcPr>
          <w:p>
            <w:pPr>
              <w:spacing w:line="240" w:lineRule="atLeast"/>
              <w:jc w:val="center"/>
              <w:rPr>
                <w:color w:val="000000"/>
                <w:szCs w:val="21"/>
              </w:rPr>
            </w:pPr>
            <w:r>
              <w:rPr>
                <w:color w:val="000000"/>
                <w:szCs w:val="21"/>
              </w:rPr>
              <w:t>1</w:t>
            </w:r>
          </w:p>
        </w:tc>
        <w:tc>
          <w:tcPr>
            <w:tcW w:w="559" w:type="dxa"/>
            <w:vAlign w:val="center"/>
          </w:tcPr>
          <w:p>
            <w:pPr>
              <w:spacing w:line="600" w:lineRule="exact"/>
              <w:jc w:val="center"/>
              <w:rPr>
                <w:rFonts w:hint="eastAsia" w:ascii="Times New Roman" w:hAnsi="Times New Roman" w:eastAsia="宋体" w:cs="Times New Roman"/>
                <w:szCs w:val="22"/>
              </w:rPr>
            </w:pPr>
            <w:r>
              <w:rPr>
                <w:rFonts w:hint="eastAsia" w:ascii="Times New Roman" w:hAnsi="Times New Roman" w:eastAsia="宋体" w:cs="Times New Roman"/>
                <w:szCs w:val="22"/>
              </w:rPr>
              <w:t>鄂尔多斯市巴音孟克纳源煤炭有限责任</w:t>
            </w:r>
          </w:p>
          <w:p>
            <w:pPr>
              <w:spacing w:line="600" w:lineRule="exact"/>
              <w:jc w:val="center"/>
              <w:rPr>
                <w:rFonts w:eastAsia="仿宋"/>
                <w:color w:val="000000"/>
              </w:rPr>
            </w:pPr>
            <w:r>
              <w:rPr>
                <w:rFonts w:hint="eastAsia" w:ascii="Times New Roman" w:hAnsi="Times New Roman" w:eastAsia="宋体" w:cs="Times New Roman"/>
                <w:szCs w:val="22"/>
              </w:rPr>
              <w:t>公司纳源智慧养殖基地项目</w:t>
            </w:r>
          </w:p>
        </w:tc>
        <w:tc>
          <w:tcPr>
            <w:tcW w:w="504" w:type="dxa"/>
            <w:vAlign w:val="center"/>
          </w:tcPr>
          <w:p>
            <w:pPr>
              <w:spacing w:line="600" w:lineRule="exact"/>
              <w:jc w:val="center"/>
              <w:rPr>
                <w:color w:val="000000"/>
                <w:szCs w:val="21"/>
              </w:rPr>
            </w:pPr>
            <w:r>
              <w:rPr>
                <w:rFonts w:hint="eastAsia"/>
                <w:color w:val="000000"/>
                <w:szCs w:val="21"/>
              </w:rPr>
              <w:t>内蒙古自治区鄂尔多斯市东胜区铜川镇潮脑梁村窑子沟社</w:t>
            </w:r>
          </w:p>
        </w:tc>
        <w:tc>
          <w:tcPr>
            <w:tcW w:w="465" w:type="dxa"/>
            <w:vAlign w:val="center"/>
          </w:tcPr>
          <w:p>
            <w:pPr>
              <w:spacing w:line="600" w:lineRule="exact"/>
              <w:jc w:val="center"/>
              <w:rPr>
                <w:color w:val="000000"/>
                <w:szCs w:val="21"/>
              </w:rPr>
            </w:pPr>
            <w:r>
              <w:rPr>
                <w:rFonts w:hint="eastAsia"/>
                <w:color w:val="000000"/>
                <w:szCs w:val="21"/>
              </w:rPr>
              <w:t>鄂尔多斯市巴音孟克纳源煤炭有限责任公司</w:t>
            </w:r>
          </w:p>
        </w:tc>
        <w:tc>
          <w:tcPr>
            <w:tcW w:w="675" w:type="dxa"/>
            <w:vAlign w:val="center"/>
          </w:tcPr>
          <w:p>
            <w:pPr>
              <w:spacing w:line="600" w:lineRule="exact"/>
              <w:jc w:val="center"/>
              <w:rPr>
                <w:color w:val="000000"/>
                <w:szCs w:val="21"/>
              </w:rPr>
            </w:pPr>
            <w:r>
              <w:rPr>
                <w:rFonts w:hint="eastAsia"/>
                <w:color w:val="000000"/>
                <w:szCs w:val="21"/>
              </w:rPr>
              <w:t>内蒙古泽郡生态环境科技有限公司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新</w:t>
            </w:r>
            <w:r>
              <w:rPr>
                <w:rFonts w:hint="eastAsia"/>
                <w:color w:val="000000"/>
                <w:szCs w:val="21"/>
              </w:rPr>
              <w:t>建项目</w:t>
            </w:r>
            <w:r>
              <w:rPr>
                <w:rFonts w:hint="eastAsia"/>
                <w:color w:val="000000"/>
                <w:szCs w:val="21"/>
                <w:lang w:val="en-US" w:eastAsia="zh-CN"/>
              </w:rPr>
              <w:t>，位于</w:t>
            </w:r>
            <w:r>
              <w:rPr>
                <w:rFonts w:hint="default"/>
                <w:color w:val="000000"/>
                <w:szCs w:val="21"/>
                <w:lang w:val="en-US" w:eastAsia="zh-CN"/>
              </w:rPr>
              <w:t>鄂尔多斯市东胜区铜川镇潮脑梁村窑子沟社</w:t>
            </w:r>
            <w:r>
              <w:rPr>
                <w:rFonts w:hint="eastAsia"/>
                <w:color w:val="000000"/>
                <w:szCs w:val="21"/>
                <w:lang w:val="en-US" w:eastAsia="zh-CN"/>
              </w:rPr>
              <w:t>。项目总占地面积168448.88平方米，</w:t>
            </w:r>
            <w:r>
              <w:rPr>
                <w:rFonts w:hint="default"/>
                <w:color w:val="000000"/>
                <w:szCs w:val="21"/>
                <w:lang w:val="en-US" w:eastAsia="zh-CN"/>
              </w:rPr>
              <w:t>总投资</w:t>
            </w:r>
            <w:r>
              <w:rPr>
                <w:rFonts w:hint="eastAsia"/>
                <w:color w:val="000000"/>
                <w:szCs w:val="21"/>
                <w:lang w:val="en-US" w:eastAsia="zh-CN"/>
              </w:rPr>
              <w:t>6218万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109万元。主要建设内容及规模：新建</w:t>
            </w:r>
            <w:r>
              <w:rPr>
                <w:rFonts w:hint="default"/>
                <w:color w:val="000000"/>
                <w:szCs w:val="21"/>
                <w:lang w:eastAsia="zh-CN"/>
              </w:rPr>
              <w:t>牛舍及</w:t>
            </w:r>
            <w:r>
              <w:rPr>
                <w:rFonts w:hint="eastAsia"/>
                <w:color w:val="000000"/>
                <w:szCs w:val="21"/>
                <w:lang w:eastAsia="zh-CN"/>
              </w:rPr>
              <w:t>运</w:t>
            </w:r>
            <w:r>
              <w:rPr>
                <w:rFonts w:hint="default"/>
                <w:color w:val="000000"/>
                <w:szCs w:val="21"/>
              </w:rPr>
              <w:t>动场、饲料区、</w:t>
            </w:r>
            <w:r>
              <w:rPr>
                <w:rFonts w:hint="default"/>
                <w:color w:val="000000"/>
                <w:szCs w:val="21"/>
                <w:lang w:eastAsia="zh-CN"/>
              </w:rPr>
              <w:t>粪污</w:t>
            </w:r>
            <w:r>
              <w:rPr>
                <w:rFonts w:hint="eastAsia"/>
                <w:color w:val="000000"/>
                <w:szCs w:val="21"/>
                <w:lang w:val="en-US" w:eastAsia="zh-CN"/>
              </w:rPr>
              <w:t>处置区</w:t>
            </w:r>
            <w:r>
              <w:rPr>
                <w:rFonts w:hint="default"/>
                <w:color w:val="000000"/>
                <w:szCs w:val="21"/>
                <w:lang w:eastAsia="zh-CN"/>
              </w:rPr>
              <w:t>、医疗废物暂存间以及</w:t>
            </w:r>
            <w:r>
              <w:rPr>
                <w:rFonts w:hint="eastAsia"/>
                <w:color w:val="000000"/>
                <w:szCs w:val="21"/>
                <w:lang w:val="en-US" w:eastAsia="zh-CN"/>
              </w:rPr>
              <w:t>配套的公辅工程、储运工程和环保工程。项目建成后年存栏肉牛3300头，年出栏育肥牛1000头，24个月出栏。</w:t>
            </w:r>
          </w:p>
        </w:tc>
        <w:tc>
          <w:tcPr>
            <w:tcW w:w="4877" w:type="dxa"/>
            <w:vAlign w:val="center"/>
          </w:tcPr>
          <w:p>
            <w:pPr>
              <w:spacing w:line="360" w:lineRule="auto"/>
              <w:jc w:val="left"/>
              <w:rPr>
                <w:rFonts w:hint="eastAsia"/>
                <w:color w:val="000000"/>
                <w:szCs w:val="21"/>
              </w:rPr>
            </w:pPr>
            <w:r>
              <w:rPr>
                <w:rFonts w:hint="eastAsia"/>
                <w:color w:val="000000"/>
                <w:szCs w:val="21"/>
              </w:rPr>
              <w:t>《</w:t>
            </w:r>
            <w:r>
              <w:rPr>
                <w:rFonts w:hint="eastAsia"/>
                <w:color w:val="000000"/>
                <w:szCs w:val="21"/>
                <w:lang w:eastAsia="zh-CN"/>
              </w:rPr>
              <w:t>报告书</w:t>
            </w:r>
            <w:r>
              <w:rPr>
                <w:rFonts w:hint="eastAsia"/>
                <w:color w:val="000000"/>
                <w:szCs w:val="21"/>
              </w:rPr>
              <w:t>》认为，在全面落实各项生态环境保护和环境污染防治措施的前提下，项目建设对环境的不利影响能够得到一定的缓解和控制。因此，我局原则同意你单位按照《</w:t>
            </w:r>
            <w:r>
              <w:rPr>
                <w:rFonts w:hint="eastAsia"/>
                <w:color w:val="000000"/>
                <w:szCs w:val="21"/>
                <w:lang w:eastAsia="zh-CN"/>
              </w:rPr>
              <w:t>报告书</w:t>
            </w:r>
            <w:r>
              <w:rPr>
                <w:rFonts w:hint="eastAsia"/>
                <w:color w:val="000000"/>
                <w:szCs w:val="21"/>
              </w:rPr>
              <w:t>》中所列的建设项目性质、规模、地点、环境保护措施进行建设。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w:t>
            </w:r>
            <w:r>
              <w:rPr>
                <w:rFonts w:hint="eastAsia"/>
                <w:color w:val="000000"/>
                <w:szCs w:val="21"/>
                <w:lang w:eastAsia="zh-CN"/>
              </w:rPr>
              <w:t>报告书</w:t>
            </w:r>
            <w:r>
              <w:rPr>
                <w:rFonts w:hint="eastAsia"/>
                <w:color w:val="000000"/>
                <w:szCs w:val="21"/>
              </w:rPr>
              <w:t>》</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w:t>
            </w:r>
            <w:r>
              <w:rPr>
                <w:rFonts w:hint="eastAsia"/>
                <w:color w:val="000000"/>
                <w:szCs w:val="21"/>
                <w:lang w:val="en-US" w:eastAsia="zh-CN"/>
              </w:rPr>
              <w:t>施工单位在土石方开挖及设备安装过程中应严格按照设计要求施工，施工场地四周须建立围挡，定期进行洒水和清扫</w:t>
            </w:r>
            <w:r>
              <w:rPr>
                <w:rFonts w:hint="eastAsia"/>
                <w:color w:val="000000"/>
                <w:szCs w:val="21"/>
                <w:lang w:eastAsia="zh-CN"/>
              </w:rPr>
              <w:t>。</w:t>
            </w:r>
            <w:r>
              <w:rPr>
                <w:rFonts w:hint="eastAsia"/>
                <w:color w:val="000000"/>
                <w:szCs w:val="21"/>
              </w:rPr>
              <w:t>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w:t>
            </w:r>
            <w:r>
              <w:rPr>
                <w:rFonts w:hint="eastAsia"/>
                <w:color w:val="000000"/>
                <w:szCs w:val="21"/>
              </w:rPr>
              <w:t>依托</w:t>
            </w:r>
            <w:r>
              <w:rPr>
                <w:rFonts w:hint="eastAsia"/>
                <w:color w:val="000000"/>
                <w:szCs w:val="21"/>
                <w:lang w:val="en-US" w:eastAsia="zh-CN"/>
              </w:rPr>
              <w:t>纳源煤矿生活污水</w:t>
            </w:r>
            <w:r>
              <w:rPr>
                <w:rFonts w:hint="eastAsia"/>
                <w:color w:val="000000"/>
                <w:szCs w:val="21"/>
              </w:rPr>
              <w:t>处理</w:t>
            </w:r>
            <w:r>
              <w:rPr>
                <w:rFonts w:hint="eastAsia"/>
                <w:color w:val="000000"/>
                <w:szCs w:val="21"/>
                <w:lang w:val="en-US" w:eastAsia="zh-CN"/>
              </w:rPr>
              <w:t>站处理</w:t>
            </w:r>
            <w:r>
              <w:rPr>
                <w:rFonts w:hint="eastAsia"/>
                <w:color w:val="000000"/>
                <w:szCs w:val="21"/>
              </w:rPr>
              <w:t>。</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pPr>
              <w:spacing w:line="360" w:lineRule="auto"/>
              <w:jc w:val="left"/>
              <w:rPr>
                <w:rFonts w:hint="eastAsia"/>
                <w:color w:val="000000"/>
                <w:szCs w:val="21"/>
                <w:lang w:val="en-US" w:eastAsia="zh-CN"/>
              </w:rPr>
            </w:pPr>
            <w:r>
              <w:rPr>
                <w:rFonts w:hint="eastAsia"/>
                <w:color w:val="000000"/>
                <w:szCs w:val="21"/>
                <w:lang w:val="en-US" w:eastAsia="zh-CN"/>
              </w:rPr>
              <w:t>5、严格控制施工范围，施工场地、设施等均置于永久占地范围内，减少施工期水土流失。</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大气污染防治措施。牛舍定时喷洒除臭剂，保持舍内通风，采用干清粪的方式，牛粪及时清理，合理设计日粮；有机肥贮存棚全封闭，定时喷洒生物除臭剂，有机肥及时外售。粪污生物处理车间废气经收集处理后由1根15米高排气筒排放，执行</w:t>
            </w:r>
            <w:r>
              <w:rPr>
                <w:rFonts w:hint="eastAsia"/>
                <w:color w:val="000000"/>
                <w:szCs w:val="21"/>
              </w:rPr>
              <w:t>《恶臭污染物排放标准》</w:t>
            </w:r>
            <w:r>
              <w:rPr>
                <w:rFonts w:hint="eastAsia"/>
                <w:color w:val="000000"/>
                <w:szCs w:val="21"/>
                <w:lang w:eastAsia="zh-CN"/>
              </w:rPr>
              <w:t>（</w:t>
            </w:r>
            <w:r>
              <w:rPr>
                <w:rFonts w:hint="eastAsia"/>
                <w:color w:val="000000"/>
                <w:szCs w:val="21"/>
              </w:rPr>
              <w:t>GB</w:t>
            </w:r>
            <w:r>
              <w:rPr>
                <w:rFonts w:hint="eastAsia"/>
                <w:color w:val="000000"/>
                <w:szCs w:val="21"/>
                <w:lang w:val="en-US" w:eastAsia="zh-CN"/>
              </w:rPr>
              <w:t xml:space="preserve"> </w:t>
            </w:r>
            <w:r>
              <w:rPr>
                <w:rFonts w:hint="eastAsia"/>
                <w:color w:val="000000"/>
                <w:szCs w:val="21"/>
              </w:rPr>
              <w:t>14554-</w:t>
            </w:r>
            <w:r>
              <w:rPr>
                <w:rFonts w:hint="eastAsia"/>
                <w:color w:val="000000"/>
                <w:szCs w:val="21"/>
                <w:lang w:val="en-US" w:eastAsia="zh-CN"/>
              </w:rPr>
              <w:t>19</w:t>
            </w:r>
            <w:r>
              <w:rPr>
                <w:rFonts w:hint="eastAsia"/>
                <w:color w:val="000000"/>
                <w:szCs w:val="21"/>
              </w:rPr>
              <w:t>93</w:t>
            </w:r>
            <w:r>
              <w:rPr>
                <w:rFonts w:hint="eastAsia"/>
                <w:color w:val="000000"/>
                <w:szCs w:val="21"/>
                <w:lang w:eastAsia="zh-CN"/>
              </w:rPr>
              <w:t>）</w:t>
            </w:r>
            <w:r>
              <w:rPr>
                <w:rFonts w:hint="eastAsia"/>
                <w:color w:val="000000"/>
                <w:szCs w:val="21"/>
                <w:lang w:val="en-US" w:eastAsia="zh-CN"/>
              </w:rPr>
              <w:t>表2中标准限值。厂界氨</w:t>
            </w:r>
            <w:r>
              <w:rPr>
                <w:rFonts w:hint="eastAsia"/>
                <w:color w:val="000000"/>
                <w:szCs w:val="21"/>
              </w:rPr>
              <w:t>、</w:t>
            </w:r>
            <w:r>
              <w:rPr>
                <w:rFonts w:hint="eastAsia"/>
                <w:color w:val="000000"/>
                <w:szCs w:val="21"/>
                <w:lang w:val="en-US" w:eastAsia="zh-CN"/>
              </w:rPr>
              <w:t>硫化氢</w:t>
            </w:r>
            <w:r>
              <w:rPr>
                <w:rFonts w:hint="eastAsia"/>
                <w:color w:val="000000"/>
                <w:szCs w:val="21"/>
                <w:lang w:eastAsia="zh-CN"/>
              </w:rPr>
              <w:t>无组织排放</w:t>
            </w:r>
            <w:r>
              <w:rPr>
                <w:rFonts w:hint="eastAsia"/>
                <w:color w:val="000000"/>
                <w:szCs w:val="21"/>
              </w:rPr>
              <w:t>执行《恶臭污染物排放标准》（GB</w:t>
            </w:r>
            <w:r>
              <w:rPr>
                <w:rFonts w:hint="eastAsia"/>
                <w:color w:val="000000"/>
                <w:szCs w:val="21"/>
                <w:lang w:val="en-US" w:eastAsia="zh-CN"/>
              </w:rPr>
              <w:t xml:space="preserve"> </w:t>
            </w:r>
            <w:r>
              <w:rPr>
                <w:rFonts w:hint="eastAsia"/>
                <w:color w:val="000000"/>
                <w:szCs w:val="21"/>
              </w:rPr>
              <w:t>1455</w:t>
            </w:r>
            <w:r>
              <w:rPr>
                <w:rFonts w:hint="eastAsia"/>
                <w:color w:val="000000"/>
                <w:szCs w:val="21"/>
                <w:lang w:val="en-US" w:eastAsia="zh-CN"/>
              </w:rPr>
              <w:t>4</w:t>
            </w:r>
            <w:r>
              <w:rPr>
                <w:rFonts w:hint="eastAsia"/>
                <w:color w:val="000000"/>
                <w:szCs w:val="21"/>
              </w:rPr>
              <w:t>-</w:t>
            </w:r>
            <w:r>
              <w:rPr>
                <w:rFonts w:hint="eastAsia"/>
                <w:color w:val="000000"/>
                <w:szCs w:val="21"/>
                <w:lang w:val="en-US" w:eastAsia="zh-CN"/>
              </w:rPr>
              <w:t>19</w:t>
            </w:r>
            <w:r>
              <w:rPr>
                <w:rFonts w:hint="eastAsia"/>
                <w:color w:val="000000"/>
                <w:szCs w:val="21"/>
              </w:rPr>
              <w:t>93）表1</w:t>
            </w:r>
            <w:r>
              <w:rPr>
                <w:rFonts w:hint="eastAsia"/>
                <w:color w:val="000000"/>
                <w:szCs w:val="21"/>
                <w:lang w:val="en-US" w:eastAsia="zh-CN"/>
              </w:rPr>
              <w:t>中恶臭污染物厂界二级</w:t>
            </w:r>
            <w:r>
              <w:rPr>
                <w:rFonts w:hint="eastAsia"/>
                <w:color w:val="000000"/>
                <w:szCs w:val="21"/>
              </w:rPr>
              <w:t>新</w:t>
            </w:r>
            <w:r>
              <w:rPr>
                <w:rFonts w:hint="eastAsia"/>
                <w:color w:val="000000"/>
                <w:szCs w:val="21"/>
                <w:lang w:eastAsia="zh-CN"/>
              </w:rPr>
              <w:t>扩改建</w:t>
            </w:r>
            <w:r>
              <w:rPr>
                <w:rFonts w:hint="eastAsia"/>
                <w:color w:val="000000"/>
                <w:szCs w:val="21"/>
              </w:rPr>
              <w:t>标准限值</w:t>
            </w:r>
            <w:r>
              <w:rPr>
                <w:rFonts w:hint="eastAsia"/>
                <w:color w:val="000000"/>
                <w:szCs w:val="21"/>
                <w:lang w:eastAsia="zh-CN"/>
              </w:rPr>
              <w:t>；臭气浓度执行《畜禽养殖业污染物排放标准》（GB</w:t>
            </w:r>
            <w:r>
              <w:rPr>
                <w:rFonts w:hint="eastAsia"/>
                <w:color w:val="000000"/>
                <w:szCs w:val="21"/>
                <w:lang w:val="en-US" w:eastAsia="zh-CN"/>
              </w:rPr>
              <w:t xml:space="preserve"> </w:t>
            </w:r>
            <w:r>
              <w:rPr>
                <w:rFonts w:hint="eastAsia"/>
                <w:color w:val="000000"/>
                <w:szCs w:val="21"/>
                <w:lang w:eastAsia="zh-CN"/>
              </w:rPr>
              <w:t>18596-2001）</w:t>
            </w:r>
            <w:r>
              <w:rPr>
                <w:rFonts w:hint="eastAsia"/>
                <w:color w:val="000000"/>
                <w:szCs w:val="21"/>
                <w:lang w:val="en-US" w:eastAsia="zh-CN"/>
              </w:rPr>
              <w:t>表7排放标准限值。饲料搅拌车间全封闭，饲料搅拌粉尘经搅拌机自带除尘设备处理后排放，厂界颗粒物无组织排放执行《大气污染物综合排放标准》（G</w:t>
            </w:r>
            <w:r>
              <w:rPr>
                <w:rFonts w:hint="eastAsia"/>
                <w:color w:val="000000"/>
                <w:szCs w:val="21"/>
              </w:rPr>
              <w:t>B</w:t>
            </w:r>
            <w:r>
              <w:rPr>
                <w:rFonts w:hint="eastAsia"/>
                <w:color w:val="000000"/>
                <w:szCs w:val="21"/>
                <w:lang w:val="en-US" w:eastAsia="zh-CN"/>
              </w:rPr>
              <w:t xml:space="preserve"> </w:t>
            </w:r>
            <w:r>
              <w:rPr>
                <w:rFonts w:hint="eastAsia"/>
                <w:color w:val="000000"/>
                <w:szCs w:val="21"/>
              </w:rPr>
              <w:t>16297-1996）表2中无组织排放监控浓度限值</w:t>
            </w:r>
            <w:r>
              <w:rPr>
                <w:rFonts w:hint="eastAsia"/>
                <w:color w:val="000000"/>
                <w:szCs w:val="21"/>
                <w:lang w:eastAsia="zh-CN"/>
              </w:rPr>
              <w:t>。</w:t>
            </w:r>
          </w:p>
          <w:p>
            <w:pPr>
              <w:spacing w:line="360" w:lineRule="auto"/>
              <w:jc w:val="left"/>
              <w:rPr>
                <w:rFonts w:hint="eastAsia"/>
                <w:color w:val="000000"/>
                <w:szCs w:val="21"/>
                <w:lang w:val="en-US" w:eastAsia="zh-CN"/>
              </w:rPr>
            </w:pPr>
            <w:r>
              <w:rPr>
                <w:rFonts w:hint="eastAsia"/>
                <w:color w:val="000000"/>
                <w:szCs w:val="21"/>
                <w:lang w:val="en-US" w:eastAsia="zh-CN"/>
              </w:rPr>
              <w:t>2、水污染防治措施。按照“雨污分流、清污分流、分质处理、回收利用”原则设计给排水。牛尿液、堆肥渗滤液和青贮池渗出液经收集掺入牛粪便中堆肥后还田，不外排；初期雨水收集后用于场区绿化；运动场雨水收集后拉运至煤矿生活污水处理站处理。生活污水经化粪池沉淀后，拉运至煤矿生活污水处理站</w:t>
            </w:r>
            <w:bookmarkStart w:id="0" w:name="_GoBack"/>
            <w:bookmarkEnd w:id="0"/>
            <w:r>
              <w:rPr>
                <w:rFonts w:hint="eastAsia"/>
                <w:color w:val="000000"/>
                <w:szCs w:val="21"/>
                <w:lang w:val="en-US" w:eastAsia="zh-CN"/>
              </w:rPr>
              <w:t>处理。</w:t>
            </w:r>
          </w:p>
          <w:p>
            <w:pPr>
              <w:spacing w:line="360" w:lineRule="auto"/>
              <w:jc w:val="left"/>
              <w:rPr>
                <w:rFonts w:hint="eastAsia"/>
                <w:color w:val="000000"/>
                <w:szCs w:val="21"/>
              </w:rPr>
            </w:pPr>
            <w:r>
              <w:rPr>
                <w:rFonts w:hint="eastAsia"/>
                <w:color w:val="000000"/>
                <w:szCs w:val="21"/>
                <w:lang w:val="en-US" w:eastAsia="zh-CN"/>
              </w:rPr>
              <w:t>3、噪声污染防治措施。通过选用低噪声设备，合理布局，基础减振和厂房隔声等措施，确保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2</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 18599-2020）处置一般固废，不得乱弃。牛粪、废垫料运至粪污生物处理车间堆肥后还田；病死牛尸体及胎盘暂存于医疗废物暂存间冷冻柜，及时委托内蒙古两宜生物科技有限公司无害化处理。医疗废物暂存间须严格按照《危险废物贮存污染控制标准》（GB 18597-2023）进行设计、建设和管理，医疗废物暂存于医疗废物暂存间，定期委托有资质单位处置。</w:t>
            </w:r>
          </w:p>
          <w:p>
            <w:pPr>
              <w:spacing w:line="360" w:lineRule="auto"/>
              <w:jc w:val="left"/>
              <w:rPr>
                <w:rFonts w:hint="eastAsia"/>
                <w:color w:val="000000"/>
                <w:szCs w:val="21"/>
                <w:lang w:val="en-US" w:eastAsia="zh-CN"/>
              </w:rPr>
            </w:pPr>
            <w:r>
              <w:rPr>
                <w:rFonts w:hint="eastAsia"/>
                <w:color w:val="000000"/>
                <w:szCs w:val="21"/>
                <w:lang w:val="en-US" w:eastAsia="zh-CN"/>
              </w:rPr>
              <w:t>5、切实落实土壤和地下水污染防治措施。严格按照《环境影响评价技术导则地下水》(HJ 610-2016)等要求，对厂区采取分区防渗措施，加强防渗设施的日常维护，确保防渗设施牢固安全。依据《地下水环境监测技术规范》(HJ 164-2020)、《排污单位自行监测技术指南畜禽养殖行业》(HJ 1252-2022)中的要求，建立完善的土壤和地下水监测制度，确保及时发现并处理厂区渗漏情况。</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你单位在该项目环保申报过程中如有瞒报、假报情形，则是严重的违法行为，须承担因此产生的一切后果。项目在取得用地、林草等</w:t>
            </w:r>
            <w:r>
              <w:rPr>
                <w:rFonts w:hint="eastAsia"/>
                <w:color w:val="000000"/>
                <w:szCs w:val="21"/>
                <w:lang w:val="en-US" w:eastAsia="zh-CN"/>
              </w:rPr>
              <w:t>手续</w:t>
            </w:r>
            <w:r>
              <w:rPr>
                <w:rFonts w:hint="eastAsia"/>
                <w:color w:val="000000"/>
                <w:szCs w:val="21"/>
              </w:rPr>
              <w:t>后方可开工建设</w:t>
            </w:r>
            <w:r>
              <w:rPr>
                <w:rFonts w:hint="eastAsia"/>
                <w:color w:val="000000"/>
                <w:szCs w:val="21"/>
                <w:lang w:eastAsia="zh-CN"/>
              </w:rPr>
              <w:t>，</w:t>
            </w:r>
            <w:r>
              <w:rPr>
                <w:rFonts w:hint="eastAsia"/>
                <w:color w:val="000000"/>
                <w:szCs w:val="21"/>
                <w:lang w:val="en-US" w:eastAsia="zh-CN"/>
              </w:rPr>
              <w:t>在实施过程中发现文物古迹应立即停止施工并报告有关部门进行妥善处理。</w:t>
            </w:r>
            <w:r>
              <w:rPr>
                <w:rFonts w:hint="eastAsia"/>
                <w:color w:val="000000"/>
                <w:szCs w:val="21"/>
              </w:rPr>
              <w:t>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w:t>
            </w:r>
            <w:r>
              <w:rPr>
                <w:rFonts w:hint="eastAsia"/>
                <w:color w:val="000000"/>
                <w:szCs w:val="21"/>
                <w:lang w:eastAsia="zh-CN"/>
              </w:rPr>
              <w:t>报告书</w:t>
            </w:r>
            <w:r>
              <w:rPr>
                <w:rFonts w:hint="eastAsia"/>
                <w:color w:val="000000"/>
                <w:szCs w:val="21"/>
              </w:rPr>
              <w:t>》（报批版）及批复文件送至鄂尔多斯市生态环境综合行政执法支队东胜区大队，由鄂尔多斯市生态环境综合行政执法支队东胜区大队负责该项目的事中事后监管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3194483"/>
    <w:rsid w:val="3E062DA7"/>
    <w:rsid w:val="497150DD"/>
    <w:rsid w:val="4AD11E12"/>
    <w:rsid w:val="4DE41872"/>
    <w:rsid w:val="54973A8B"/>
    <w:rsid w:val="5E371149"/>
    <w:rsid w:val="6123396D"/>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semiHidden/>
    <w:unhideWhenUsed/>
    <w:qFormat/>
    <w:uiPriority w:val="99"/>
    <w:pPr>
      <w:ind w:firstLine="420" w:firstLineChars="200"/>
    </w:pPr>
  </w:style>
  <w:style w:type="paragraph" w:styleId="3">
    <w:name w:val="Body Text"/>
    <w:basedOn w:val="1"/>
    <w:qFormat/>
    <w:uiPriority w:val="99"/>
    <w:pPr>
      <w:spacing w:after="120"/>
    </w:pPr>
    <w:rPr>
      <w:rFonts w:ascii="Calibri" w:hAnsi="Calibri"/>
      <w:szCs w:val="22"/>
    </w:rPr>
  </w:style>
  <w:style w:type="paragraph" w:styleId="4">
    <w:name w:val="Body Text Indent"/>
    <w:basedOn w:val="1"/>
    <w:next w:val="1"/>
    <w:qFormat/>
    <w:uiPriority w:val="99"/>
    <w:pPr>
      <w:ind w:left="420" w:leftChars="200"/>
    </w:pPr>
  </w:style>
  <w:style w:type="paragraph" w:styleId="5">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oc 2"/>
    <w:basedOn w:val="1"/>
    <w:next w:val="1"/>
    <w:unhideWhenUsed/>
    <w:qFormat/>
    <w:uiPriority w:val="39"/>
    <w:pPr>
      <w:ind w:left="420" w:leftChars="200"/>
    </w:pPr>
  </w:style>
  <w:style w:type="paragraph" w:styleId="8">
    <w:name w:val="Body Text 2"/>
    <w:basedOn w:val="1"/>
    <w:next w:val="1"/>
    <w:qFormat/>
    <w:uiPriority w:val="0"/>
    <w:pPr>
      <w:spacing w:after="120" w:line="480" w:lineRule="auto"/>
    </w:pPr>
  </w:style>
  <w:style w:type="paragraph" w:styleId="9">
    <w:name w:val="Body Text First Indent 2"/>
    <w:basedOn w:val="4"/>
    <w:next w:val="1"/>
    <w:qFormat/>
    <w:uiPriority w:val="99"/>
    <w:pPr>
      <w:spacing w:line="240" w:lineRule="auto"/>
      <w:ind w:firstLine="420"/>
    </w:pPr>
  </w:style>
  <w:style w:type="character" w:customStyle="1" w:styleId="12">
    <w:name w:val="页眉 字符"/>
    <w:basedOn w:val="11"/>
    <w:link w:val="6"/>
    <w:qFormat/>
    <w:uiPriority w:val="99"/>
    <w:rPr>
      <w:sz w:val="18"/>
      <w:szCs w:val="18"/>
    </w:rPr>
  </w:style>
  <w:style w:type="character" w:customStyle="1" w:styleId="13">
    <w:name w:val="页脚 字符"/>
    <w:basedOn w:val="11"/>
    <w:link w:val="5"/>
    <w:qFormat/>
    <w:uiPriority w:val="99"/>
    <w:rPr>
      <w:sz w:val="18"/>
      <w:szCs w:val="18"/>
    </w:rPr>
  </w:style>
  <w:style w:type="character" w:customStyle="1" w:styleId="14">
    <w:name w:val="NormalCharacter"/>
    <w:semiHidden/>
    <w:qFormat/>
    <w:uiPriority w:val="99"/>
  </w:style>
  <w:style w:type="paragraph" w:customStyle="1" w:styleId="15">
    <w:name w:val="图表"/>
    <w:basedOn w:val="4"/>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1878</Words>
  <Characters>2042</Characters>
  <Lines>11</Lines>
  <Paragraphs>3</Paragraphs>
  <TotalTime>0</TotalTime>
  <ScaleCrop>false</ScaleCrop>
  <LinksUpToDate>false</LinksUpToDate>
  <CharactersWithSpaces>2099</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lenovo</cp:lastModifiedBy>
  <dcterms:modified xsi:type="dcterms:W3CDTF">2025-01-09T03:20:06Z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8A8837DC28804F048B97D671515894C8_12</vt:lpwstr>
  </property>
  <property fmtid="{D5CDD505-2E9C-101B-9397-08002B2CF9AE}" pid="4" name="KSOTemplateDocerSaveRecord">
    <vt:lpwstr>eyJoZGlkIjoiN2NkOWEyMzg4ODM4OWEwZGQ3MGM0NDRjN2ZjZDY2MWEiLCJ1c2VySWQiOiIzMzQyNjE5NjcifQ==</vt:lpwstr>
  </property>
</Properties>
</file>