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color w:val="000000"/>
                <w:szCs w:val="21"/>
              </w:rPr>
              <w:t>鄂尔多斯市鼎势再生资源有限责任公司小微企业危险废物收集试点迁建项目</w:t>
            </w:r>
          </w:p>
        </w:tc>
        <w:tc>
          <w:tcPr>
            <w:tcW w:w="397" w:type="dxa"/>
            <w:vAlign w:val="center"/>
          </w:tcPr>
          <w:p w14:paraId="53D2BE93">
            <w:pPr>
              <w:spacing w:line="600" w:lineRule="exact"/>
              <w:jc w:val="center"/>
              <w:rPr>
                <w:color w:val="000000"/>
                <w:szCs w:val="21"/>
              </w:rPr>
            </w:pPr>
            <w:r>
              <w:rPr>
                <w:rFonts w:hint="eastAsia"/>
                <w:color w:val="000000"/>
                <w:szCs w:val="21"/>
              </w:rPr>
              <w:t>内蒙古自治区鄂尔多斯市东胜区铜川镇万立再生资源产业园区</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鄂尔多斯市鼎势再生资源有限责任公司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kern w:val="2"/>
                <w:sz w:val="21"/>
                <w:szCs w:val="22"/>
                <w:lang w:val="en-US" w:eastAsia="zh-CN" w:bidi="ar-SA"/>
              </w:rPr>
              <w:t>内蒙古希隆环保科技有限公司</w:t>
            </w:r>
          </w:p>
        </w:tc>
        <w:tc>
          <w:tcPr>
            <w:tcW w:w="2555" w:type="dxa"/>
            <w:vAlign w:val="center"/>
          </w:tcPr>
          <w:p w14:paraId="0CDA0302">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该项目属于</w:t>
            </w:r>
            <w:r>
              <w:rPr>
                <w:rFonts w:hint="eastAsia"/>
                <w:color w:val="000000"/>
                <w:szCs w:val="21"/>
                <w:lang w:val="en-US" w:eastAsia="zh-CN"/>
              </w:rPr>
              <w:t>迁</w:t>
            </w:r>
            <w:r>
              <w:rPr>
                <w:rFonts w:hint="eastAsia"/>
                <w:color w:val="000000"/>
                <w:szCs w:val="21"/>
              </w:rPr>
              <w:t>建项目</w:t>
            </w:r>
            <w:r>
              <w:rPr>
                <w:rFonts w:hint="eastAsia"/>
                <w:color w:val="000000"/>
                <w:szCs w:val="21"/>
                <w:lang w:val="en-US" w:eastAsia="zh-CN"/>
              </w:rPr>
              <w:t>，位于</w:t>
            </w:r>
            <w:r>
              <w:rPr>
                <w:rFonts w:hint="eastAsia"/>
                <w:color w:val="000000"/>
                <w:szCs w:val="21"/>
              </w:rPr>
              <w:t>东胜区铜川镇万立再生资源产业园区</w:t>
            </w:r>
            <w:r>
              <w:rPr>
                <w:rFonts w:hint="eastAsia"/>
                <w:color w:val="000000"/>
                <w:szCs w:val="21"/>
                <w:lang w:val="en-US" w:eastAsia="zh-CN"/>
              </w:rPr>
              <w:t>(原址西北475米处)。项目总占</w:t>
            </w:r>
            <w:r>
              <w:rPr>
                <w:rFonts w:hint="eastAsia"/>
                <w:color w:val="000000"/>
                <w:szCs w:val="21"/>
              </w:rPr>
              <w:t>地面</w:t>
            </w:r>
            <w:r>
              <w:rPr>
                <w:rFonts w:hint="eastAsia"/>
                <w:color w:val="000000"/>
                <w:szCs w:val="21"/>
                <w:lang w:val="en-US" w:eastAsia="zh-CN"/>
              </w:rPr>
              <w:t>积2063.3平方米</w:t>
            </w:r>
            <w:r>
              <w:rPr>
                <w:rFonts w:hint="eastAsia"/>
                <w:color w:val="000000"/>
                <w:szCs w:val="21"/>
              </w:rPr>
              <w:t>，总投资</w:t>
            </w:r>
            <w:r>
              <w:rPr>
                <w:rFonts w:hint="eastAsia"/>
                <w:color w:val="000000"/>
                <w:szCs w:val="21"/>
                <w:lang w:val="en-US" w:eastAsia="zh-CN"/>
              </w:rPr>
              <w:t>65</w:t>
            </w:r>
            <w:r>
              <w:rPr>
                <w:rFonts w:hint="eastAsia"/>
                <w:color w:val="000000"/>
                <w:szCs w:val="21"/>
              </w:rPr>
              <w:t>万元，</w:t>
            </w:r>
            <w:r>
              <w:rPr>
                <w:rFonts w:hint="eastAsia"/>
                <w:color w:val="000000"/>
                <w:szCs w:val="21"/>
                <w:lang w:eastAsia="zh-CN"/>
              </w:rPr>
              <w:t>其中</w:t>
            </w:r>
            <w:r>
              <w:rPr>
                <w:rFonts w:hint="eastAsia"/>
                <w:color w:val="000000"/>
                <w:szCs w:val="21"/>
              </w:rPr>
              <w:t>环保投资</w:t>
            </w:r>
            <w:r>
              <w:rPr>
                <w:rFonts w:hint="eastAsia"/>
                <w:color w:val="000000"/>
                <w:szCs w:val="21"/>
                <w:lang w:val="en-US" w:eastAsia="zh-CN"/>
              </w:rPr>
              <w:t>45.02万元</w:t>
            </w:r>
            <w:r>
              <w:rPr>
                <w:rFonts w:hint="eastAsia"/>
                <w:color w:val="000000"/>
                <w:szCs w:val="21"/>
              </w:rPr>
              <w:t>。</w:t>
            </w:r>
            <w:r>
              <w:rPr>
                <w:rFonts w:hint="eastAsia"/>
                <w:color w:val="000000"/>
                <w:szCs w:val="21"/>
                <w:lang w:val="en-US" w:eastAsia="zh-CN"/>
              </w:rPr>
              <w:t>主要建设内容及规模：将现有仓库改建为两间危险废物贮存库，1#危险废物贮存库设有10个贮存区，占地780平方米；2#危险废物贮存库设有6个贮存区，占地为560平方米 ；危险废物贮存库内配套建设导流渠、废液收集池，厂区内建设应急事故池等配套设施以及其他相关公辅工程和环保工程。项目建成后可收集、贮存鄂尔多斯市各小微企业产生的各类危险废物16类，规模为5000吨/年。</w:t>
            </w:r>
          </w:p>
        </w:tc>
        <w:tc>
          <w:tcPr>
            <w:tcW w:w="4877" w:type="dxa"/>
            <w:vAlign w:val="center"/>
          </w:tcPr>
          <w:p w14:paraId="78BA70D7">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0E7E010">
            <w:pPr>
              <w:spacing w:line="360" w:lineRule="auto"/>
              <w:jc w:val="left"/>
              <w:rPr>
                <w:rFonts w:hint="eastAsia"/>
                <w:color w:val="000000"/>
                <w:szCs w:val="21"/>
              </w:rPr>
            </w:pPr>
            <w:r>
              <w:rPr>
                <w:rFonts w:hint="eastAsia"/>
                <w:color w:val="000000"/>
                <w:szCs w:val="21"/>
              </w:rPr>
              <w:t>二、在项目工程设计、建设和环境管理中，你单位必须严格落实《报告表》中提出的各项环保措施和要求，确保各项污染物稳定达标排放，并须着重做好以下工作：</w:t>
            </w:r>
          </w:p>
          <w:p w14:paraId="1EA3E807">
            <w:pPr>
              <w:spacing w:line="360" w:lineRule="auto"/>
              <w:jc w:val="left"/>
              <w:rPr>
                <w:rFonts w:hint="eastAsia"/>
                <w:color w:val="000000"/>
                <w:szCs w:val="21"/>
              </w:rPr>
            </w:pPr>
            <w:r>
              <w:rPr>
                <w:rFonts w:hint="eastAsia"/>
                <w:color w:val="000000"/>
                <w:szCs w:val="21"/>
              </w:rPr>
              <w:t>（一）严格落实施工期污染防治措施</w:t>
            </w:r>
          </w:p>
          <w:p w14:paraId="4CA4398E">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加强施工期环境管理，配备足够的洒水车等防尘设备，有效控制施工期物料装卸</w:t>
            </w:r>
            <w:r>
              <w:rPr>
                <w:rFonts w:hint="eastAsia"/>
                <w:color w:val="000000"/>
                <w:szCs w:val="21"/>
                <w:lang w:val="en-US" w:eastAsia="zh-CN"/>
              </w:rPr>
              <w:t>和</w:t>
            </w:r>
            <w:r>
              <w:rPr>
                <w:rFonts w:hint="eastAsia"/>
                <w:color w:val="000000"/>
                <w:szCs w:val="21"/>
              </w:rPr>
              <w:t>物料运输过程中产生的扬尘污染。</w:t>
            </w:r>
            <w:r>
              <w:rPr>
                <w:rFonts w:hint="eastAsia"/>
                <w:color w:val="000000"/>
                <w:szCs w:val="21"/>
                <w:lang w:val="en-US" w:eastAsia="zh-CN"/>
              </w:rPr>
              <w:t>施工期大气污染物排放执行《大气污染物综合排放标准》（GB16297-1996）表2中无组织排放监控浓度限值。</w:t>
            </w:r>
          </w:p>
          <w:p w14:paraId="759EEC48">
            <w:pPr>
              <w:spacing w:line="360" w:lineRule="auto"/>
              <w:jc w:val="left"/>
              <w:rPr>
                <w:rFonts w:hint="eastAsia"/>
                <w:color w:val="000000"/>
                <w:szCs w:val="21"/>
                <w:lang w:val="en-US" w:eastAsia="zh-CN"/>
              </w:rPr>
            </w:pPr>
            <w:r>
              <w:rPr>
                <w:rFonts w:hint="eastAsia"/>
                <w:color w:val="000000"/>
                <w:szCs w:val="21"/>
                <w:lang w:val="en-US" w:eastAsia="zh-CN"/>
              </w:rPr>
              <w:t>2、施工人员生活污水</w:t>
            </w:r>
            <w:r>
              <w:rPr>
                <w:rFonts w:hint="eastAsia"/>
                <w:color w:val="000000"/>
                <w:szCs w:val="21"/>
              </w:rPr>
              <w:t>依托园区环卫设施</w:t>
            </w:r>
            <w:r>
              <w:rPr>
                <w:rFonts w:hint="eastAsia"/>
                <w:color w:val="000000"/>
                <w:szCs w:val="21"/>
                <w:lang w:val="en-US" w:eastAsia="zh-CN"/>
              </w:rPr>
              <w:t>。</w:t>
            </w:r>
          </w:p>
          <w:p w14:paraId="3A580C3C">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36E3133C">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72993596">
            <w:pPr>
              <w:spacing w:line="360" w:lineRule="auto"/>
              <w:jc w:val="left"/>
              <w:rPr>
                <w:rFonts w:hint="eastAsia"/>
                <w:color w:val="000000"/>
                <w:szCs w:val="21"/>
              </w:rPr>
            </w:pPr>
            <w:r>
              <w:rPr>
                <w:rFonts w:hint="eastAsia"/>
                <w:color w:val="000000"/>
                <w:szCs w:val="21"/>
              </w:rPr>
              <w:t>（二）严格落实运营期污染防治措施</w:t>
            </w:r>
          </w:p>
          <w:p w14:paraId="1E4612B6">
            <w:pPr>
              <w:spacing w:line="360" w:lineRule="auto"/>
              <w:jc w:val="left"/>
              <w:rPr>
                <w:rFonts w:hint="eastAsia"/>
                <w:color w:val="000000"/>
                <w:szCs w:val="21"/>
              </w:rPr>
            </w:pPr>
            <w:r>
              <w:rPr>
                <w:rFonts w:hint="eastAsia"/>
                <w:color w:val="000000"/>
                <w:szCs w:val="21"/>
                <w:lang w:val="en-US" w:eastAsia="zh-CN"/>
              </w:rPr>
              <w:t>1、</w:t>
            </w:r>
            <w:r>
              <w:rPr>
                <w:rFonts w:hint="eastAsia"/>
                <w:color w:val="000000"/>
                <w:szCs w:val="21"/>
              </w:rPr>
              <w:t>运营期1#危险废物贮存库</w:t>
            </w:r>
            <w:r>
              <w:rPr>
                <w:rFonts w:hint="eastAsia"/>
                <w:color w:val="000000"/>
                <w:szCs w:val="21"/>
                <w:lang w:eastAsia="zh-CN"/>
              </w:rPr>
              <w:t>废气</w:t>
            </w:r>
            <w:r>
              <w:rPr>
                <w:rFonts w:hint="eastAsia"/>
                <w:color w:val="000000"/>
                <w:szCs w:val="21"/>
                <w:lang w:val="en-US" w:eastAsia="zh-CN"/>
              </w:rPr>
              <w:t>经</w:t>
            </w:r>
            <w:r>
              <w:rPr>
                <w:rFonts w:hint="eastAsia"/>
                <w:color w:val="000000"/>
                <w:szCs w:val="21"/>
                <w:lang w:eastAsia="zh-CN"/>
              </w:rPr>
              <w:t>收集处理后</w:t>
            </w:r>
            <w:r>
              <w:rPr>
                <w:rFonts w:hint="eastAsia"/>
                <w:color w:val="000000"/>
                <w:szCs w:val="21"/>
                <w:lang w:val="en-US" w:eastAsia="zh-CN"/>
              </w:rPr>
              <w:t>由1根15米高排气筒排放，其中</w:t>
            </w:r>
            <w:r>
              <w:rPr>
                <w:rFonts w:hint="eastAsia"/>
                <w:color w:val="000000"/>
                <w:szCs w:val="21"/>
              </w:rPr>
              <w:t>非甲烷总烃执行《大气污染物综合排放标准》（GB16297-1996）表2</w:t>
            </w:r>
            <w:r>
              <w:rPr>
                <w:rFonts w:hint="eastAsia"/>
                <w:color w:val="000000"/>
                <w:szCs w:val="21"/>
                <w:lang w:val="en-US" w:eastAsia="zh-CN"/>
              </w:rPr>
              <w:t>中</w:t>
            </w:r>
            <w:r>
              <w:rPr>
                <w:rFonts w:hint="eastAsia"/>
                <w:color w:val="000000"/>
                <w:szCs w:val="21"/>
              </w:rPr>
              <w:t>二级标准</w:t>
            </w:r>
            <w:r>
              <w:rPr>
                <w:rFonts w:hint="eastAsia"/>
                <w:color w:val="000000"/>
                <w:szCs w:val="21"/>
                <w:lang w:eastAsia="zh-CN"/>
              </w:rPr>
              <w:t>，</w:t>
            </w:r>
            <w:r>
              <w:rPr>
                <w:rFonts w:hint="eastAsia"/>
                <w:color w:val="000000"/>
                <w:szCs w:val="21"/>
              </w:rPr>
              <w:t>臭气浓度执行《恶臭污染物排放标准》（GB14554-1993）表2</w:t>
            </w:r>
            <w:r>
              <w:rPr>
                <w:rFonts w:hint="eastAsia"/>
                <w:color w:val="000000"/>
                <w:szCs w:val="21"/>
                <w:lang w:val="en-US" w:eastAsia="zh-CN"/>
              </w:rPr>
              <w:t>中</w:t>
            </w:r>
            <w:r>
              <w:rPr>
                <w:rFonts w:hint="eastAsia"/>
                <w:color w:val="000000"/>
                <w:szCs w:val="21"/>
                <w:lang w:eastAsia="zh-CN"/>
              </w:rPr>
              <w:t>标准限值；</w:t>
            </w:r>
            <w:r>
              <w:rPr>
                <w:rFonts w:hint="eastAsia"/>
                <w:color w:val="000000"/>
                <w:szCs w:val="21"/>
                <w:lang w:val="en-US" w:eastAsia="zh-CN"/>
              </w:rPr>
              <w:t>2</w:t>
            </w:r>
            <w:r>
              <w:rPr>
                <w:rFonts w:hint="eastAsia"/>
                <w:color w:val="000000"/>
                <w:szCs w:val="21"/>
              </w:rPr>
              <w:t>#危险废物贮存库</w:t>
            </w:r>
            <w:r>
              <w:rPr>
                <w:rFonts w:hint="eastAsia"/>
                <w:color w:val="000000"/>
                <w:szCs w:val="21"/>
                <w:lang w:eastAsia="zh-CN"/>
              </w:rPr>
              <w:t>酸雾</w:t>
            </w:r>
            <w:r>
              <w:rPr>
                <w:rFonts w:hint="eastAsia"/>
                <w:color w:val="000000"/>
                <w:szCs w:val="21"/>
                <w:lang w:val="en-US" w:eastAsia="zh-CN"/>
              </w:rPr>
              <w:t>经</w:t>
            </w:r>
            <w:r>
              <w:rPr>
                <w:rFonts w:hint="eastAsia"/>
                <w:color w:val="000000"/>
                <w:szCs w:val="21"/>
                <w:lang w:eastAsia="zh-CN"/>
              </w:rPr>
              <w:t>收集处理后</w:t>
            </w:r>
            <w:r>
              <w:rPr>
                <w:rFonts w:hint="eastAsia"/>
                <w:color w:val="000000"/>
                <w:szCs w:val="21"/>
                <w:lang w:val="en-US" w:eastAsia="zh-CN"/>
              </w:rPr>
              <w:t>由另1根15米高排气筒排放，</w:t>
            </w:r>
            <w:r>
              <w:rPr>
                <w:rFonts w:hint="eastAsia"/>
                <w:color w:val="000000"/>
                <w:szCs w:val="21"/>
              </w:rPr>
              <w:t>执行《大气污染物综合排放标准》（GB16297-1996）表2</w:t>
            </w:r>
            <w:r>
              <w:rPr>
                <w:rFonts w:hint="eastAsia"/>
                <w:color w:val="000000"/>
                <w:szCs w:val="21"/>
                <w:lang w:val="en-US" w:eastAsia="zh-CN"/>
              </w:rPr>
              <w:t>中</w:t>
            </w:r>
            <w:r>
              <w:rPr>
                <w:rFonts w:hint="eastAsia"/>
                <w:color w:val="000000"/>
                <w:szCs w:val="21"/>
              </w:rPr>
              <w:t>二级标准</w:t>
            </w:r>
            <w:r>
              <w:rPr>
                <w:rFonts w:hint="eastAsia"/>
                <w:color w:val="000000"/>
                <w:szCs w:val="21"/>
                <w:lang w:eastAsia="zh-CN"/>
              </w:rPr>
              <w:t>。</w:t>
            </w:r>
            <w:r>
              <w:rPr>
                <w:rFonts w:hint="eastAsia"/>
                <w:color w:val="000000"/>
                <w:szCs w:val="21"/>
              </w:rPr>
              <w:t>非甲烷总烃、酸雾</w:t>
            </w:r>
            <w:r>
              <w:rPr>
                <w:rFonts w:hint="eastAsia"/>
                <w:color w:val="000000"/>
                <w:szCs w:val="21"/>
                <w:lang w:eastAsia="zh-CN"/>
              </w:rPr>
              <w:t>无组织排放</w:t>
            </w:r>
            <w:r>
              <w:rPr>
                <w:rFonts w:hint="eastAsia"/>
                <w:color w:val="000000"/>
                <w:szCs w:val="21"/>
              </w:rPr>
              <w:t>执行《大气污染物综合排放标准》（GB16297-1996）表2中无组织排放监控浓度限值。臭气浓度无组织排放执行《恶臭污染物排放标准》（GB14554-1993）表1</w:t>
            </w:r>
            <w:r>
              <w:rPr>
                <w:rFonts w:hint="eastAsia"/>
                <w:color w:val="000000"/>
                <w:szCs w:val="21"/>
                <w:lang w:val="en-US" w:eastAsia="zh-CN"/>
              </w:rPr>
              <w:t>中恶臭污染物厂界二级</w:t>
            </w:r>
            <w:r>
              <w:rPr>
                <w:rFonts w:hint="eastAsia"/>
                <w:color w:val="000000"/>
                <w:szCs w:val="21"/>
              </w:rPr>
              <w:t>新</w:t>
            </w:r>
            <w:r>
              <w:rPr>
                <w:rFonts w:hint="eastAsia"/>
                <w:color w:val="000000"/>
                <w:szCs w:val="21"/>
                <w:lang w:eastAsia="zh-CN"/>
              </w:rPr>
              <w:t>扩改建</w:t>
            </w:r>
            <w:r>
              <w:rPr>
                <w:rFonts w:hint="eastAsia"/>
                <w:color w:val="000000"/>
                <w:szCs w:val="21"/>
              </w:rPr>
              <w:t>标准限值</w:t>
            </w:r>
            <w:r>
              <w:rPr>
                <w:rFonts w:hint="eastAsia"/>
                <w:color w:val="000000"/>
                <w:szCs w:val="21"/>
                <w:lang w:eastAsia="zh-CN"/>
              </w:rPr>
              <w:t>。</w:t>
            </w:r>
          </w:p>
          <w:p w14:paraId="724DAE9D">
            <w:pPr>
              <w:spacing w:line="360" w:lineRule="auto"/>
              <w:jc w:val="left"/>
              <w:rPr>
                <w:rFonts w:hint="eastAsia"/>
                <w:color w:val="000000"/>
                <w:szCs w:val="21"/>
              </w:rPr>
            </w:pPr>
            <w:r>
              <w:rPr>
                <w:rFonts w:hint="eastAsia"/>
                <w:color w:val="000000"/>
                <w:szCs w:val="21"/>
                <w:lang w:val="en-US" w:eastAsia="zh-CN"/>
              </w:rPr>
              <w:t>2、</w:t>
            </w:r>
            <w:r>
              <w:rPr>
                <w:rFonts w:hint="eastAsia"/>
                <w:color w:val="000000"/>
                <w:szCs w:val="21"/>
              </w:rPr>
              <w:t>运营期不产生生产废水</w:t>
            </w:r>
            <w:r>
              <w:rPr>
                <w:rFonts w:hint="eastAsia"/>
                <w:color w:val="000000"/>
                <w:szCs w:val="21"/>
                <w:lang w:eastAsia="zh-CN"/>
              </w:rPr>
              <w:t>，生活污水</w:t>
            </w:r>
            <w:r>
              <w:rPr>
                <w:rFonts w:hint="eastAsia"/>
                <w:color w:val="000000"/>
                <w:szCs w:val="21"/>
              </w:rPr>
              <w:t>依托园区环卫设施。</w:t>
            </w:r>
          </w:p>
          <w:p w14:paraId="1BCC86F0">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运营期厂界噪声执行《工业企业厂界环境噪声排放标准》（GB12348-2008）中</w:t>
            </w:r>
            <w:r>
              <w:rPr>
                <w:rFonts w:hint="eastAsia"/>
                <w:color w:val="000000"/>
                <w:szCs w:val="21"/>
                <w:lang w:val="en-US" w:eastAsia="zh-CN"/>
              </w:rPr>
              <w:t>3</w:t>
            </w:r>
            <w:r>
              <w:rPr>
                <w:rFonts w:hint="eastAsia"/>
                <w:color w:val="000000"/>
                <w:szCs w:val="21"/>
              </w:rPr>
              <w:t>类标准。</w:t>
            </w:r>
          </w:p>
          <w:p w14:paraId="0EA7D2A0">
            <w:pPr>
              <w:spacing w:line="360" w:lineRule="auto"/>
              <w:jc w:val="left"/>
              <w:rPr>
                <w:rFonts w:hint="eastAsia"/>
                <w:color w:val="000000"/>
                <w:szCs w:val="21"/>
                <w:lang w:val="en-US" w:eastAsia="zh-CN"/>
              </w:rPr>
            </w:pPr>
            <w:r>
              <w:rPr>
                <w:rFonts w:hint="eastAsia"/>
                <w:color w:val="000000"/>
                <w:szCs w:val="21"/>
                <w:lang w:val="en-US" w:eastAsia="zh-CN"/>
              </w:rPr>
              <w:t>4、</w:t>
            </w:r>
            <w:r>
              <w:rPr>
                <w:rFonts w:hint="eastAsia"/>
                <w:color w:val="000000"/>
                <w:szCs w:val="21"/>
              </w:rPr>
              <w:t>妥善处置各类固体废弃物。建设单位须严格按照《一般工业固体废物贮存和填埋污染控制标准》（GB18599-2020）处置一般固废，不得乱弃。</w:t>
            </w:r>
            <w:r>
              <w:rPr>
                <w:rFonts w:hint="eastAsia"/>
                <w:color w:val="000000"/>
                <w:szCs w:val="21"/>
                <w:lang w:eastAsia="zh-CN"/>
              </w:rPr>
              <w:t>危险废物</w:t>
            </w:r>
            <w:r>
              <w:rPr>
                <w:rFonts w:hint="eastAsia"/>
                <w:color w:val="000000"/>
                <w:szCs w:val="21"/>
              </w:rPr>
              <w:t>贮存库须严格按照《危险废物贮存污染控制标准》（GB18597-2023）进行设计、建设和管理。危险废物收集和运输等均按照《危险废物收集 贮存 运输技术规范》(HJ2025-2012)要求执行。危废必须由有资质单位处置。</w:t>
            </w:r>
            <w:r>
              <w:rPr>
                <w:rFonts w:hint="eastAsia"/>
                <w:color w:val="000000"/>
                <w:szCs w:val="21"/>
                <w:lang w:val="en-US" w:eastAsia="zh-CN"/>
              </w:rPr>
              <w:t>非正常情况下泄露的危险废物及冲洗水进入应急事故池中，收集后交由有资质单位处置。</w:t>
            </w:r>
          </w:p>
          <w:p w14:paraId="7B71E8D3">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14:paraId="14AED3C3">
            <w:pPr>
              <w:spacing w:line="360" w:lineRule="auto"/>
              <w:jc w:val="left"/>
              <w:rPr>
                <w:rFonts w:hint="eastAsia"/>
                <w:color w:val="000000"/>
                <w:szCs w:val="21"/>
                <w:lang w:val="en-US" w:eastAsia="zh-CN"/>
              </w:rPr>
            </w:pPr>
            <w:r>
              <w:rPr>
                <w:rFonts w:hint="eastAsia"/>
                <w:color w:val="000000"/>
                <w:szCs w:val="21"/>
                <w:lang w:val="en-US" w:eastAsia="zh-CN"/>
              </w:rPr>
              <w:t>6、强化环境风险防范，提高事故风险防范和污染控制能力。加强危险废物收集和储运管理，加快危险废物转运频次，严格按照贮存能力进行贮存，不得超期超量堆存；配备必要的应急物资和个人防护设备，保障事故污水不进入外环境。制定突发环境事件应急预案，与当地政府及相关单位应急预案实施联动，定期组织开展应急演练，严格落实各项应急管理及环境风险防范措施，一旦出现问题及时妥善处理。</w:t>
            </w:r>
          </w:p>
          <w:p w14:paraId="7C8D9333">
            <w:pPr>
              <w:spacing w:line="360" w:lineRule="auto"/>
              <w:jc w:val="left"/>
              <w:rPr>
                <w:rFonts w:hint="eastAsia"/>
                <w:color w:val="000000"/>
                <w:szCs w:val="21"/>
                <w:lang w:val="en-US" w:eastAsia="zh-CN"/>
              </w:rPr>
            </w:pPr>
            <w:r>
              <w:rPr>
                <w:rFonts w:hint="eastAsia"/>
                <w:color w:val="000000"/>
                <w:szCs w:val="21"/>
                <w:lang w:val="en-US" w:eastAsia="zh-CN"/>
              </w:rPr>
              <w:t>7、你公司应按照</w:t>
            </w:r>
            <w:r>
              <w:rPr>
                <w:rFonts w:hint="eastAsia"/>
                <w:color w:val="000000"/>
                <w:szCs w:val="21"/>
                <w:lang w:val="en-US"/>
              </w:rPr>
              <w:t>《危险废物</w:t>
            </w:r>
            <w:r>
              <w:rPr>
                <w:rFonts w:hint="eastAsia"/>
                <w:color w:val="000000"/>
                <w:szCs w:val="21"/>
                <w:lang w:val="en-US" w:eastAsia="zh-CN"/>
              </w:rPr>
              <w:t>经营许可证管理办法</w:t>
            </w:r>
            <w:r>
              <w:rPr>
                <w:rFonts w:hint="eastAsia"/>
                <w:color w:val="000000"/>
                <w:szCs w:val="21"/>
                <w:lang w:val="en-US"/>
              </w:rPr>
              <w:t>》</w:t>
            </w:r>
            <w:r>
              <w:rPr>
                <w:rFonts w:hint="eastAsia"/>
                <w:color w:val="000000"/>
                <w:szCs w:val="21"/>
                <w:lang w:val="en-US" w:eastAsia="zh-CN"/>
              </w:rPr>
              <w:t>规定获得经营许可证，严禁无经营许可证或者不按照经营许可证规定从事危险废物收集、贮存经营活动。</w:t>
            </w:r>
          </w:p>
          <w:p w14:paraId="288E568C">
            <w:pPr>
              <w:spacing w:line="360" w:lineRule="auto"/>
              <w:jc w:val="left"/>
              <w:rPr>
                <w:rFonts w:hint="eastAsia"/>
                <w:color w:val="000000"/>
                <w:szCs w:val="21"/>
              </w:rPr>
            </w:pPr>
            <w:r>
              <w:rPr>
                <w:rFonts w:hint="eastAsia"/>
                <w:color w:val="000000"/>
                <w:szCs w:val="21"/>
                <w:lang w:val="en-US" w:eastAsia="zh-CN"/>
              </w:rPr>
              <w:t>8、按照《排污口规范化整治技术要求》</w:t>
            </w:r>
            <w:bookmarkStart w:id="0" w:name="_GoBack"/>
            <w:bookmarkEnd w:id="0"/>
            <w:r>
              <w:rPr>
                <w:rFonts w:hint="eastAsia"/>
                <w:color w:val="000000"/>
                <w:szCs w:val="21"/>
                <w:lang w:val="en-US" w:eastAsia="zh-CN"/>
              </w:rPr>
              <w:t>（环监〔1996〕470号）规范设置排污口。</w:t>
            </w:r>
          </w:p>
          <w:p w14:paraId="501CD184">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14:paraId="648B90D9">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31D66976">
            <w:pPr>
              <w:spacing w:line="360" w:lineRule="auto"/>
              <w:jc w:val="left"/>
              <w:rPr>
                <w:color w:val="000000"/>
                <w:szCs w:val="21"/>
              </w:rPr>
            </w:pPr>
            <w:r>
              <w:rPr>
                <w:rFonts w:hint="eastAsia"/>
                <w:color w:val="000000"/>
                <w:szCs w:val="21"/>
                <w:lang w:val="en-US" w:eastAsia="zh-CN"/>
              </w:rPr>
              <w:t>五、</w:t>
            </w:r>
            <w:r>
              <w:rPr>
                <w:rFonts w:hint="eastAsia"/>
                <w:color w:val="000000"/>
                <w:szCs w:val="21"/>
              </w:rPr>
              <w:t xml:space="preserve">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5年方决定开工建设，其环评文件应重新审核。如果建设地点、规模、防治污染和防止生态破坏的措施等发生重大变化时，需重新报批环评文件。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U4MDU2YWQ1NjA4ZDU0MzJjZmM5N2MwNWQ5Zjg1OWQifQ=="/>
  </w:docVars>
  <w:rsids>
    <w:rsidRoot w:val="007E3F49"/>
    <w:rsid w:val="00655DD2"/>
    <w:rsid w:val="007E3F49"/>
    <w:rsid w:val="008B4FF3"/>
    <w:rsid w:val="00A14109"/>
    <w:rsid w:val="00AC4964"/>
    <w:rsid w:val="00D56621"/>
    <w:rsid w:val="00ED3C94"/>
    <w:rsid w:val="00FE0A91"/>
    <w:rsid w:val="049F3351"/>
    <w:rsid w:val="0EE80095"/>
    <w:rsid w:val="15947A84"/>
    <w:rsid w:val="22A00A67"/>
    <w:rsid w:val="3E062DA7"/>
    <w:rsid w:val="497150DD"/>
    <w:rsid w:val="4DE41872"/>
    <w:rsid w:val="54973A8B"/>
    <w:rsid w:val="5B1B528E"/>
    <w:rsid w:val="5E371149"/>
    <w:rsid w:val="641136E8"/>
    <w:rsid w:val="6FF37EF9"/>
    <w:rsid w:val="784D0BDC"/>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character" w:customStyle="1" w:styleId="12">
    <w:name w:val="页眉 字符"/>
    <w:basedOn w:val="11"/>
    <w:link w:val="7"/>
    <w:autoRedefine/>
    <w:qFormat/>
    <w:uiPriority w:val="99"/>
    <w:rPr>
      <w:sz w:val="18"/>
      <w:szCs w:val="18"/>
    </w:rPr>
  </w:style>
  <w:style w:type="character" w:customStyle="1" w:styleId="13">
    <w:name w:val="页脚 字符"/>
    <w:basedOn w:val="11"/>
    <w:link w:val="6"/>
    <w:autoRedefine/>
    <w:qFormat/>
    <w:uiPriority w:val="99"/>
    <w:rPr>
      <w:sz w:val="18"/>
      <w:szCs w:val="18"/>
    </w:rPr>
  </w:style>
  <w:style w:type="character" w:customStyle="1" w:styleId="14">
    <w:name w:val="NormalCharacter"/>
    <w:autoRedefine/>
    <w:semiHidden/>
    <w:qFormat/>
    <w:uiPriority w:val="99"/>
  </w:style>
  <w:style w:type="paragraph" w:customStyle="1" w:styleId="15">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1931</Words>
  <Characters>2086</Characters>
  <Lines>11</Lines>
  <Paragraphs>3</Paragraphs>
  <TotalTime>190</TotalTime>
  <ScaleCrop>false</ScaleCrop>
  <LinksUpToDate>false</LinksUpToDate>
  <CharactersWithSpaces>2139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2024-12-16T07:10:08Z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8A8837DC28804F048B97D671515894C8_12</vt:lpwstr>
  </property>
</Properties>
</file>