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0"/>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eastAsia="仿宋"/>
                <w:color w:val="000000"/>
              </w:rPr>
            </w:pPr>
            <w:r>
              <w:rPr>
                <w:rFonts w:hint="eastAsia" w:ascii="Times New Roman" w:hAnsi="Times New Roman" w:eastAsia="宋体" w:cs="Times New Roman"/>
                <w:szCs w:val="22"/>
              </w:rPr>
              <w:t>鄂尔多斯市怡泰混凝土建材有限责任公司常青村铜心富民项目</w:t>
            </w:r>
          </w:p>
        </w:tc>
        <w:tc>
          <w:tcPr>
            <w:tcW w:w="397" w:type="dxa"/>
            <w:vAlign w:val="center"/>
          </w:tcPr>
          <w:p w14:paraId="53D2BE93">
            <w:pPr>
              <w:spacing w:line="600" w:lineRule="exact"/>
              <w:jc w:val="center"/>
              <w:rPr>
                <w:color w:val="000000"/>
                <w:szCs w:val="21"/>
              </w:rPr>
            </w:pPr>
            <w:r>
              <w:rPr>
                <w:rFonts w:hint="eastAsia"/>
                <w:color w:val="000000"/>
                <w:szCs w:val="21"/>
                <w:lang w:val="en-US" w:eastAsia="zh-CN"/>
              </w:rPr>
              <w:t>鄂尔多斯市东胜区铜川镇常青村张家渠社</w:t>
            </w:r>
          </w:p>
        </w:tc>
        <w:tc>
          <w:tcPr>
            <w:tcW w:w="465" w:type="dxa"/>
            <w:vAlign w:val="center"/>
          </w:tcPr>
          <w:p w14:paraId="25BCC080">
            <w:pPr>
              <w:spacing w:line="600" w:lineRule="exact"/>
              <w:jc w:val="center"/>
              <w:rPr>
                <w:color w:val="000000"/>
                <w:szCs w:val="21"/>
              </w:rPr>
            </w:pPr>
            <w:r>
              <w:rPr>
                <w:rFonts w:hint="eastAsia"/>
                <w:color w:val="000000"/>
                <w:szCs w:val="21"/>
                <w:lang w:val="en-US" w:eastAsia="zh-CN"/>
              </w:rPr>
              <w:t>鄂尔多斯市怡泰混凝土建材有限责任公司</w:t>
            </w:r>
          </w:p>
        </w:tc>
        <w:tc>
          <w:tcPr>
            <w:tcW w:w="675" w:type="dxa"/>
            <w:vAlign w:val="center"/>
          </w:tcPr>
          <w:p w14:paraId="5D04F640">
            <w:pPr>
              <w:spacing w:line="600" w:lineRule="exact"/>
              <w:jc w:val="center"/>
              <w:rPr>
                <w:color w:val="000000"/>
                <w:szCs w:val="21"/>
              </w:rPr>
            </w:pPr>
            <w:r>
              <w:rPr>
                <w:rFonts w:hint="eastAsia" w:ascii="Times New Roman" w:hAnsi="Times New Roman" w:eastAsia="宋体" w:cs="Times New Roman"/>
                <w:szCs w:val="22"/>
              </w:rPr>
              <w:t>内蒙古新仕界项目管理有限公司</w:t>
            </w:r>
          </w:p>
        </w:tc>
        <w:tc>
          <w:tcPr>
            <w:tcW w:w="2555" w:type="dxa"/>
            <w:vAlign w:val="center"/>
          </w:tcPr>
          <w:p w14:paraId="2E896B98">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该项目属于新建项目，</w:t>
            </w:r>
            <w:r>
              <w:rPr>
                <w:rFonts w:hint="eastAsia"/>
                <w:color w:val="000000"/>
                <w:szCs w:val="21"/>
                <w:lang w:val="en-US" w:eastAsia="zh-CN"/>
              </w:rPr>
              <w:t>位于</w:t>
            </w:r>
            <w:r>
              <w:rPr>
                <w:rFonts w:hint="default"/>
                <w:color w:val="000000"/>
                <w:szCs w:val="21"/>
                <w:lang w:val="en-US" w:eastAsia="zh-CN"/>
              </w:rPr>
              <w:t>东胜区铜川镇常青村张家渠社</w:t>
            </w:r>
            <w:r>
              <w:rPr>
                <w:rFonts w:hint="eastAsia"/>
                <w:color w:val="000000"/>
                <w:szCs w:val="21"/>
                <w:lang w:val="en-US" w:eastAsia="zh-CN"/>
              </w:rPr>
              <w:t>。项目总占地面积12000平方米，</w:t>
            </w:r>
            <w:r>
              <w:rPr>
                <w:rFonts w:hint="default"/>
                <w:color w:val="000000"/>
                <w:szCs w:val="21"/>
                <w:lang w:val="en-US" w:eastAsia="zh-CN"/>
              </w:rPr>
              <w:t>总投资</w:t>
            </w:r>
            <w:r>
              <w:rPr>
                <w:rFonts w:hint="eastAsia"/>
                <w:color w:val="000000"/>
                <w:szCs w:val="21"/>
                <w:lang w:val="en-US" w:eastAsia="zh-CN"/>
              </w:rPr>
              <w:t>1000万</w:t>
            </w:r>
            <w:r>
              <w:rPr>
                <w:rFonts w:hint="default"/>
                <w:color w:val="000000"/>
                <w:szCs w:val="21"/>
                <w:lang w:val="en-US" w:eastAsia="zh-CN"/>
              </w:rPr>
              <w:t>元，</w:t>
            </w:r>
            <w:r>
              <w:rPr>
                <w:rFonts w:hint="eastAsia"/>
                <w:color w:val="000000"/>
                <w:szCs w:val="21"/>
                <w:lang w:val="en-US" w:eastAsia="zh-CN"/>
              </w:rPr>
              <w:t>其中</w:t>
            </w:r>
            <w:r>
              <w:rPr>
                <w:rFonts w:hint="default"/>
                <w:color w:val="000000"/>
                <w:szCs w:val="21"/>
                <w:lang w:val="en-US" w:eastAsia="zh-CN"/>
              </w:rPr>
              <w:t>环保投资</w:t>
            </w:r>
            <w:r>
              <w:rPr>
                <w:rFonts w:hint="eastAsia"/>
                <w:color w:val="000000"/>
                <w:szCs w:val="21"/>
                <w:lang w:val="en-US" w:eastAsia="zh-CN"/>
              </w:rPr>
              <w:t>42万元。主要建设内容及规模：新建1条商品混凝土生产线，新建1间危废暂存间，并配套建设相关公辅工程和环保工程。项目建成后，年生产商品混凝土10万立方米。</w:t>
            </w:r>
          </w:p>
        </w:tc>
        <w:tc>
          <w:tcPr>
            <w:tcW w:w="4877" w:type="dxa"/>
            <w:vAlign w:val="center"/>
          </w:tcPr>
          <w:p w14:paraId="5A8E9AB1">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59DB1725">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683F3760">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1D91A1F1">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3CB62DA5">
            <w:pPr>
              <w:spacing w:line="360" w:lineRule="auto"/>
              <w:jc w:val="left"/>
              <w:rPr>
                <w:rFonts w:hint="eastAsia"/>
                <w:color w:val="000000"/>
                <w:szCs w:val="21"/>
                <w:lang w:val="en-US" w:eastAsia="zh-CN"/>
              </w:rPr>
            </w:pPr>
            <w:r>
              <w:rPr>
                <w:rFonts w:hint="eastAsia"/>
                <w:color w:val="000000"/>
                <w:szCs w:val="21"/>
                <w:lang w:val="en-US" w:eastAsia="zh-CN"/>
              </w:rPr>
              <w:t>2、施工人员生活污水经临时化粪池沉淀后拉运处置。</w:t>
            </w:r>
          </w:p>
          <w:p w14:paraId="6F56CA72">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14:paraId="709F7933">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7F20A303">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152C8D00">
            <w:pPr>
              <w:spacing w:line="360" w:lineRule="auto"/>
              <w:jc w:val="left"/>
              <w:rPr>
                <w:rFonts w:hint="eastAsia"/>
                <w:color w:val="000000"/>
                <w:szCs w:val="21"/>
                <w:lang w:val="en-US" w:eastAsia="zh-CN"/>
              </w:rPr>
            </w:pPr>
            <w:r>
              <w:rPr>
                <w:rFonts w:hint="eastAsia"/>
                <w:color w:val="000000"/>
                <w:szCs w:val="21"/>
                <w:lang w:val="en-US" w:eastAsia="zh-CN"/>
              </w:rPr>
              <w:t>1、运营期物料储存、装卸、输送、生产过程全封闭。筒仓呼吸粉尘经布袋除尘器处理后由18米高仓顶排放，执行《水泥工业大气污染物排放标准》（GB4915-2013）表1中水泥仓及其他通风生产设备限值。项目无组织废气排放执行《水泥工业大气污染物排放标准》（GB4915-2013）表3大气污染物无组织排放限值。</w:t>
            </w:r>
          </w:p>
          <w:p w14:paraId="54041848">
            <w:pPr>
              <w:spacing w:line="360" w:lineRule="auto"/>
              <w:jc w:val="left"/>
              <w:rPr>
                <w:rFonts w:hint="eastAsia"/>
                <w:color w:val="000000"/>
                <w:szCs w:val="21"/>
                <w:lang w:val="en-US" w:eastAsia="zh-CN"/>
              </w:rPr>
            </w:pPr>
            <w:r>
              <w:rPr>
                <w:rFonts w:hint="eastAsia"/>
                <w:color w:val="000000"/>
                <w:szCs w:val="21"/>
                <w:lang w:val="en-US" w:eastAsia="zh-CN"/>
              </w:rPr>
              <w:t>2、运营期生产废水循环利用，不外排。生活污水经化粪池沉淀后定期拉运处置。</w:t>
            </w:r>
          </w:p>
          <w:p w14:paraId="4220BEF7">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2</w:t>
            </w:r>
            <w:r>
              <w:rPr>
                <w:rFonts w:hint="eastAsia"/>
                <w:color w:val="000000"/>
                <w:szCs w:val="21"/>
              </w:rPr>
              <w:t>类标准。</w:t>
            </w:r>
          </w:p>
          <w:p w14:paraId="7328815F">
            <w:pPr>
              <w:spacing w:line="360" w:lineRule="auto"/>
              <w:jc w:val="left"/>
              <w:rPr>
                <w:rFonts w:hint="eastAsia"/>
                <w:color w:val="000000"/>
                <w:szCs w:val="21"/>
              </w:rPr>
            </w:pPr>
            <w:r>
              <w:rPr>
                <w:rFonts w:hint="eastAsia"/>
                <w:color w:val="000000"/>
                <w:szCs w:val="21"/>
                <w:lang w:val="en-US" w:eastAsia="zh-CN"/>
              </w:rPr>
              <w:t>4、妥善处置各类固体废弃物。建设单位须严格按照《一般工业固体废物贮存和填埋污染控制标准》（GB18599-2020）处置一般固废，不得乱弃。</w:t>
            </w:r>
            <w:r>
              <w:rPr>
                <w:rFonts w:hint="eastAsia"/>
                <w:color w:val="000000"/>
                <w:szCs w:val="21"/>
                <w:lang w:val="en-US"/>
              </w:rPr>
              <w:t>危废暂存</w:t>
            </w:r>
            <w:r>
              <w:rPr>
                <w:rFonts w:hint="eastAsia"/>
                <w:color w:val="000000"/>
                <w:szCs w:val="21"/>
                <w:lang w:val="en-US" w:eastAsia="zh-CN"/>
              </w:rPr>
              <w:t>库</w:t>
            </w:r>
            <w:r>
              <w:rPr>
                <w:rFonts w:hint="eastAsia"/>
                <w:color w:val="000000"/>
                <w:szCs w:val="21"/>
                <w:lang w:val="en-US"/>
              </w:rPr>
              <w:t>须严格按照《危险废物贮存污染控制标准》（GB18597-20</w:t>
            </w:r>
            <w:r>
              <w:rPr>
                <w:rFonts w:hint="eastAsia"/>
                <w:color w:val="000000"/>
                <w:szCs w:val="21"/>
                <w:lang w:val="en-US" w:eastAsia="zh-CN"/>
              </w:rPr>
              <w:t>23</w:t>
            </w:r>
            <w:r>
              <w:rPr>
                <w:rFonts w:hint="eastAsia"/>
                <w:color w:val="000000"/>
                <w:szCs w:val="21"/>
                <w:lang w:val="en-US"/>
              </w:rPr>
              <w:t>）进行设计、建设和管理。</w:t>
            </w:r>
            <w:r>
              <w:rPr>
                <w:rFonts w:hint="eastAsia"/>
                <w:color w:val="000000"/>
                <w:szCs w:val="21"/>
                <w:lang w:val="en-US" w:eastAsia="zh-CN"/>
              </w:rPr>
              <w:t>危险废物收集和运输等均按照《危险废物收集 贮存 运输技术规范》(HJ2025-2012)要求执行。</w:t>
            </w:r>
            <w:r>
              <w:rPr>
                <w:rFonts w:hint="eastAsia"/>
                <w:color w:val="000000"/>
                <w:szCs w:val="21"/>
              </w:rPr>
              <w:t>危废必须由有资质单位处置。</w:t>
            </w:r>
            <w:r>
              <w:rPr>
                <w:rFonts w:hint="eastAsia"/>
                <w:color w:val="000000"/>
                <w:szCs w:val="21"/>
                <w:lang w:val="en-US" w:eastAsia="zh-CN"/>
              </w:rPr>
              <w:t>非正常情况下泄露的危险废物及冲洗水进入应急事故池中，收集后交由有资质单位处置。</w:t>
            </w:r>
          </w:p>
          <w:p w14:paraId="0112E6D1">
            <w:pPr>
              <w:spacing w:line="360" w:lineRule="auto"/>
              <w:jc w:val="left"/>
              <w:rPr>
                <w:rFonts w:hint="eastAsia"/>
                <w:color w:val="000000"/>
                <w:szCs w:val="21"/>
                <w:lang w:val="en-US" w:eastAsia="zh-CN"/>
              </w:rPr>
            </w:pPr>
            <w:r>
              <w:rPr>
                <w:rFonts w:hint="eastAsia"/>
                <w:color w:val="000000"/>
                <w:szCs w:val="21"/>
                <w:lang w:val="en-US" w:eastAsia="zh-CN"/>
              </w:rPr>
              <w:t>5、地面须按相关要求做好防渗措施，确保不会对地下水造成影响。</w:t>
            </w:r>
          </w:p>
          <w:p w14:paraId="0232A815">
            <w:pPr>
              <w:spacing w:line="360" w:lineRule="auto"/>
              <w:jc w:val="left"/>
              <w:rPr>
                <w:rFonts w:hint="eastAsia"/>
                <w:color w:val="000000"/>
                <w:szCs w:val="21"/>
              </w:rPr>
            </w:pPr>
            <w:r>
              <w:rPr>
                <w:rFonts w:hint="eastAsia"/>
                <w:color w:val="000000"/>
                <w:szCs w:val="21"/>
                <w:lang w:val="en-US" w:eastAsia="zh-CN"/>
              </w:rPr>
              <w:t>6、强化环境风险防范，制定突发环境事件应急预案，落实环境风险事故防范措施，提高事故风险防范和污染控制能力。</w:t>
            </w:r>
          </w:p>
          <w:p w14:paraId="46601187">
            <w:pPr>
              <w:spacing w:line="360" w:lineRule="auto"/>
              <w:jc w:val="left"/>
              <w:rPr>
                <w:rFonts w:hint="eastAsia"/>
                <w:color w:val="000000"/>
                <w:szCs w:val="21"/>
                <w:lang w:val="en-US" w:eastAsia="zh-CN"/>
              </w:rPr>
            </w:pPr>
            <w:r>
              <w:rPr>
                <w:rFonts w:hint="eastAsia"/>
                <w:color w:val="000000"/>
                <w:szCs w:val="21"/>
                <w:lang w:val="en-US" w:eastAsia="zh-CN"/>
              </w:rPr>
              <w:t>7、按照《排污口规范化整治技术要求》（环监〔1996〕470号）规范设置排污口。</w:t>
            </w:r>
          </w:p>
          <w:p w14:paraId="778F777C">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79B80183">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31D66976">
            <w:pPr>
              <w:spacing w:line="360" w:lineRule="auto"/>
              <w:jc w:val="left"/>
              <w:rPr>
                <w:color w:val="000000"/>
                <w:szCs w:val="21"/>
              </w:rPr>
            </w:pPr>
            <w:r>
              <w:rPr>
                <w:rFonts w:hint="eastAsia"/>
                <w:color w:val="000000"/>
                <w:szCs w:val="21"/>
                <w:lang w:val="en-US" w:eastAsia="zh-CN"/>
              </w:rPr>
              <w:t>五、</w:t>
            </w:r>
            <w:bookmarkStart w:id="0" w:name="_GoBack"/>
            <w:bookmarkEnd w:id="0"/>
            <w:r>
              <w:rPr>
                <w:rFonts w:hint="eastAsia"/>
                <w:color w:val="000000"/>
                <w:szCs w:val="21"/>
              </w:rPr>
              <w:t>你单位应在收到本批复20日内，将《报告表》（报批版）及批复文件送至鄂尔多斯市生态环境综合行政执法支队东胜区大队，由鄂尔多斯市生态环境综合行政执法支队东胜区大队负责该项目的事中事后监管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MyN2E2MTRmYjM2NzM2N2YwMzQyOWU3MDQxMjhiZDcifQ=="/>
  </w:docVars>
  <w:rsids>
    <w:rsidRoot w:val="007E3F49"/>
    <w:rsid w:val="00655DD2"/>
    <w:rsid w:val="007E3F49"/>
    <w:rsid w:val="008B4FF3"/>
    <w:rsid w:val="00A14109"/>
    <w:rsid w:val="00AC4964"/>
    <w:rsid w:val="00D56621"/>
    <w:rsid w:val="00ED3C94"/>
    <w:rsid w:val="00FE0A91"/>
    <w:rsid w:val="049F3351"/>
    <w:rsid w:val="15947A84"/>
    <w:rsid w:val="3E062DA7"/>
    <w:rsid w:val="497150DD"/>
    <w:rsid w:val="4AD11E12"/>
    <w:rsid w:val="4DE41872"/>
    <w:rsid w:val="54973A8B"/>
    <w:rsid w:val="5E371149"/>
    <w:rsid w:val="641136E8"/>
    <w:rsid w:val="6CA24960"/>
    <w:rsid w:val="73CE25FD"/>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2"/>
    <w:autoRedefine/>
    <w:semiHidden/>
    <w:unhideWhenUsed/>
    <w:qFormat/>
    <w:uiPriority w:val="99"/>
    <w:pPr>
      <w:ind w:firstLine="420" w:firstLineChars="200"/>
    </w:pPr>
  </w:style>
  <w:style w:type="paragraph" w:styleId="5">
    <w:name w:val="Body Text"/>
    <w:basedOn w:val="1"/>
    <w:qFormat/>
    <w:uiPriority w:val="99"/>
    <w:pPr>
      <w:spacing w:after="120"/>
    </w:pPr>
    <w:rPr>
      <w:rFonts w:ascii="Calibri" w:hAnsi="Calibri"/>
      <w:szCs w:val="22"/>
    </w:rPr>
  </w:style>
  <w:style w:type="paragraph" w:styleId="6">
    <w:name w:val="footer"/>
    <w:basedOn w:val="1"/>
    <w:link w:val="13"/>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oc 2"/>
    <w:basedOn w:val="1"/>
    <w:next w:val="1"/>
    <w:unhideWhenUsed/>
    <w:qFormat/>
    <w:uiPriority w:val="39"/>
    <w:pPr>
      <w:ind w:left="420" w:leftChars="200"/>
    </w:pPr>
  </w:style>
  <w:style w:type="paragraph" w:styleId="9">
    <w:name w:val="Body Text 2"/>
    <w:basedOn w:val="1"/>
    <w:next w:val="1"/>
    <w:qFormat/>
    <w:uiPriority w:val="0"/>
    <w:pPr>
      <w:spacing w:after="120" w:line="480" w:lineRule="auto"/>
    </w:pPr>
  </w:style>
  <w:style w:type="character" w:customStyle="1" w:styleId="12">
    <w:name w:val="页眉 字符"/>
    <w:basedOn w:val="11"/>
    <w:link w:val="7"/>
    <w:autoRedefine/>
    <w:qFormat/>
    <w:uiPriority w:val="99"/>
    <w:rPr>
      <w:sz w:val="18"/>
      <w:szCs w:val="18"/>
    </w:rPr>
  </w:style>
  <w:style w:type="character" w:customStyle="1" w:styleId="13">
    <w:name w:val="页脚 字符"/>
    <w:basedOn w:val="11"/>
    <w:link w:val="6"/>
    <w:autoRedefine/>
    <w:qFormat/>
    <w:uiPriority w:val="99"/>
    <w:rPr>
      <w:sz w:val="18"/>
      <w:szCs w:val="18"/>
    </w:rPr>
  </w:style>
  <w:style w:type="character" w:customStyle="1" w:styleId="14">
    <w:name w:val="NormalCharacter"/>
    <w:autoRedefine/>
    <w:semiHidden/>
    <w:qFormat/>
    <w:uiPriority w:val="99"/>
  </w:style>
  <w:style w:type="paragraph" w:customStyle="1" w:styleId="15">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1658</Words>
  <Characters>1757</Characters>
  <Lines>11</Lines>
  <Paragraphs>3</Paragraphs>
  <TotalTime>0</TotalTime>
  <ScaleCrop>false</ScaleCrop>
  <LinksUpToDate>false</LinksUpToDate>
  <CharactersWithSpaces>1814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2024-12-11T02:59:33Z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8A8837DC28804F048B97D671515894C8_12</vt:lpwstr>
  </property>
</Properties>
</file>