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380D8">
      <w:pPr>
        <w:snapToGrid w:val="0"/>
        <w:spacing w:line="580" w:lineRule="exact"/>
        <w:jc w:val="center"/>
        <w:rPr>
          <w:rStyle w:val="16"/>
          <w:rFonts w:ascii="仿宋_GB2312" w:eastAsia="仿宋_GB2312"/>
          <w:color w:val="auto"/>
          <w:sz w:val="32"/>
          <w:szCs w:val="32"/>
        </w:rPr>
      </w:pPr>
    </w:p>
    <w:p w14:paraId="476036EF">
      <w:pPr>
        <w:snapToGrid w:val="0"/>
        <w:spacing w:line="580" w:lineRule="exact"/>
        <w:jc w:val="center"/>
        <w:rPr>
          <w:rStyle w:val="16"/>
          <w:rFonts w:ascii="仿宋_GB2312" w:eastAsia="仿宋_GB2312"/>
          <w:color w:val="auto"/>
          <w:sz w:val="32"/>
          <w:szCs w:val="32"/>
        </w:rPr>
      </w:pPr>
    </w:p>
    <w:p w14:paraId="5E55F3A4">
      <w:pPr>
        <w:snapToGrid w:val="0"/>
        <w:spacing w:line="580" w:lineRule="exact"/>
        <w:jc w:val="center"/>
        <w:rPr>
          <w:rStyle w:val="16"/>
          <w:rFonts w:ascii="仿宋_GB2312" w:eastAsia="仿宋_GB2312"/>
          <w:color w:val="auto"/>
          <w:sz w:val="32"/>
          <w:szCs w:val="32"/>
        </w:rPr>
      </w:pPr>
    </w:p>
    <w:p w14:paraId="11C25DFB">
      <w:pPr>
        <w:snapToGrid w:val="0"/>
        <w:spacing w:line="580" w:lineRule="exact"/>
        <w:jc w:val="center"/>
        <w:rPr>
          <w:rStyle w:val="16"/>
          <w:rFonts w:ascii="仿宋_GB2312" w:eastAsia="仿宋_GB2312"/>
          <w:color w:val="auto"/>
          <w:sz w:val="32"/>
          <w:szCs w:val="32"/>
        </w:rPr>
      </w:pPr>
    </w:p>
    <w:p w14:paraId="52687A8D">
      <w:pPr>
        <w:snapToGrid w:val="0"/>
        <w:spacing w:line="580" w:lineRule="exact"/>
        <w:jc w:val="center"/>
        <w:rPr>
          <w:rStyle w:val="16"/>
          <w:rFonts w:ascii="仿宋_GB2312" w:eastAsia="仿宋_GB2312"/>
          <w:color w:val="auto"/>
          <w:sz w:val="32"/>
          <w:szCs w:val="32"/>
        </w:rPr>
      </w:pPr>
    </w:p>
    <w:p w14:paraId="7C432934">
      <w:pPr>
        <w:snapToGrid w:val="0"/>
        <w:spacing w:line="580" w:lineRule="exact"/>
        <w:jc w:val="center"/>
        <w:rPr>
          <w:rStyle w:val="16"/>
          <w:rFonts w:ascii="仿宋_GB2312" w:eastAsia="仿宋_GB2312"/>
          <w:color w:val="auto"/>
          <w:sz w:val="32"/>
          <w:szCs w:val="32"/>
        </w:rPr>
      </w:pPr>
    </w:p>
    <w:p w14:paraId="6FF0BDE2">
      <w:pPr>
        <w:snapToGrid w:val="0"/>
        <w:spacing w:line="580" w:lineRule="exact"/>
        <w:jc w:val="center"/>
        <w:rPr>
          <w:rStyle w:val="16"/>
          <w:rFonts w:ascii="仿宋_GB2312" w:eastAsia="仿宋_GB2312"/>
          <w:color w:val="auto"/>
          <w:sz w:val="32"/>
          <w:szCs w:val="32"/>
        </w:rPr>
      </w:pPr>
    </w:p>
    <w:p w14:paraId="629A9AAF">
      <w:pPr>
        <w:snapToGrid w:val="0"/>
        <w:spacing w:line="580" w:lineRule="exact"/>
        <w:jc w:val="center"/>
        <w:rPr>
          <w:rStyle w:val="16"/>
          <w:rFonts w:ascii="仿宋_GB2312" w:eastAsia="仿宋_GB2312"/>
          <w:color w:val="auto"/>
          <w:sz w:val="32"/>
          <w:szCs w:val="32"/>
        </w:rPr>
      </w:pPr>
    </w:p>
    <w:p w14:paraId="6C160EED">
      <w:pPr>
        <w:pStyle w:val="25"/>
        <w:rPr>
          <w:rStyle w:val="16"/>
          <w:color w:val="auto"/>
        </w:rPr>
      </w:pPr>
    </w:p>
    <w:p w14:paraId="16B5DCBE">
      <w:pPr>
        <w:snapToGrid w:val="0"/>
        <w:spacing w:line="600" w:lineRule="exact"/>
        <w:rPr>
          <w:rStyle w:val="16"/>
          <w:rFonts w:ascii="仿宋_GB2312" w:eastAsia="仿宋_GB2312"/>
          <w:color w:val="auto"/>
          <w:sz w:val="32"/>
          <w:szCs w:val="32"/>
        </w:rPr>
      </w:pPr>
    </w:p>
    <w:p w14:paraId="79DEF24A">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26</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11682474">
      <w:pPr>
        <w:spacing w:line="600" w:lineRule="exact"/>
        <w:jc w:val="center"/>
        <w:rPr>
          <w:rStyle w:val="16"/>
          <w:rFonts w:hint="eastAsia" w:ascii="宋体" w:hAnsi="宋体" w:eastAsia="宋体" w:cs="宋体"/>
          <w:b/>
          <w:bCs w:val="0"/>
          <w:color w:val="auto"/>
          <w:sz w:val="44"/>
          <w:szCs w:val="44"/>
        </w:rPr>
      </w:pPr>
    </w:p>
    <w:p w14:paraId="2F830156">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3578B4A0">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鄂尔多斯市正金商贸有限公司年产</w:t>
      </w:r>
    </w:p>
    <w:p w14:paraId="382533B2">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rPr>
        <w:t>20万吨腐植酸钠项目</w:t>
      </w:r>
      <w:r>
        <w:rPr>
          <w:rStyle w:val="16"/>
          <w:rFonts w:hint="eastAsia" w:ascii="宋体" w:hAnsi="宋体" w:eastAsia="宋体" w:cs="宋体"/>
          <w:b/>
          <w:bCs w:val="0"/>
          <w:color w:val="auto"/>
          <w:sz w:val="44"/>
          <w:szCs w:val="44"/>
        </w:rPr>
        <w:t>环境</w:t>
      </w:r>
    </w:p>
    <w:p w14:paraId="415E7E43">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w:t>
      </w:r>
      <w:bookmarkStart w:id="0" w:name="_GoBack"/>
      <w:bookmarkEnd w:id="0"/>
      <w:r>
        <w:rPr>
          <w:rStyle w:val="16"/>
          <w:rFonts w:hint="eastAsia" w:ascii="宋体" w:hAnsi="宋体" w:eastAsia="宋体" w:cs="宋体"/>
          <w:b/>
          <w:bCs w:val="0"/>
          <w:color w:val="auto"/>
          <w:sz w:val="44"/>
          <w:szCs w:val="44"/>
        </w:rPr>
        <w:t>的批复</w:t>
      </w:r>
    </w:p>
    <w:p w14:paraId="21AB812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2BBC4C3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val="en-US" w:eastAsia="zh-CN"/>
        </w:rPr>
        <w:t>鄂尔多斯市正金商贸有限公司：</w:t>
      </w:r>
    </w:p>
    <w:p w14:paraId="4C97F8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sz w:val="32"/>
          <w:szCs w:val="32"/>
          <w:lang w:val="en-US" w:eastAsia="zh-CN"/>
        </w:rPr>
        <w:t>鄂尔多斯市环保投资有限公司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制的</w:t>
      </w:r>
      <w:r>
        <w:rPr>
          <w:rStyle w:val="16"/>
          <w:rFonts w:hint="eastAsia" w:ascii="仿宋" w:hAnsi="仿宋" w:eastAsia="仿宋"/>
          <w:sz w:val="32"/>
          <w:szCs w:val="32"/>
          <w:lang w:val="en-US" w:eastAsia="zh-CN"/>
        </w:rPr>
        <w:t>《鄂尔多斯市正金商贸有限公司年产20万吨腐植酸钠建设</w:t>
      </w:r>
      <w:r>
        <w:rPr>
          <w:rStyle w:val="16"/>
          <w:rFonts w:hint="default" w:ascii="仿宋" w:hAnsi="仿宋" w:eastAsia="仿宋"/>
          <w:sz w:val="32"/>
          <w:szCs w:val="32"/>
          <w:lang w:val="en-US" w:eastAsia="zh-CN"/>
        </w:rPr>
        <w:t>项目</w:t>
      </w:r>
      <w:r>
        <w:rPr>
          <w:rStyle w:val="16"/>
          <w:rFonts w:hint="eastAsia" w:ascii="仿宋" w:hAnsi="仿宋" w:eastAsia="仿宋" w:cs="Times New Roman"/>
          <w:sz w:val="32"/>
          <w:szCs w:val="32"/>
        </w:rPr>
        <w:t>环境影响报告表》（以下简称《报告表》）已收悉</w:t>
      </w:r>
      <w:r>
        <w:rPr>
          <w:rStyle w:val="16"/>
          <w:rFonts w:hint="eastAsia" w:ascii="仿宋" w:hAnsi="仿宋" w:eastAsia="仿宋" w:cs="Times New Roman"/>
          <w:sz w:val="32"/>
          <w:szCs w:val="32"/>
          <w:lang w:eastAsia="zh-CN"/>
        </w:rPr>
        <w:t>。</w:t>
      </w:r>
      <w:r>
        <w:rPr>
          <w:rStyle w:val="16"/>
          <w:rFonts w:hint="eastAsia" w:ascii="仿宋" w:hAnsi="仿宋" w:eastAsia="仿宋"/>
          <w:sz w:val="32"/>
          <w:szCs w:val="32"/>
          <w:lang w:val="en-US" w:eastAsia="zh-CN"/>
        </w:rPr>
        <w:t>经组织专家评审，集体研究，形成如下审批意见：</w:t>
      </w:r>
    </w:p>
    <w:p w14:paraId="20B6BBE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建项目</w:t>
      </w:r>
      <w:r>
        <w:rPr>
          <w:rStyle w:val="16"/>
          <w:rFonts w:hint="eastAsia" w:ascii="仿宋" w:hAnsi="仿宋" w:eastAsia="仿宋"/>
          <w:sz w:val="32"/>
          <w:szCs w:val="32"/>
          <w:lang w:val="en-US" w:eastAsia="zh-CN"/>
        </w:rPr>
        <w:t>，</w:t>
      </w:r>
      <w:r>
        <w:rPr>
          <w:rStyle w:val="16"/>
          <w:rFonts w:hint="eastAsia" w:ascii="仿宋" w:hAnsi="仿宋" w:eastAsia="仿宋" w:cs="Times New Roman"/>
          <w:sz w:val="32"/>
          <w:szCs w:val="32"/>
          <w:lang w:eastAsia="zh-CN"/>
        </w:rPr>
        <w:t>位</w:t>
      </w:r>
      <w:r>
        <w:rPr>
          <w:rStyle w:val="16"/>
          <w:rFonts w:hint="eastAsia" w:ascii="仿宋" w:hAnsi="仿宋" w:eastAsia="仿宋"/>
          <w:sz w:val="32"/>
          <w:szCs w:val="32"/>
          <w:lang w:val="en-US" w:eastAsia="zh-CN"/>
        </w:rPr>
        <w:t>于东胜区枳机塔村商砼园区。</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w:t>
      </w:r>
      <w:r>
        <w:rPr>
          <w:rStyle w:val="16"/>
          <w:rFonts w:hint="eastAsia" w:ascii="仿宋" w:hAnsi="仿宋" w:eastAsia="仿宋"/>
          <w:sz w:val="32"/>
          <w:szCs w:val="32"/>
          <w:lang w:val="en-US" w:eastAsia="zh-CN"/>
        </w:rPr>
        <w:t>积20321平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lang w:eastAsia="zh-CN"/>
        </w:rPr>
        <w:t>总投资</w:t>
      </w:r>
      <w:r>
        <w:rPr>
          <w:rStyle w:val="16"/>
          <w:rFonts w:hint="eastAsia" w:ascii="仿宋" w:hAnsi="仿宋" w:eastAsia="仿宋" w:cs="Times New Roman"/>
          <w:sz w:val="32"/>
          <w:szCs w:val="32"/>
          <w:lang w:val="en-US" w:eastAsia="zh-CN"/>
        </w:rPr>
        <w:t>300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w:t>
      </w:r>
      <w:r>
        <w:rPr>
          <w:rStyle w:val="16"/>
          <w:rFonts w:hint="default" w:ascii="仿宋" w:hAnsi="仿宋" w:eastAsia="仿宋" w:cs="Times New Roman"/>
          <w:sz w:val="32"/>
          <w:szCs w:val="32"/>
        </w:rPr>
        <w:t>投资</w:t>
      </w:r>
      <w:r>
        <w:rPr>
          <w:rStyle w:val="16"/>
          <w:rFonts w:hint="eastAsia" w:ascii="仿宋" w:hAnsi="仿宋" w:eastAsia="仿宋" w:cs="Times New Roman"/>
          <w:sz w:val="32"/>
          <w:szCs w:val="32"/>
          <w:lang w:val="en-US" w:eastAsia="zh-CN"/>
        </w:rPr>
        <w:t>62.1万元</w:t>
      </w:r>
      <w:r>
        <w:rPr>
          <w:rStyle w:val="16"/>
          <w:rFonts w:hint="eastAsia" w:ascii="仿宋" w:hAnsi="仿宋" w:eastAsia="仿宋" w:cs="Times New Roman"/>
          <w:sz w:val="32"/>
          <w:szCs w:val="32"/>
        </w:rPr>
        <w:t>。</w:t>
      </w:r>
      <w:r>
        <w:rPr>
          <w:rStyle w:val="16"/>
          <w:rFonts w:hint="eastAsia" w:ascii="仿宋" w:hAnsi="仿宋" w:eastAsia="仿宋" w:cs="Times New Roman"/>
          <w:sz w:val="32"/>
          <w:szCs w:val="32"/>
          <w:lang w:eastAsia="zh-CN"/>
        </w:rPr>
        <w:t>主要建设内容及规模：</w:t>
      </w:r>
      <w:r>
        <w:rPr>
          <w:rStyle w:val="16"/>
          <w:rFonts w:hint="eastAsia" w:ascii="仿宋" w:hAnsi="仿宋" w:eastAsia="仿宋" w:cs="Times New Roman"/>
          <w:sz w:val="32"/>
          <w:szCs w:val="32"/>
          <w:lang w:val="en-US" w:eastAsia="zh-CN"/>
        </w:rPr>
        <w:t>本项目</w:t>
      </w:r>
      <w:r>
        <w:rPr>
          <w:rStyle w:val="16"/>
          <w:rFonts w:hint="eastAsia" w:ascii="仿宋" w:hAnsi="仿宋" w:eastAsia="仿宋" w:cs="Times New Roman"/>
          <w:sz w:val="32"/>
          <w:szCs w:val="32"/>
          <w:lang w:eastAsia="zh-CN"/>
        </w:rPr>
        <w:t>租用鄂尔多斯市九盛工贸有限责任公司工业用地，</w:t>
      </w:r>
      <w:r>
        <w:rPr>
          <w:rStyle w:val="16"/>
          <w:rFonts w:hint="eastAsia" w:ascii="仿宋" w:hAnsi="仿宋" w:eastAsia="仿宋" w:cs="Times New Roman"/>
          <w:sz w:val="32"/>
          <w:szCs w:val="32"/>
          <w:lang w:val="en-US" w:eastAsia="zh-CN"/>
        </w:rPr>
        <w:t>新建1座全封闭生产车间，内设一条腐植酸钠肥料生产线，新建1间20平方米危险废物暂存库，并配套建设相关的公辅工程和环保工程。项目建成后，年产20万吨腐植酸钠肥料半成品。</w:t>
      </w:r>
    </w:p>
    <w:p w14:paraId="0B3755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D132D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2047594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14:paraId="498BE5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w:t>
      </w:r>
      <w:r>
        <w:rPr>
          <w:rStyle w:val="16"/>
          <w:rFonts w:hint="eastAsia" w:ascii="仿宋" w:hAnsi="仿宋" w:eastAsia="仿宋" w:cs="Times New Roman"/>
          <w:sz w:val="32"/>
          <w:szCs w:val="32"/>
          <w:lang w:val="en-US" w:eastAsia="zh-CN"/>
        </w:rPr>
        <w:t xml:space="preserve"> </w:t>
      </w:r>
      <w:r>
        <w:rPr>
          <w:rStyle w:val="16"/>
          <w:rFonts w:hint="eastAsia" w:ascii="仿宋" w:hAnsi="仿宋" w:eastAsia="仿宋" w:cs="Times New Roman"/>
          <w:sz w:val="32"/>
          <w:szCs w:val="32"/>
        </w:rPr>
        <w:t>16297-1996）表2中无组织排放监控浓度限值。</w:t>
      </w:r>
    </w:p>
    <w:p w14:paraId="59001DB3">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kern w:val="0"/>
          <w:sz w:val="32"/>
          <w:szCs w:val="32"/>
          <w:lang w:val="en-US" w:eastAsia="zh-CN" w:bidi="ar-SA"/>
        </w:rPr>
      </w:pPr>
      <w:r>
        <w:rPr>
          <w:rStyle w:val="16"/>
          <w:rFonts w:hint="eastAsia" w:ascii="仿宋" w:hAnsi="仿宋" w:eastAsia="仿宋" w:cs="Times New Roman"/>
          <w:sz w:val="32"/>
          <w:szCs w:val="32"/>
          <w:lang w:val="en-US" w:eastAsia="zh-CN"/>
        </w:rPr>
        <w:t>2、施工人员生活污水</w:t>
      </w:r>
      <w:r>
        <w:rPr>
          <w:rStyle w:val="16"/>
          <w:rFonts w:hint="default" w:ascii="仿宋" w:hAnsi="仿宋" w:eastAsia="仿宋" w:cs="Times New Roman"/>
          <w:color w:val="auto"/>
          <w:sz w:val="32"/>
          <w:szCs w:val="32"/>
          <w:lang w:val="en-US" w:eastAsia="zh-CN" w:bidi="ar-SA"/>
        </w:rPr>
        <w:t>经</w:t>
      </w:r>
      <w:r>
        <w:rPr>
          <w:rStyle w:val="16"/>
          <w:rFonts w:hint="eastAsia" w:ascii="仿宋" w:hAnsi="仿宋" w:eastAsia="仿宋" w:cs="Times New Roman"/>
          <w:color w:val="auto"/>
          <w:sz w:val="32"/>
          <w:szCs w:val="32"/>
          <w:lang w:val="en-US" w:eastAsia="zh-CN" w:bidi="ar-SA"/>
        </w:rPr>
        <w:t>厂区现有</w:t>
      </w:r>
      <w:r>
        <w:rPr>
          <w:rStyle w:val="16"/>
          <w:rFonts w:hint="default" w:ascii="仿宋" w:hAnsi="仿宋" w:eastAsia="仿宋" w:cs="Times New Roman"/>
          <w:color w:val="auto"/>
          <w:sz w:val="32"/>
          <w:szCs w:val="32"/>
          <w:lang w:val="en-US" w:eastAsia="zh-CN" w:bidi="ar-SA"/>
        </w:rPr>
        <w:t>化</w:t>
      </w:r>
      <w:r>
        <w:rPr>
          <w:rFonts w:hint="default" w:ascii="仿宋" w:hAnsi="仿宋" w:eastAsia="仿宋" w:cs="仿宋"/>
          <w:color w:val="auto"/>
          <w:kern w:val="0"/>
          <w:sz w:val="32"/>
          <w:szCs w:val="32"/>
          <w:lang w:val="en-US" w:eastAsia="zh-CN" w:bidi="ar-SA"/>
        </w:rPr>
        <w:t>粪池</w:t>
      </w:r>
      <w:r>
        <w:rPr>
          <w:rFonts w:hint="eastAsia" w:ascii="仿宋" w:hAnsi="仿宋" w:eastAsia="仿宋" w:cs="仿宋"/>
          <w:color w:val="auto"/>
          <w:kern w:val="0"/>
          <w:sz w:val="32"/>
          <w:szCs w:val="32"/>
          <w:lang w:val="en-US" w:eastAsia="zh-CN" w:bidi="ar-SA"/>
        </w:rPr>
        <w:t>沉淀</w:t>
      </w:r>
      <w:r>
        <w:rPr>
          <w:rFonts w:hint="default" w:ascii="仿宋" w:hAnsi="仿宋" w:eastAsia="仿宋" w:cs="仿宋"/>
          <w:color w:val="auto"/>
          <w:kern w:val="0"/>
          <w:sz w:val="32"/>
          <w:szCs w:val="32"/>
          <w:lang w:val="en-US" w:eastAsia="zh-CN" w:bidi="ar-SA"/>
        </w:rPr>
        <w:t>后</w:t>
      </w:r>
      <w:r>
        <w:rPr>
          <w:rFonts w:hint="eastAsia" w:ascii="仿宋" w:hAnsi="仿宋" w:eastAsia="仿宋" w:cs="仿宋"/>
          <w:color w:val="auto"/>
          <w:kern w:val="0"/>
          <w:sz w:val="32"/>
          <w:szCs w:val="32"/>
          <w:lang w:val="en-US" w:eastAsia="zh-CN" w:bidi="ar-SA"/>
        </w:rPr>
        <w:t>由罐车拉运处置。</w:t>
      </w:r>
    </w:p>
    <w:p w14:paraId="2521F8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 12523-2011）。</w:t>
      </w:r>
    </w:p>
    <w:p w14:paraId="7665A7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4、固体废物集中堆放</w:t>
      </w:r>
      <w:r>
        <w:rPr>
          <w:rStyle w:val="16"/>
          <w:rFonts w:hint="eastAsia" w:ascii="仿宋" w:hAnsi="仿宋" w:eastAsia="仿宋" w:cs="Times New Roman"/>
          <w:color w:val="000000"/>
          <w:sz w:val="32"/>
          <w:szCs w:val="32"/>
          <w:lang w:val="en-US" w:eastAsia="zh-CN" w:bidi="ar-SA"/>
        </w:rPr>
        <w:t>及时清运，交有关部门进行处理</w:t>
      </w:r>
      <w:r>
        <w:rPr>
          <w:rStyle w:val="16"/>
          <w:rFonts w:hint="eastAsia" w:ascii="仿宋" w:hAnsi="仿宋" w:eastAsia="仿宋" w:cs="Times New Roman"/>
          <w:sz w:val="32"/>
          <w:szCs w:val="32"/>
          <w:lang w:val="en-US" w:eastAsia="zh-CN"/>
        </w:rPr>
        <w:t>。</w:t>
      </w:r>
    </w:p>
    <w:p w14:paraId="1088A8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33C7D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。风化煤破碎粉尘、腐植酸钠肥料筛分和包装粉尘经收集处理后由一根15米高排气筒排放，执行</w:t>
      </w:r>
      <w:r>
        <w:rPr>
          <w:rFonts w:hint="default" w:ascii="仿宋" w:hAnsi="仿宋" w:eastAsia="仿宋" w:cs="仿宋"/>
          <w:color w:val="auto"/>
          <w:kern w:val="0"/>
          <w:sz w:val="32"/>
          <w:szCs w:val="32"/>
          <w:lang w:val="en-US" w:eastAsia="zh-CN" w:bidi="ar-SA"/>
        </w:rPr>
        <w:t>《大气污染物综合排放标准》（GB</w:t>
      </w:r>
      <w:r>
        <w:rPr>
          <w:rFonts w:hint="eastAsia" w:ascii="仿宋" w:hAnsi="仿宋" w:eastAsia="仿宋" w:cs="仿宋"/>
          <w:color w:val="auto"/>
          <w:kern w:val="0"/>
          <w:sz w:val="32"/>
          <w:szCs w:val="32"/>
          <w:lang w:val="en-US" w:eastAsia="zh-CN" w:bidi="ar-SA"/>
        </w:rPr>
        <w:t xml:space="preserve"> </w:t>
      </w:r>
      <w:r>
        <w:rPr>
          <w:rFonts w:hint="default" w:ascii="仿宋" w:hAnsi="仿宋" w:eastAsia="仿宋" w:cs="仿宋"/>
          <w:color w:val="auto"/>
          <w:kern w:val="0"/>
          <w:sz w:val="32"/>
          <w:szCs w:val="32"/>
          <w:lang w:val="en-US" w:eastAsia="zh-CN" w:bidi="ar-SA"/>
        </w:rPr>
        <w:t>16297-1996）</w:t>
      </w:r>
      <w:r>
        <w:rPr>
          <w:rFonts w:hint="eastAsia" w:ascii="仿宋" w:hAnsi="仿宋" w:eastAsia="仿宋" w:cs="仿宋"/>
          <w:color w:val="auto"/>
          <w:kern w:val="0"/>
          <w:sz w:val="32"/>
          <w:szCs w:val="32"/>
          <w:lang w:val="en-US" w:eastAsia="zh-CN" w:bidi="ar-SA"/>
        </w:rPr>
        <w:t>表2中</w:t>
      </w:r>
      <w:r>
        <w:rPr>
          <w:rFonts w:hint="default" w:ascii="仿宋" w:hAnsi="仿宋" w:eastAsia="仿宋" w:cs="仿宋"/>
          <w:color w:val="auto"/>
          <w:kern w:val="0"/>
          <w:sz w:val="32"/>
          <w:szCs w:val="32"/>
          <w:lang w:val="en-US" w:eastAsia="zh-CN" w:bidi="ar-SA"/>
        </w:rPr>
        <w:t>二级标准</w:t>
      </w:r>
      <w:r>
        <w:rPr>
          <w:rFonts w:hint="eastAsia" w:ascii="仿宋" w:hAnsi="仿宋" w:eastAsia="仿宋" w:cs="仿宋"/>
          <w:color w:val="auto"/>
          <w:kern w:val="0"/>
          <w:sz w:val="32"/>
          <w:szCs w:val="32"/>
          <w:lang w:val="en-US" w:eastAsia="zh-CN" w:bidi="ar-SA"/>
        </w:rPr>
        <w:t>；项目无组织废气排放执行《大气污染物综合排放标准》（G</w:t>
      </w:r>
      <w:r>
        <w:rPr>
          <w:rStyle w:val="16"/>
          <w:rFonts w:hint="eastAsia" w:ascii="仿宋" w:hAnsi="仿宋" w:eastAsia="仿宋" w:cs="Times New Roman"/>
          <w:sz w:val="32"/>
          <w:szCs w:val="32"/>
        </w:rPr>
        <w:t>B</w:t>
      </w:r>
      <w:r>
        <w:rPr>
          <w:rStyle w:val="16"/>
          <w:rFonts w:hint="eastAsia" w:ascii="仿宋" w:hAnsi="仿宋" w:eastAsia="仿宋" w:cs="Times New Roman"/>
          <w:sz w:val="32"/>
          <w:szCs w:val="32"/>
          <w:lang w:val="en-US" w:eastAsia="zh-CN"/>
        </w:rPr>
        <w:t xml:space="preserve"> </w:t>
      </w:r>
      <w:r>
        <w:rPr>
          <w:rStyle w:val="16"/>
          <w:rFonts w:hint="eastAsia" w:ascii="仿宋" w:hAnsi="仿宋" w:eastAsia="仿宋" w:cs="Times New Roman"/>
          <w:sz w:val="32"/>
          <w:szCs w:val="32"/>
        </w:rPr>
        <w:t>16297-1996）表2中无组织排放监控浓度限值</w:t>
      </w:r>
      <w:r>
        <w:rPr>
          <w:rStyle w:val="16"/>
          <w:rFonts w:hint="eastAsia" w:ascii="仿宋" w:hAnsi="仿宋" w:eastAsia="仿宋" w:cs="Times New Roman"/>
          <w:sz w:val="32"/>
          <w:szCs w:val="32"/>
          <w:lang w:eastAsia="zh-CN"/>
        </w:rPr>
        <w:t>。</w:t>
      </w:r>
    </w:p>
    <w:p w14:paraId="61734961">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kern w:val="0"/>
          <w:sz w:val="32"/>
          <w:szCs w:val="32"/>
          <w:lang w:val="en-US" w:eastAsia="zh-CN" w:bidi="ar-SA"/>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不产生生</w:t>
      </w:r>
      <w:r>
        <w:rPr>
          <w:rStyle w:val="16"/>
          <w:rFonts w:hint="eastAsia" w:ascii="仿宋" w:hAnsi="仿宋" w:eastAsia="仿宋" w:cs="Times New Roman"/>
          <w:color w:val="000000"/>
          <w:sz w:val="32"/>
          <w:szCs w:val="32"/>
          <w:lang w:val="en-US" w:eastAsia="zh-CN" w:bidi="ar-SA"/>
        </w:rPr>
        <w:t>产废水。</w:t>
      </w:r>
      <w:r>
        <w:rPr>
          <w:rStyle w:val="16"/>
          <w:rFonts w:hint="default" w:ascii="仿宋" w:hAnsi="仿宋" w:eastAsia="仿宋" w:cs="Times New Roman"/>
          <w:color w:val="000000"/>
          <w:sz w:val="32"/>
          <w:szCs w:val="32"/>
          <w:lang w:val="en-US" w:eastAsia="zh-CN" w:bidi="ar-SA"/>
        </w:rPr>
        <w:t>生活</w:t>
      </w:r>
      <w:r>
        <w:rPr>
          <w:rStyle w:val="16"/>
          <w:rFonts w:hint="default" w:ascii="仿宋" w:hAnsi="仿宋" w:eastAsia="仿宋" w:cs="Times New Roman"/>
          <w:color w:val="auto"/>
          <w:sz w:val="32"/>
          <w:szCs w:val="32"/>
          <w:lang w:val="en-US" w:eastAsia="zh-CN" w:bidi="ar-SA"/>
        </w:rPr>
        <w:t>污水经化</w:t>
      </w:r>
      <w:r>
        <w:rPr>
          <w:rFonts w:hint="default" w:ascii="仿宋" w:hAnsi="仿宋" w:eastAsia="仿宋" w:cs="仿宋"/>
          <w:color w:val="auto"/>
          <w:kern w:val="0"/>
          <w:sz w:val="32"/>
          <w:szCs w:val="32"/>
          <w:lang w:val="en-US" w:eastAsia="zh-CN" w:bidi="ar-SA"/>
        </w:rPr>
        <w:t>粪池</w:t>
      </w:r>
      <w:r>
        <w:rPr>
          <w:rFonts w:hint="eastAsia" w:ascii="仿宋" w:hAnsi="仿宋" w:eastAsia="仿宋" w:cs="仿宋"/>
          <w:color w:val="auto"/>
          <w:kern w:val="0"/>
          <w:sz w:val="32"/>
          <w:szCs w:val="32"/>
          <w:lang w:val="en-US" w:eastAsia="zh-CN" w:bidi="ar-SA"/>
        </w:rPr>
        <w:t>沉淀</w:t>
      </w:r>
      <w:r>
        <w:rPr>
          <w:rFonts w:hint="default" w:ascii="仿宋" w:hAnsi="仿宋" w:eastAsia="仿宋" w:cs="仿宋"/>
          <w:color w:val="auto"/>
          <w:kern w:val="0"/>
          <w:sz w:val="32"/>
          <w:szCs w:val="32"/>
          <w:lang w:val="en-US" w:eastAsia="zh-CN" w:bidi="ar-SA"/>
        </w:rPr>
        <w:t>后</w:t>
      </w:r>
      <w:r>
        <w:rPr>
          <w:rFonts w:hint="eastAsia" w:ascii="仿宋" w:hAnsi="仿宋" w:eastAsia="仿宋" w:cs="仿宋"/>
          <w:color w:val="auto"/>
          <w:kern w:val="0"/>
          <w:sz w:val="32"/>
          <w:szCs w:val="32"/>
          <w:lang w:val="en-US" w:eastAsia="zh-CN" w:bidi="ar-SA"/>
        </w:rPr>
        <w:t>由罐车运至东胜区北郊水质净化厂处理。</w:t>
      </w:r>
    </w:p>
    <w:p w14:paraId="568EC4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w:t>
      </w:r>
      <w:r>
        <w:rPr>
          <w:rStyle w:val="16"/>
          <w:rFonts w:hint="eastAsia" w:ascii="仿宋" w:hAnsi="仿宋" w:eastAsia="仿宋"/>
          <w:color w:val="auto"/>
          <w:sz w:val="32"/>
          <w:szCs w:val="32"/>
          <w:lang w:val="en-US" w:eastAsia="zh-CN"/>
        </w:rPr>
        <w:t xml:space="preserve"> </w:t>
      </w:r>
      <w:r>
        <w:rPr>
          <w:rStyle w:val="16"/>
          <w:rFonts w:hint="eastAsia" w:ascii="仿宋" w:hAnsi="仿宋" w:eastAsia="仿宋"/>
          <w:color w:val="auto"/>
          <w:sz w:val="32"/>
          <w:szCs w:val="32"/>
        </w:rPr>
        <w:t>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14:paraId="70DEFF02">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 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rPr>
        <w:t>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 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5DF375B4">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14:paraId="2152D1A8">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01B59AA9">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5E969D6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1028AF4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28BCEF1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10D7002F">
      <w:pPr>
        <w:spacing w:line="360" w:lineRule="auto"/>
        <w:ind w:firstLine="3840" w:firstLineChars="1200"/>
        <w:textAlignment w:val="auto"/>
        <w:rPr>
          <w:rStyle w:val="16"/>
          <w:rFonts w:hint="eastAsia" w:ascii="仿宋" w:hAnsi="仿宋" w:eastAsia="仿宋"/>
          <w:color w:val="auto"/>
          <w:sz w:val="32"/>
          <w:szCs w:val="32"/>
        </w:rPr>
      </w:pPr>
    </w:p>
    <w:p w14:paraId="159972CF">
      <w:pPr>
        <w:spacing w:line="360" w:lineRule="auto"/>
        <w:ind w:firstLine="3840" w:firstLineChars="1200"/>
        <w:textAlignment w:val="auto"/>
        <w:rPr>
          <w:rStyle w:val="16"/>
          <w:rFonts w:hint="eastAsia" w:ascii="仿宋" w:hAnsi="仿宋" w:eastAsia="仿宋"/>
          <w:color w:val="auto"/>
          <w:sz w:val="32"/>
          <w:szCs w:val="32"/>
        </w:rPr>
      </w:pPr>
    </w:p>
    <w:p w14:paraId="45D7866F">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0DD08EF5">
      <w:pPr>
        <w:spacing w:line="360" w:lineRule="auto"/>
        <w:ind w:firstLine="640" w:firstLineChars="200"/>
        <w:textAlignment w:val="auto"/>
        <w:rPr>
          <w:rStyle w:val="16"/>
          <w:rFonts w:hint="eastAsia"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日</w:t>
      </w:r>
    </w:p>
    <w:p w14:paraId="62CB66A3">
      <w:pPr>
        <w:spacing w:line="360" w:lineRule="auto"/>
        <w:ind w:firstLine="640" w:firstLineChars="200"/>
        <w:textAlignment w:val="auto"/>
        <w:rPr>
          <w:rStyle w:val="16"/>
          <w:rFonts w:ascii="仿宋" w:hAnsi="仿宋" w:eastAsia="仿宋"/>
          <w:color w:val="auto"/>
          <w:sz w:val="32"/>
          <w:szCs w:val="32"/>
        </w:rPr>
      </w:pPr>
    </w:p>
    <w:p w14:paraId="3680CDEF">
      <w:pPr>
        <w:pStyle w:val="3"/>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lang w:val="en-US" w:eastAsia="zh-CN"/>
        </w:rPr>
        <w:t xml:space="preserve"> </w:t>
      </w:r>
    </w:p>
    <w:p w14:paraId="7C11B10C">
      <w:pPr>
        <w:rPr>
          <w:rStyle w:val="16"/>
          <w:rFonts w:hint="eastAsia" w:ascii="仿宋" w:hAnsi="仿宋" w:eastAsia="仿宋"/>
          <w:color w:val="auto"/>
          <w:sz w:val="32"/>
          <w:szCs w:val="32"/>
          <w:lang w:val="en-US" w:eastAsia="zh-CN"/>
        </w:rPr>
      </w:pPr>
    </w:p>
    <w:p w14:paraId="4B9CAD6A">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CD6E1">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C6E77D">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6C6E77D">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536FC46D">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13798">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0120EB">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0120EB">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41BD5810">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8270">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24BCA"/>
    <w:multiLevelType w:val="singleLevel"/>
    <w:tmpl w:val="B9F24BCA"/>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913D5"/>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664E8"/>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95B40"/>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2A4220"/>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7F4883"/>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F54D58"/>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5DA4BCA"/>
    <w:rsid w:val="56073F6A"/>
    <w:rsid w:val="56660C90"/>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64EA6"/>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597B54"/>
    <w:rsid w:val="60854409"/>
    <w:rsid w:val="60B2650C"/>
    <w:rsid w:val="611D40E2"/>
    <w:rsid w:val="614462DE"/>
    <w:rsid w:val="61A12EB3"/>
    <w:rsid w:val="61A86601"/>
    <w:rsid w:val="61B516C4"/>
    <w:rsid w:val="61EF4764"/>
    <w:rsid w:val="625904A9"/>
    <w:rsid w:val="628730AA"/>
    <w:rsid w:val="629D3C8C"/>
    <w:rsid w:val="62A64AED"/>
    <w:rsid w:val="62B965EC"/>
    <w:rsid w:val="62BE2B8C"/>
    <w:rsid w:val="632919C3"/>
    <w:rsid w:val="632D32DF"/>
    <w:rsid w:val="636B778B"/>
    <w:rsid w:val="63713FBD"/>
    <w:rsid w:val="63950102"/>
    <w:rsid w:val="63A177AC"/>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0961B1"/>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2F5E24"/>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1620</Words>
  <Characters>1742</Characters>
  <Lines>10</Lines>
  <Paragraphs>3</Paragraphs>
  <TotalTime>21</TotalTime>
  <ScaleCrop>false</ScaleCrop>
  <LinksUpToDate>false</LinksUpToDate>
  <CharactersWithSpaces>1826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2024-12-03T03:22:35Z</cp:lastPrinted>
  <dcterms:modified xsi:type="dcterms:W3CDTF">2024-12-03T07:04:14Z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4B223CA2B5B24F0BBC3925F45DAE3489</vt:lpwstr>
  </property>
</Properties>
</file>