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3EC83">
      <w:pPr>
        <w:snapToGrid w:val="0"/>
        <w:spacing w:line="580" w:lineRule="exact"/>
        <w:jc w:val="center"/>
        <w:rPr>
          <w:rStyle w:val="18"/>
          <w:rFonts w:ascii="仿宋_GB2312" w:eastAsia="仿宋_GB2312"/>
          <w:color w:val="auto"/>
          <w:sz w:val="32"/>
          <w:szCs w:val="32"/>
        </w:rPr>
      </w:pPr>
    </w:p>
    <w:p w14:paraId="0EA79A89">
      <w:pPr>
        <w:snapToGrid w:val="0"/>
        <w:spacing w:line="580" w:lineRule="exact"/>
        <w:jc w:val="center"/>
        <w:rPr>
          <w:rStyle w:val="18"/>
          <w:rFonts w:ascii="仿宋_GB2312" w:eastAsia="仿宋_GB2312"/>
          <w:color w:val="auto"/>
          <w:sz w:val="32"/>
          <w:szCs w:val="32"/>
        </w:rPr>
      </w:pPr>
    </w:p>
    <w:p w14:paraId="792AB13D">
      <w:pPr>
        <w:snapToGrid w:val="0"/>
        <w:spacing w:line="580" w:lineRule="exact"/>
        <w:jc w:val="center"/>
        <w:rPr>
          <w:rStyle w:val="18"/>
          <w:rFonts w:ascii="仿宋_GB2312" w:eastAsia="仿宋_GB2312"/>
          <w:color w:val="auto"/>
          <w:sz w:val="32"/>
          <w:szCs w:val="32"/>
        </w:rPr>
      </w:pPr>
    </w:p>
    <w:p w14:paraId="5E28CD52">
      <w:pPr>
        <w:snapToGrid w:val="0"/>
        <w:spacing w:line="580" w:lineRule="exact"/>
        <w:jc w:val="center"/>
        <w:rPr>
          <w:rStyle w:val="18"/>
          <w:rFonts w:ascii="仿宋_GB2312" w:eastAsia="仿宋_GB2312"/>
          <w:color w:val="auto"/>
          <w:sz w:val="32"/>
          <w:szCs w:val="32"/>
        </w:rPr>
      </w:pPr>
    </w:p>
    <w:p w14:paraId="16DF332B">
      <w:pPr>
        <w:snapToGrid w:val="0"/>
        <w:spacing w:line="580" w:lineRule="exact"/>
        <w:jc w:val="center"/>
        <w:rPr>
          <w:rStyle w:val="18"/>
          <w:rFonts w:ascii="仿宋_GB2312" w:eastAsia="仿宋_GB2312"/>
          <w:color w:val="auto"/>
          <w:sz w:val="32"/>
          <w:szCs w:val="32"/>
        </w:rPr>
      </w:pPr>
    </w:p>
    <w:p w14:paraId="1B3494C8">
      <w:pPr>
        <w:snapToGrid w:val="0"/>
        <w:spacing w:line="580" w:lineRule="exact"/>
        <w:jc w:val="center"/>
        <w:rPr>
          <w:rStyle w:val="18"/>
          <w:rFonts w:ascii="仿宋_GB2312" w:eastAsia="仿宋_GB2312"/>
          <w:color w:val="auto"/>
          <w:sz w:val="32"/>
          <w:szCs w:val="32"/>
        </w:rPr>
      </w:pPr>
    </w:p>
    <w:p w14:paraId="38ED3F63">
      <w:pPr>
        <w:snapToGrid w:val="0"/>
        <w:spacing w:line="580" w:lineRule="exact"/>
        <w:jc w:val="center"/>
        <w:rPr>
          <w:rStyle w:val="18"/>
          <w:rFonts w:ascii="仿宋_GB2312" w:eastAsia="仿宋_GB2312"/>
          <w:color w:val="auto"/>
          <w:sz w:val="32"/>
          <w:szCs w:val="32"/>
        </w:rPr>
      </w:pPr>
    </w:p>
    <w:p w14:paraId="5FE7A0DC">
      <w:pPr>
        <w:snapToGrid w:val="0"/>
        <w:spacing w:line="580" w:lineRule="exact"/>
        <w:jc w:val="center"/>
        <w:rPr>
          <w:rStyle w:val="18"/>
          <w:rFonts w:ascii="仿宋_GB2312" w:eastAsia="仿宋_GB2312"/>
          <w:color w:val="auto"/>
          <w:sz w:val="32"/>
          <w:szCs w:val="32"/>
        </w:rPr>
      </w:pPr>
    </w:p>
    <w:p w14:paraId="16C524DD">
      <w:pPr>
        <w:pStyle w:val="27"/>
        <w:rPr>
          <w:rStyle w:val="18"/>
          <w:color w:val="auto"/>
        </w:rPr>
      </w:pPr>
    </w:p>
    <w:p w14:paraId="735B61D6">
      <w:pPr>
        <w:snapToGrid w:val="0"/>
        <w:spacing w:line="600" w:lineRule="exact"/>
        <w:rPr>
          <w:rStyle w:val="18"/>
          <w:rFonts w:ascii="仿宋_GB2312" w:eastAsia="仿宋_GB2312"/>
          <w:color w:val="auto"/>
          <w:sz w:val="32"/>
          <w:szCs w:val="32"/>
        </w:rPr>
      </w:pPr>
    </w:p>
    <w:p w14:paraId="430E0636">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eastAsia="zh-CN"/>
        </w:rPr>
        <w:t>25</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14:paraId="4AB37828">
      <w:pPr>
        <w:spacing w:line="600" w:lineRule="exact"/>
        <w:jc w:val="center"/>
        <w:rPr>
          <w:rStyle w:val="18"/>
          <w:rFonts w:hint="eastAsia" w:ascii="宋体" w:hAnsi="宋体" w:eastAsia="宋体" w:cs="宋体"/>
          <w:b/>
          <w:bCs w:val="0"/>
          <w:color w:val="auto"/>
          <w:sz w:val="44"/>
          <w:szCs w:val="44"/>
        </w:rPr>
      </w:pPr>
    </w:p>
    <w:p w14:paraId="083E1D06">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20E5D858">
      <w:pPr>
        <w:spacing w:line="600" w:lineRule="exact"/>
        <w:jc w:val="center"/>
        <w:rPr>
          <w:rStyle w:val="18"/>
          <w:rFonts w:hint="eastAsia" w:ascii="宋体" w:hAnsi="宋体" w:eastAsia="宋体" w:cs="Times New Roman"/>
          <w:b/>
          <w:bCs w:val="0"/>
          <w:color w:val="auto"/>
          <w:sz w:val="44"/>
          <w:szCs w:val="44"/>
          <w:lang w:val="en-US" w:eastAsia="zh-CN"/>
        </w:rPr>
      </w:pPr>
      <w:r>
        <w:rPr>
          <w:rStyle w:val="18"/>
          <w:rFonts w:hint="eastAsia" w:ascii="宋体" w:hAnsi="宋体" w:eastAsia="宋体" w:cs="Times New Roman"/>
          <w:b/>
          <w:bCs w:val="0"/>
          <w:color w:val="auto"/>
          <w:sz w:val="44"/>
          <w:szCs w:val="44"/>
          <w:lang w:val="en-US" w:eastAsia="zh-CN"/>
        </w:rPr>
        <w:t>内蒙古嘉士特建筑节能材料有限公司</w:t>
      </w:r>
    </w:p>
    <w:p w14:paraId="099747D3">
      <w:pPr>
        <w:spacing w:line="600" w:lineRule="exact"/>
        <w:jc w:val="center"/>
        <w:rPr>
          <w:rStyle w:val="18"/>
          <w:rFonts w:hint="default" w:ascii="宋体" w:hAnsi="宋体" w:eastAsia="宋体"/>
          <w:b/>
          <w:bCs w:val="0"/>
          <w:color w:val="auto"/>
          <w:sz w:val="44"/>
          <w:szCs w:val="44"/>
          <w:lang w:val="en-US" w:eastAsia="zh-CN"/>
        </w:rPr>
      </w:pPr>
      <w:r>
        <w:rPr>
          <w:rStyle w:val="18"/>
          <w:rFonts w:hint="default" w:ascii="宋体" w:hAnsi="宋体" w:eastAsia="宋体" w:cs="Times New Roman"/>
          <w:b/>
          <w:bCs w:val="0"/>
          <w:color w:val="auto"/>
          <w:sz w:val="44"/>
          <w:szCs w:val="44"/>
          <w:lang w:val="en-US" w:eastAsia="zh-CN"/>
        </w:rPr>
        <w:t>建筑节能保温材料生产项目</w:t>
      </w:r>
    </w:p>
    <w:p w14:paraId="122BA2B3">
      <w:pPr>
        <w:spacing w:line="600" w:lineRule="exact"/>
        <w:jc w:val="center"/>
        <w:rPr>
          <w:rStyle w:val="18"/>
          <w:rFonts w:hint="eastAsia" w:ascii="宋体" w:hAnsi="宋体" w:eastAsia="宋体" w:cs="Times New Roman"/>
          <w:b/>
          <w:bCs w:val="0"/>
          <w:color w:val="auto"/>
          <w:sz w:val="44"/>
          <w:szCs w:val="44"/>
        </w:rPr>
      </w:pPr>
      <w:r>
        <w:rPr>
          <w:rStyle w:val="18"/>
          <w:rFonts w:hint="eastAsia" w:ascii="宋体" w:hAnsi="宋体" w:eastAsia="宋体" w:cs="Times New Roman"/>
          <w:b/>
          <w:bCs w:val="0"/>
          <w:color w:val="auto"/>
          <w:sz w:val="44"/>
          <w:szCs w:val="44"/>
        </w:rPr>
        <w:t>环境影响报告表的批复</w:t>
      </w:r>
    </w:p>
    <w:p w14:paraId="27FE037B">
      <w:pPr>
        <w:spacing w:line="360" w:lineRule="auto"/>
        <w:textAlignment w:val="auto"/>
        <w:rPr>
          <w:rStyle w:val="18"/>
          <w:rFonts w:hint="eastAsia" w:ascii="仿宋" w:hAnsi="仿宋" w:eastAsia="仿宋"/>
          <w:sz w:val="32"/>
          <w:szCs w:val="32"/>
          <w:lang w:eastAsia="zh-CN"/>
        </w:rPr>
      </w:pPr>
    </w:p>
    <w:p w14:paraId="3A96F63F">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cs="Times New Roman"/>
          <w:sz w:val="32"/>
          <w:szCs w:val="32"/>
          <w:lang w:val="en-US" w:eastAsia="zh-CN"/>
        </w:rPr>
        <w:t>内蒙古嘉士特建筑节能材料有限公司：</w:t>
      </w:r>
    </w:p>
    <w:p w14:paraId="10DF4FEE">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Style w:val="18"/>
          <w:rFonts w:hint="eastAsia" w:ascii="仿宋" w:hAnsi="仿宋" w:eastAsia="仿宋"/>
          <w:sz w:val="32"/>
          <w:szCs w:val="32"/>
        </w:rPr>
        <w:t>你</w:t>
      </w:r>
      <w:r>
        <w:rPr>
          <w:rStyle w:val="18"/>
          <w:rFonts w:hint="eastAsia" w:ascii="仿宋" w:hAnsi="仿宋" w:eastAsia="仿宋"/>
          <w:sz w:val="32"/>
          <w:szCs w:val="32"/>
          <w:lang w:val="en-US" w:eastAsia="zh-CN"/>
        </w:rPr>
        <w:t>单位</w:t>
      </w:r>
      <w:r>
        <w:rPr>
          <w:rStyle w:val="18"/>
          <w:rFonts w:hint="eastAsia" w:ascii="仿宋" w:hAnsi="仿宋" w:eastAsia="仿宋"/>
          <w:sz w:val="32"/>
          <w:szCs w:val="32"/>
        </w:rPr>
        <w:t>报送</w:t>
      </w:r>
      <w:r>
        <w:rPr>
          <w:rStyle w:val="18"/>
          <w:rFonts w:hint="eastAsia" w:ascii="仿宋" w:hAnsi="仿宋" w:eastAsia="仿宋" w:cs="Times New Roman"/>
          <w:sz w:val="32"/>
          <w:szCs w:val="32"/>
          <w:lang w:val="en-US" w:eastAsia="zh-CN"/>
        </w:rPr>
        <w:t>的由鄂尔多斯市奇胜安环科技有限公司编制</w:t>
      </w:r>
      <w:r>
        <w:rPr>
          <w:rStyle w:val="18"/>
          <w:rFonts w:hint="eastAsia" w:ascii="仿宋" w:hAnsi="仿宋" w:eastAsia="仿宋"/>
          <w:sz w:val="32"/>
          <w:szCs w:val="32"/>
        </w:rPr>
        <w:t>的</w:t>
      </w:r>
      <w:r>
        <w:rPr>
          <w:rStyle w:val="18"/>
          <w:rFonts w:hint="eastAsia" w:ascii="仿宋" w:hAnsi="仿宋" w:eastAsia="仿宋" w:cs="Times New Roman"/>
          <w:sz w:val="32"/>
          <w:szCs w:val="32"/>
          <w:lang w:val="en-US" w:eastAsia="zh-CN"/>
        </w:rPr>
        <w:t>《内蒙古嘉士特建筑节能材料有限公司</w:t>
      </w:r>
      <w:r>
        <w:rPr>
          <w:rStyle w:val="18"/>
          <w:rFonts w:hint="default" w:ascii="仿宋" w:hAnsi="仿宋" w:eastAsia="仿宋" w:cs="Times New Roman"/>
          <w:sz w:val="32"/>
          <w:szCs w:val="32"/>
          <w:lang w:val="en-US" w:eastAsia="zh-CN"/>
        </w:rPr>
        <w:t>建筑节能保温材料生产项目</w:t>
      </w:r>
      <w:r>
        <w:rPr>
          <w:rStyle w:val="18"/>
          <w:rFonts w:hint="eastAsia" w:ascii="仿宋" w:hAnsi="仿宋" w:eastAsia="仿宋" w:cs="Times New Roman"/>
          <w:sz w:val="32"/>
          <w:szCs w:val="32"/>
          <w:lang w:val="en-US" w:eastAsia="zh-CN"/>
        </w:rPr>
        <w:t>环境影响报告表》</w:t>
      </w:r>
      <w:bookmarkStart w:id="0" w:name="_GoBack"/>
      <w:bookmarkEnd w:id="0"/>
      <w:r>
        <w:rPr>
          <w:rStyle w:val="18"/>
          <w:rFonts w:hint="eastAsia" w:ascii="仿宋" w:hAnsi="仿宋" w:eastAsia="仿宋" w:cs="Times New Roman"/>
          <w:sz w:val="32"/>
          <w:szCs w:val="32"/>
          <w:lang w:val="en-US" w:eastAsia="zh-CN"/>
        </w:rPr>
        <w:t>（以下简称《报告表》）已收悉。经组织专家评审，集体研究，形成如下审批意见：</w:t>
      </w:r>
    </w:p>
    <w:p w14:paraId="1FA63C6D">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cs="Times New Roman"/>
          <w:sz w:val="32"/>
          <w:szCs w:val="32"/>
          <w:lang w:val="en-US"/>
        </w:rPr>
      </w:pPr>
      <w:r>
        <w:rPr>
          <w:rStyle w:val="18"/>
          <w:rFonts w:hint="eastAsia" w:ascii="仿宋" w:hAnsi="仿宋" w:eastAsia="仿宋"/>
          <w:sz w:val="32"/>
          <w:szCs w:val="32"/>
          <w:lang w:val="en-US" w:eastAsia="zh-CN"/>
        </w:rPr>
        <w:t>一、</w:t>
      </w:r>
      <w:r>
        <w:rPr>
          <w:rStyle w:val="18"/>
          <w:rFonts w:hint="eastAsia" w:ascii="仿宋" w:hAnsi="仿宋" w:eastAsia="仿宋"/>
          <w:sz w:val="32"/>
          <w:szCs w:val="32"/>
        </w:rPr>
        <w:t>该项目属于</w:t>
      </w:r>
      <w:r>
        <w:rPr>
          <w:rStyle w:val="18"/>
          <w:rFonts w:hint="eastAsia" w:ascii="仿宋" w:hAnsi="仿宋" w:eastAsia="仿宋"/>
          <w:sz w:val="32"/>
          <w:szCs w:val="32"/>
          <w:lang w:eastAsia="zh-CN"/>
        </w:rPr>
        <w:t>扩</w:t>
      </w:r>
      <w:r>
        <w:rPr>
          <w:rStyle w:val="18"/>
          <w:rFonts w:hint="eastAsia" w:ascii="仿宋" w:hAnsi="仿宋" w:eastAsia="仿宋"/>
          <w:sz w:val="32"/>
          <w:szCs w:val="32"/>
        </w:rPr>
        <w:t>建项目</w:t>
      </w:r>
      <w:r>
        <w:rPr>
          <w:rStyle w:val="18"/>
          <w:rFonts w:hint="eastAsia" w:ascii="仿宋" w:hAnsi="仿宋" w:eastAsia="仿宋"/>
          <w:sz w:val="32"/>
          <w:szCs w:val="32"/>
          <w:lang w:val="en-US" w:eastAsia="zh-CN"/>
        </w:rPr>
        <w:t>，位</w:t>
      </w:r>
      <w:r>
        <w:rPr>
          <w:rStyle w:val="18"/>
          <w:rFonts w:hint="eastAsia" w:ascii="仿宋" w:hAnsi="仿宋" w:eastAsia="仿宋" w:cs="Times New Roman"/>
          <w:sz w:val="32"/>
          <w:szCs w:val="32"/>
          <w:lang w:val="en-US" w:eastAsia="zh-CN"/>
        </w:rPr>
        <w:t>于东胜区铜川镇麻黄湾建材园区。</w:t>
      </w:r>
      <w:r>
        <w:rPr>
          <w:rStyle w:val="18"/>
          <w:rFonts w:hint="eastAsia" w:ascii="仿宋" w:hAnsi="仿宋" w:eastAsia="仿宋" w:cs="Times New Roman"/>
          <w:sz w:val="32"/>
          <w:szCs w:val="32"/>
          <w:highlight w:val="none"/>
          <w:lang w:val="en-US" w:eastAsia="zh-CN"/>
        </w:rPr>
        <w:t>项目新增</w:t>
      </w:r>
      <w:r>
        <w:rPr>
          <w:rStyle w:val="18"/>
          <w:rFonts w:hint="eastAsia" w:ascii="仿宋" w:hAnsi="仿宋" w:eastAsia="仿宋" w:cs="Times New Roman"/>
          <w:sz w:val="32"/>
          <w:szCs w:val="32"/>
          <w:highlight w:val="none"/>
          <w:lang w:eastAsia="zh-CN"/>
        </w:rPr>
        <w:t>占地</w:t>
      </w:r>
      <w:r>
        <w:rPr>
          <w:rStyle w:val="18"/>
          <w:rFonts w:hint="eastAsia" w:ascii="仿宋" w:hAnsi="仿宋" w:eastAsia="仿宋" w:cs="Times New Roman"/>
          <w:sz w:val="32"/>
          <w:szCs w:val="32"/>
          <w:lang w:eastAsia="zh-CN"/>
        </w:rPr>
        <w:t>面</w:t>
      </w:r>
      <w:r>
        <w:rPr>
          <w:rStyle w:val="18"/>
          <w:rFonts w:hint="eastAsia" w:ascii="仿宋" w:hAnsi="仿宋" w:eastAsia="仿宋"/>
          <w:sz w:val="32"/>
          <w:szCs w:val="32"/>
          <w:lang w:eastAsia="zh-CN"/>
        </w:rPr>
        <w:t>积</w:t>
      </w:r>
      <w:r>
        <w:rPr>
          <w:rStyle w:val="18"/>
          <w:rFonts w:hint="eastAsia" w:ascii="仿宋" w:hAnsi="仿宋" w:eastAsia="仿宋"/>
          <w:sz w:val="32"/>
          <w:szCs w:val="32"/>
        </w:rPr>
        <w:t>10666.67</w:t>
      </w:r>
      <w:r>
        <w:rPr>
          <w:rStyle w:val="18"/>
          <w:rFonts w:hint="eastAsia" w:ascii="仿宋" w:hAnsi="仿宋" w:eastAsia="仿宋" w:cs="Times New Roman"/>
          <w:sz w:val="32"/>
          <w:szCs w:val="32"/>
          <w:lang w:eastAsia="zh-CN"/>
        </w:rPr>
        <w:t>平方</w:t>
      </w:r>
      <w:r>
        <w:rPr>
          <w:rStyle w:val="18"/>
          <w:rFonts w:hint="eastAsia" w:ascii="仿宋" w:hAnsi="仿宋" w:eastAsia="仿宋"/>
          <w:sz w:val="32"/>
          <w:szCs w:val="32"/>
          <w:highlight w:val="none"/>
          <w:lang w:eastAsia="zh-CN"/>
        </w:rPr>
        <w:t>米</w:t>
      </w:r>
      <w:r>
        <w:rPr>
          <w:rStyle w:val="18"/>
          <w:rFonts w:hint="eastAsia" w:ascii="仿宋" w:hAnsi="仿宋" w:eastAsia="仿宋" w:cs="Times New Roman"/>
          <w:sz w:val="32"/>
          <w:szCs w:val="32"/>
          <w:highlight w:val="none"/>
          <w:lang w:val="en-US" w:eastAsia="zh-CN"/>
        </w:rPr>
        <w:t>，</w:t>
      </w:r>
      <w:r>
        <w:rPr>
          <w:rStyle w:val="18"/>
          <w:rFonts w:hint="default" w:ascii="仿宋" w:hAnsi="仿宋" w:eastAsia="仿宋" w:cs="Times New Roman"/>
          <w:sz w:val="32"/>
          <w:szCs w:val="32"/>
          <w:highlight w:val="none"/>
          <w:lang w:val="en-US" w:eastAsia="zh-CN"/>
        </w:rPr>
        <w:t>总投资</w:t>
      </w:r>
      <w:r>
        <w:rPr>
          <w:rStyle w:val="18"/>
          <w:rFonts w:hint="eastAsia" w:ascii="仿宋" w:hAnsi="仿宋" w:eastAsia="仿宋"/>
          <w:sz w:val="32"/>
          <w:szCs w:val="32"/>
          <w:lang w:val="en-US" w:eastAsia="zh-CN"/>
        </w:rPr>
        <w:t>1500万</w:t>
      </w:r>
      <w:r>
        <w:rPr>
          <w:rStyle w:val="18"/>
          <w:rFonts w:hint="default" w:ascii="仿宋" w:hAnsi="仿宋" w:eastAsia="仿宋"/>
          <w:sz w:val="32"/>
          <w:szCs w:val="32"/>
          <w:lang w:val="en-US" w:eastAsia="zh-CN"/>
        </w:rPr>
        <w:t>元，</w:t>
      </w:r>
      <w:r>
        <w:rPr>
          <w:rStyle w:val="18"/>
          <w:rFonts w:hint="eastAsia" w:ascii="仿宋" w:hAnsi="仿宋" w:eastAsia="仿宋"/>
          <w:sz w:val="32"/>
          <w:szCs w:val="32"/>
          <w:lang w:val="en-US" w:eastAsia="zh-CN"/>
        </w:rPr>
        <w:t>其中</w:t>
      </w:r>
      <w:r>
        <w:rPr>
          <w:rStyle w:val="18"/>
          <w:rFonts w:hint="default" w:ascii="仿宋" w:hAnsi="仿宋" w:eastAsia="仿宋"/>
          <w:sz w:val="32"/>
          <w:szCs w:val="32"/>
        </w:rPr>
        <w:t>环保</w:t>
      </w:r>
      <w:r>
        <w:rPr>
          <w:rStyle w:val="18"/>
          <w:rFonts w:hint="default" w:ascii="仿宋" w:hAnsi="仿宋" w:eastAsia="仿宋"/>
          <w:sz w:val="32"/>
          <w:szCs w:val="32"/>
          <w:lang w:eastAsia="zh-CN"/>
        </w:rPr>
        <w:t>投资</w:t>
      </w:r>
      <w:r>
        <w:rPr>
          <w:rStyle w:val="18"/>
          <w:rFonts w:hint="eastAsia" w:ascii="仿宋" w:hAnsi="仿宋" w:eastAsia="仿宋"/>
          <w:sz w:val="32"/>
          <w:szCs w:val="32"/>
          <w:lang w:val="en-US" w:eastAsia="zh-CN"/>
        </w:rPr>
        <w:t>121万元</w:t>
      </w:r>
      <w:r>
        <w:rPr>
          <w:rStyle w:val="18"/>
          <w:rFonts w:hint="eastAsia" w:ascii="仿宋" w:hAnsi="仿宋" w:eastAsia="仿宋"/>
          <w:sz w:val="32"/>
          <w:szCs w:val="32"/>
          <w:lang w:eastAsia="zh-CN"/>
        </w:rPr>
        <w:t>。</w:t>
      </w:r>
      <w:r>
        <w:rPr>
          <w:rStyle w:val="18"/>
          <w:rFonts w:hint="eastAsia" w:ascii="仿宋" w:hAnsi="仿宋" w:eastAsia="仿宋" w:cs="Times New Roman"/>
          <w:sz w:val="32"/>
          <w:szCs w:val="32"/>
          <w:lang w:eastAsia="zh-CN"/>
        </w:rPr>
        <w:t>主要建设内容及规模：</w:t>
      </w:r>
      <w:r>
        <w:rPr>
          <w:rStyle w:val="18"/>
          <w:rFonts w:hint="eastAsia" w:ascii="仿宋" w:hAnsi="仿宋" w:eastAsia="仿宋" w:cs="Times New Roman"/>
          <w:sz w:val="32"/>
          <w:szCs w:val="32"/>
          <w:lang w:val="en-US" w:eastAsia="zh-CN"/>
        </w:rPr>
        <w:t>新建3座生产车间，其中</w:t>
      </w:r>
      <w:r>
        <w:rPr>
          <w:rStyle w:val="18"/>
          <w:rFonts w:hint="default" w:ascii="仿宋" w:hAnsi="仿宋" w:eastAsia="仿宋" w:cs="Times New Roman"/>
          <w:sz w:val="32"/>
          <w:szCs w:val="32"/>
          <w:lang w:val="en-US" w:eastAsia="zh-CN"/>
        </w:rPr>
        <w:t>1座1800</w:t>
      </w:r>
      <w:r>
        <w:rPr>
          <w:rStyle w:val="18"/>
          <w:rFonts w:hint="eastAsia" w:ascii="仿宋" w:hAnsi="仿宋" w:eastAsia="仿宋" w:cs="Times New Roman"/>
          <w:sz w:val="32"/>
          <w:szCs w:val="32"/>
          <w:highlight w:val="none"/>
          <w:lang w:eastAsia="zh-CN"/>
        </w:rPr>
        <w:t>平方</w:t>
      </w:r>
      <w:r>
        <w:rPr>
          <w:rStyle w:val="18"/>
          <w:rFonts w:hint="eastAsia" w:ascii="仿宋" w:hAnsi="仿宋" w:eastAsia="仿宋"/>
          <w:sz w:val="32"/>
          <w:szCs w:val="32"/>
          <w:highlight w:val="none"/>
          <w:lang w:eastAsia="zh-CN"/>
        </w:rPr>
        <w:t>米</w:t>
      </w:r>
      <w:r>
        <w:rPr>
          <w:rStyle w:val="18"/>
          <w:rFonts w:hint="default" w:ascii="仿宋" w:hAnsi="仿宋" w:eastAsia="仿宋" w:cs="Times New Roman"/>
          <w:sz w:val="32"/>
          <w:szCs w:val="32"/>
          <w:lang w:val="en-US" w:eastAsia="zh-CN"/>
        </w:rPr>
        <w:t>的1#</w:t>
      </w:r>
      <w:r>
        <w:rPr>
          <w:rStyle w:val="18"/>
          <w:rFonts w:hint="eastAsia" w:ascii="仿宋" w:hAnsi="仿宋" w:eastAsia="仿宋" w:cs="Times New Roman"/>
          <w:sz w:val="32"/>
          <w:szCs w:val="32"/>
          <w:lang w:val="en-US" w:eastAsia="zh-CN"/>
        </w:rPr>
        <w:t>全封</w:t>
      </w:r>
      <w:r>
        <w:rPr>
          <w:rStyle w:val="18"/>
          <w:rFonts w:hint="default" w:ascii="仿宋" w:hAnsi="仿宋" w:eastAsia="仿宋" w:cs="Times New Roman"/>
          <w:sz w:val="32"/>
          <w:szCs w:val="32"/>
          <w:lang w:val="en-US" w:eastAsia="zh-CN"/>
        </w:rPr>
        <w:t>闭一体板生产车间，内设2条一体板生产线</w:t>
      </w:r>
      <w:r>
        <w:rPr>
          <w:rStyle w:val="18"/>
          <w:rFonts w:hint="eastAsia" w:ascii="仿宋" w:hAnsi="仿宋" w:eastAsia="仿宋" w:cs="Times New Roman"/>
          <w:sz w:val="32"/>
          <w:szCs w:val="32"/>
          <w:lang w:val="en-US" w:eastAsia="zh-CN"/>
        </w:rPr>
        <w:t>；</w:t>
      </w:r>
      <w:r>
        <w:rPr>
          <w:rStyle w:val="18"/>
          <w:rFonts w:hint="default" w:ascii="仿宋" w:hAnsi="仿宋" w:eastAsia="仿宋" w:cs="Times New Roman"/>
          <w:sz w:val="32"/>
          <w:szCs w:val="32"/>
          <w:lang w:val="en-US" w:eastAsia="zh-CN"/>
        </w:rPr>
        <w:t>1座</w:t>
      </w:r>
      <w:r>
        <w:rPr>
          <w:rStyle w:val="18"/>
          <w:rFonts w:hint="eastAsia" w:ascii="仿宋" w:hAnsi="仿宋" w:eastAsia="仿宋" w:cs="Times New Roman"/>
          <w:sz w:val="32"/>
          <w:szCs w:val="32"/>
          <w:lang w:val="en-US" w:eastAsia="zh-CN"/>
        </w:rPr>
        <w:t>4</w:t>
      </w:r>
      <w:r>
        <w:rPr>
          <w:rStyle w:val="18"/>
          <w:rFonts w:hint="default" w:ascii="仿宋" w:hAnsi="仿宋" w:eastAsia="仿宋" w:cs="Times New Roman"/>
          <w:sz w:val="32"/>
          <w:szCs w:val="32"/>
          <w:lang w:val="en-US" w:eastAsia="zh-CN"/>
        </w:rPr>
        <w:t>00</w:t>
      </w:r>
      <w:r>
        <w:rPr>
          <w:rStyle w:val="18"/>
          <w:rFonts w:hint="eastAsia" w:ascii="仿宋" w:hAnsi="仿宋" w:eastAsia="仿宋" w:cs="Times New Roman"/>
          <w:sz w:val="32"/>
          <w:szCs w:val="32"/>
          <w:highlight w:val="none"/>
          <w:lang w:eastAsia="zh-CN"/>
        </w:rPr>
        <w:t>平方</w:t>
      </w:r>
      <w:r>
        <w:rPr>
          <w:rStyle w:val="18"/>
          <w:rFonts w:hint="eastAsia" w:ascii="仿宋" w:hAnsi="仿宋" w:eastAsia="仿宋"/>
          <w:sz w:val="32"/>
          <w:szCs w:val="32"/>
          <w:highlight w:val="none"/>
          <w:lang w:eastAsia="zh-CN"/>
        </w:rPr>
        <w:t>米</w:t>
      </w:r>
      <w:r>
        <w:rPr>
          <w:rStyle w:val="18"/>
          <w:rFonts w:hint="default" w:ascii="仿宋" w:hAnsi="仿宋" w:eastAsia="仿宋" w:cs="Times New Roman"/>
          <w:sz w:val="32"/>
          <w:szCs w:val="32"/>
          <w:lang w:val="en-US" w:eastAsia="zh-CN"/>
        </w:rPr>
        <w:t>的2#</w:t>
      </w:r>
      <w:r>
        <w:rPr>
          <w:rStyle w:val="18"/>
          <w:rFonts w:hint="eastAsia" w:ascii="仿宋" w:hAnsi="仿宋" w:eastAsia="仿宋" w:cs="Times New Roman"/>
          <w:sz w:val="32"/>
          <w:szCs w:val="32"/>
          <w:lang w:val="en-US" w:eastAsia="zh-CN"/>
        </w:rPr>
        <w:t>全封</w:t>
      </w:r>
      <w:r>
        <w:rPr>
          <w:rStyle w:val="18"/>
          <w:rFonts w:hint="default" w:ascii="仿宋" w:hAnsi="仿宋" w:eastAsia="仿宋" w:cs="Times New Roman"/>
          <w:sz w:val="32"/>
          <w:szCs w:val="32"/>
          <w:lang w:val="en-US" w:eastAsia="zh-CN"/>
        </w:rPr>
        <w:t>闭一体板生产车间，内设1条一体板生产线</w:t>
      </w:r>
      <w:r>
        <w:rPr>
          <w:rStyle w:val="18"/>
          <w:rFonts w:hint="eastAsia" w:ascii="仿宋" w:hAnsi="仿宋" w:eastAsia="仿宋" w:cs="Times New Roman"/>
          <w:sz w:val="32"/>
          <w:szCs w:val="32"/>
          <w:lang w:val="en-US" w:eastAsia="zh-CN"/>
        </w:rPr>
        <w:t>；</w:t>
      </w:r>
      <w:r>
        <w:rPr>
          <w:rStyle w:val="18"/>
          <w:rFonts w:hint="default" w:ascii="仿宋" w:hAnsi="仿宋" w:eastAsia="仿宋" w:cs="Times New Roman"/>
          <w:sz w:val="32"/>
          <w:szCs w:val="32"/>
          <w:lang w:val="en-US" w:eastAsia="zh-CN"/>
        </w:rPr>
        <w:t>1座1200</w:t>
      </w:r>
      <w:r>
        <w:rPr>
          <w:rStyle w:val="18"/>
          <w:rFonts w:hint="eastAsia" w:ascii="仿宋" w:hAnsi="仿宋" w:eastAsia="仿宋" w:cs="Times New Roman"/>
          <w:sz w:val="32"/>
          <w:szCs w:val="32"/>
          <w:highlight w:val="none"/>
          <w:lang w:eastAsia="zh-CN"/>
        </w:rPr>
        <w:t>平方</w:t>
      </w:r>
      <w:r>
        <w:rPr>
          <w:rStyle w:val="18"/>
          <w:rFonts w:hint="eastAsia" w:ascii="仿宋" w:hAnsi="仿宋" w:eastAsia="仿宋"/>
          <w:sz w:val="32"/>
          <w:szCs w:val="32"/>
          <w:highlight w:val="none"/>
          <w:lang w:eastAsia="zh-CN"/>
        </w:rPr>
        <w:t>米</w:t>
      </w:r>
      <w:r>
        <w:rPr>
          <w:rStyle w:val="18"/>
          <w:rFonts w:hint="default" w:ascii="仿宋" w:hAnsi="仿宋" w:eastAsia="仿宋" w:cs="Times New Roman"/>
          <w:sz w:val="32"/>
          <w:szCs w:val="32"/>
          <w:lang w:val="en-US" w:eastAsia="zh-CN"/>
        </w:rPr>
        <w:t>全封闭挤塑板生产车间，内设1条挤塑板生产线</w:t>
      </w:r>
      <w:r>
        <w:rPr>
          <w:rStyle w:val="18"/>
          <w:rFonts w:hint="eastAsia" w:ascii="仿宋" w:hAnsi="仿宋" w:eastAsia="仿宋" w:cs="Times New Roman"/>
          <w:sz w:val="32"/>
          <w:szCs w:val="32"/>
          <w:lang w:val="en-US" w:eastAsia="zh-CN"/>
        </w:rPr>
        <w:t>。新建1座10</w:t>
      </w:r>
      <w:r>
        <w:rPr>
          <w:rStyle w:val="18"/>
          <w:rFonts w:hint="eastAsia" w:ascii="仿宋" w:hAnsi="仿宋" w:eastAsia="仿宋" w:cs="Times New Roman"/>
          <w:sz w:val="32"/>
          <w:szCs w:val="32"/>
          <w:highlight w:val="none"/>
          <w:lang w:eastAsia="zh-CN"/>
        </w:rPr>
        <w:t>平方</w:t>
      </w:r>
      <w:r>
        <w:rPr>
          <w:rStyle w:val="18"/>
          <w:rFonts w:hint="eastAsia" w:ascii="仿宋" w:hAnsi="仿宋" w:eastAsia="仿宋"/>
          <w:sz w:val="32"/>
          <w:szCs w:val="32"/>
          <w:highlight w:val="none"/>
          <w:lang w:eastAsia="zh-CN"/>
        </w:rPr>
        <w:t>米</w:t>
      </w:r>
      <w:r>
        <w:rPr>
          <w:rStyle w:val="18"/>
          <w:rFonts w:hint="eastAsia" w:ascii="仿宋" w:hAnsi="仿宋" w:eastAsia="仿宋" w:cs="Times New Roman"/>
          <w:sz w:val="32"/>
          <w:szCs w:val="32"/>
          <w:lang w:val="en-US" w:eastAsia="zh-CN"/>
        </w:rPr>
        <w:t>危废暂存间，</w:t>
      </w:r>
      <w:r>
        <w:rPr>
          <w:rStyle w:val="18"/>
          <w:rFonts w:hint="default" w:ascii="仿宋" w:hAnsi="仿宋" w:eastAsia="仿宋" w:cs="Times New Roman"/>
          <w:sz w:val="32"/>
          <w:szCs w:val="32"/>
          <w:lang w:val="en-US" w:eastAsia="zh-CN"/>
        </w:rPr>
        <w:t>并配套建设相</w:t>
      </w:r>
      <w:r>
        <w:rPr>
          <w:rStyle w:val="18"/>
          <w:rFonts w:hint="default" w:ascii="仿宋" w:hAnsi="仿宋" w:eastAsia="仿宋" w:cs="Times New Roman"/>
          <w:sz w:val="32"/>
          <w:szCs w:val="32"/>
          <w:highlight w:val="none"/>
          <w:lang w:val="en-US" w:eastAsia="zh-CN"/>
        </w:rPr>
        <w:t>关公辅工程</w:t>
      </w:r>
      <w:r>
        <w:rPr>
          <w:rStyle w:val="18"/>
          <w:rFonts w:hint="eastAsia" w:ascii="仿宋" w:hAnsi="仿宋" w:eastAsia="仿宋" w:cs="Times New Roman"/>
          <w:sz w:val="32"/>
          <w:szCs w:val="32"/>
          <w:highlight w:val="none"/>
          <w:lang w:val="en-US" w:eastAsia="zh-CN"/>
        </w:rPr>
        <w:t>、储运工程</w:t>
      </w:r>
      <w:r>
        <w:rPr>
          <w:rStyle w:val="18"/>
          <w:rFonts w:hint="default" w:ascii="仿宋" w:hAnsi="仿宋" w:eastAsia="仿宋" w:cs="Times New Roman"/>
          <w:sz w:val="32"/>
          <w:szCs w:val="32"/>
          <w:highlight w:val="none"/>
          <w:lang w:val="en-US" w:eastAsia="zh-CN"/>
        </w:rPr>
        <w:t>和环保工程。</w:t>
      </w:r>
      <w:r>
        <w:rPr>
          <w:rStyle w:val="18"/>
          <w:rFonts w:hint="eastAsia" w:ascii="仿宋" w:hAnsi="仿宋" w:eastAsia="仿宋" w:cs="Times New Roman"/>
          <w:sz w:val="32"/>
          <w:szCs w:val="32"/>
          <w:highlight w:val="none"/>
          <w:lang w:val="en-US" w:eastAsia="zh-CN"/>
        </w:rPr>
        <w:t>项目建成后，</w:t>
      </w:r>
      <w:r>
        <w:rPr>
          <w:rStyle w:val="18"/>
          <w:rFonts w:hint="eastAsia" w:ascii="仿宋" w:hAnsi="仿宋" w:eastAsia="仿宋" w:cs="Times New Roman"/>
          <w:sz w:val="32"/>
          <w:szCs w:val="32"/>
          <w:lang w:val="en-US" w:eastAsia="zh-CN"/>
        </w:rPr>
        <w:t>年生产一体板</w:t>
      </w:r>
      <w:r>
        <w:rPr>
          <w:rStyle w:val="18"/>
          <w:rFonts w:hint="default" w:ascii="仿宋" w:hAnsi="仿宋" w:eastAsia="仿宋" w:cs="Times New Roman"/>
          <w:sz w:val="32"/>
          <w:szCs w:val="32"/>
          <w:lang w:val="en-US" w:eastAsia="zh-CN"/>
        </w:rPr>
        <w:t>20万</w:t>
      </w:r>
      <w:r>
        <w:rPr>
          <w:rStyle w:val="18"/>
          <w:rFonts w:hint="eastAsia" w:ascii="仿宋" w:hAnsi="仿宋" w:eastAsia="仿宋" w:cs="Times New Roman"/>
          <w:sz w:val="32"/>
          <w:szCs w:val="32"/>
          <w:highlight w:val="none"/>
          <w:lang w:eastAsia="zh-CN"/>
        </w:rPr>
        <w:t>平方</w:t>
      </w:r>
      <w:r>
        <w:rPr>
          <w:rStyle w:val="18"/>
          <w:rFonts w:hint="eastAsia" w:ascii="仿宋" w:hAnsi="仿宋" w:eastAsia="仿宋"/>
          <w:sz w:val="32"/>
          <w:szCs w:val="32"/>
          <w:highlight w:val="none"/>
          <w:lang w:eastAsia="zh-CN"/>
        </w:rPr>
        <w:t>米</w:t>
      </w:r>
      <w:r>
        <w:rPr>
          <w:rStyle w:val="18"/>
          <w:rFonts w:hint="eastAsia" w:ascii="仿宋" w:hAnsi="仿宋" w:eastAsia="仿宋" w:cs="Times New Roman"/>
          <w:sz w:val="32"/>
          <w:szCs w:val="32"/>
          <w:lang w:val="en-US" w:eastAsia="zh-CN"/>
        </w:rPr>
        <w:t>，</w:t>
      </w:r>
      <w:r>
        <w:rPr>
          <w:rStyle w:val="18"/>
          <w:rFonts w:hint="default" w:ascii="仿宋" w:hAnsi="仿宋" w:eastAsia="仿宋" w:cs="Times New Roman"/>
          <w:sz w:val="32"/>
          <w:szCs w:val="32"/>
          <w:lang w:val="en-US" w:eastAsia="zh-CN"/>
        </w:rPr>
        <w:t>挤塑板5万</w:t>
      </w:r>
      <w:r>
        <w:rPr>
          <w:rStyle w:val="18"/>
          <w:rFonts w:hint="eastAsia" w:ascii="仿宋" w:hAnsi="仿宋" w:eastAsia="仿宋" w:cs="Times New Roman"/>
          <w:sz w:val="32"/>
          <w:szCs w:val="32"/>
          <w:lang w:val="en-US" w:eastAsia="zh-CN"/>
        </w:rPr>
        <w:t>立</w:t>
      </w:r>
      <w:r>
        <w:rPr>
          <w:rStyle w:val="18"/>
          <w:rFonts w:hint="eastAsia" w:ascii="仿宋" w:hAnsi="仿宋" w:eastAsia="仿宋" w:cs="Times New Roman"/>
          <w:sz w:val="32"/>
          <w:szCs w:val="32"/>
          <w:highlight w:val="none"/>
          <w:lang w:eastAsia="zh-CN"/>
        </w:rPr>
        <w:t>方</w:t>
      </w:r>
      <w:r>
        <w:rPr>
          <w:rStyle w:val="18"/>
          <w:rFonts w:hint="eastAsia" w:ascii="仿宋" w:hAnsi="仿宋" w:eastAsia="仿宋"/>
          <w:sz w:val="32"/>
          <w:szCs w:val="32"/>
          <w:highlight w:val="none"/>
          <w:lang w:eastAsia="zh-CN"/>
        </w:rPr>
        <w:t>米</w:t>
      </w:r>
      <w:r>
        <w:rPr>
          <w:rStyle w:val="18"/>
          <w:rFonts w:hint="eastAsia" w:ascii="仿宋" w:hAnsi="仿宋" w:eastAsia="仿宋" w:cs="Times New Roman"/>
          <w:sz w:val="32"/>
          <w:szCs w:val="32"/>
          <w:lang w:val="en-US" w:eastAsia="zh-CN"/>
        </w:rPr>
        <w:t>。</w:t>
      </w:r>
    </w:p>
    <w:p w14:paraId="02840AD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rPr>
      </w:pPr>
      <w:r>
        <w:rPr>
          <w:rStyle w:val="18"/>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C4C972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default" w:ascii="仿宋" w:hAnsi="仿宋" w:eastAsia="仿宋"/>
          <w:sz w:val="32"/>
          <w:szCs w:val="32"/>
          <w:lang w:val="en-US"/>
        </w:rPr>
      </w:pPr>
      <w:r>
        <w:rPr>
          <w:rStyle w:val="18"/>
          <w:rFonts w:hint="eastAsia" w:ascii="仿宋" w:hAnsi="仿宋" w:eastAsia="仿宋"/>
          <w:sz w:val="32"/>
          <w:szCs w:val="32"/>
          <w:lang w:val="en-US" w:eastAsia="zh-CN"/>
        </w:rPr>
        <w:t>二、在项目工程设计、建设和环境管理中，你单位必须严格落实</w:t>
      </w:r>
      <w:r>
        <w:rPr>
          <w:rStyle w:val="18"/>
          <w:rFonts w:hint="eastAsia" w:ascii="仿宋" w:hAnsi="仿宋" w:eastAsia="仿宋"/>
          <w:sz w:val="32"/>
          <w:szCs w:val="32"/>
        </w:rPr>
        <w:t>《报告表》</w:t>
      </w:r>
      <w:r>
        <w:rPr>
          <w:rStyle w:val="18"/>
          <w:rFonts w:hint="eastAsia" w:ascii="仿宋" w:hAnsi="仿宋" w:eastAsia="仿宋"/>
          <w:sz w:val="32"/>
          <w:szCs w:val="32"/>
          <w:lang w:val="en-US" w:eastAsia="zh-CN"/>
        </w:rPr>
        <w:t>中提出的各项环保措施和要求，确保各项污染物稳定达标排放，并须着重做好以下工作：</w:t>
      </w:r>
    </w:p>
    <w:p w14:paraId="24DF10A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lang w:val="en-US" w:eastAsia="zh-CN"/>
        </w:rPr>
        <w:t>（一）严格落实施工期污染防治措施</w:t>
      </w:r>
    </w:p>
    <w:p w14:paraId="035CAC5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8"/>
          <w:rFonts w:hint="eastAsia" w:ascii="仿宋" w:hAnsi="仿宋" w:eastAsia="仿宋"/>
          <w:sz w:val="32"/>
          <w:szCs w:val="32"/>
          <w:lang w:val="en-US" w:eastAsia="zh-CN"/>
        </w:rPr>
        <w:t>1、</w:t>
      </w:r>
      <w:r>
        <w:rPr>
          <w:rStyle w:val="18"/>
          <w:rFonts w:hint="eastAsia" w:ascii="仿宋" w:hAnsi="仿宋" w:eastAsia="仿宋"/>
          <w:sz w:val="32"/>
          <w:szCs w:val="32"/>
        </w:rPr>
        <w:t>施工期大气污染物排放执行《大气污染物综合</w:t>
      </w:r>
      <w:r>
        <w:rPr>
          <w:rFonts w:ascii="仿宋" w:hAnsi="仿宋" w:eastAsia="仿宋" w:cs="仿宋"/>
          <w:color w:val="auto"/>
          <w:sz w:val="32"/>
          <w:szCs w:val="32"/>
        </w:rPr>
        <w:t>排放标准》</w:t>
      </w:r>
      <w:r>
        <w:rPr>
          <w:rFonts w:hint="eastAsia" w:ascii="仿宋" w:hAnsi="仿宋" w:eastAsia="仿宋" w:cs="仿宋"/>
          <w:color w:val="auto"/>
          <w:sz w:val="32"/>
          <w:szCs w:val="32"/>
        </w:rPr>
        <w:t>（</w:t>
      </w:r>
      <w:r>
        <w:rPr>
          <w:rFonts w:ascii="仿宋" w:hAnsi="仿宋" w:eastAsia="仿宋" w:cs="仿宋"/>
          <w:color w:val="auto"/>
          <w:sz w:val="32"/>
          <w:szCs w:val="32"/>
        </w:rPr>
        <w:t>GB</w:t>
      </w:r>
      <w:r>
        <w:rPr>
          <w:rFonts w:hint="eastAsia" w:ascii="仿宋" w:hAnsi="仿宋" w:eastAsia="仿宋" w:cs="仿宋"/>
          <w:color w:val="auto"/>
          <w:sz w:val="32"/>
          <w:szCs w:val="32"/>
          <w:lang w:val="en-US" w:eastAsia="zh-CN"/>
        </w:rPr>
        <w:t xml:space="preserve"> </w:t>
      </w:r>
      <w:r>
        <w:rPr>
          <w:rFonts w:ascii="仿宋" w:hAnsi="仿宋" w:eastAsia="仿宋" w:cs="仿宋"/>
          <w:color w:val="auto"/>
          <w:sz w:val="32"/>
          <w:szCs w:val="32"/>
        </w:rPr>
        <w:t>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14:paraId="300F2D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2、施工人员生活污</w:t>
      </w:r>
      <w:r>
        <w:rPr>
          <w:rStyle w:val="18"/>
          <w:rFonts w:hint="eastAsia" w:ascii="仿宋" w:hAnsi="仿宋" w:eastAsia="仿宋" w:cs="Times New Roman"/>
          <w:sz w:val="32"/>
          <w:szCs w:val="32"/>
          <w:lang w:val="en-US" w:eastAsia="zh-CN"/>
        </w:rPr>
        <w:t>水依托现有卫生设施</w:t>
      </w:r>
      <w:r>
        <w:rPr>
          <w:rStyle w:val="18"/>
          <w:rFonts w:hint="eastAsia" w:ascii="仿宋" w:hAnsi="仿宋" w:eastAsia="仿宋" w:cs="Times New Roman"/>
          <w:sz w:val="32"/>
          <w:szCs w:val="32"/>
        </w:rPr>
        <w:t>。</w:t>
      </w:r>
    </w:p>
    <w:p w14:paraId="2683B2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 12523-2011）。</w:t>
      </w:r>
    </w:p>
    <w:p w14:paraId="2DB6DF5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4、</w:t>
      </w:r>
      <w:r>
        <w:rPr>
          <w:rStyle w:val="18"/>
          <w:rFonts w:hint="eastAsia" w:ascii="仿宋" w:hAnsi="仿宋" w:eastAsia="仿宋" w:cs="Times New Roman"/>
          <w:sz w:val="32"/>
          <w:szCs w:val="32"/>
          <w:lang w:val="en-US" w:eastAsia="zh-CN"/>
        </w:rPr>
        <w:t>固体废物集中堆放</w:t>
      </w:r>
      <w:r>
        <w:rPr>
          <w:rStyle w:val="18"/>
          <w:rFonts w:hint="eastAsia" w:ascii="仿宋" w:hAnsi="仿宋" w:eastAsia="仿宋" w:cs="Times New Roman"/>
          <w:color w:val="000000"/>
          <w:sz w:val="32"/>
          <w:szCs w:val="32"/>
          <w:lang w:val="en-US" w:eastAsia="zh-CN" w:bidi="ar-SA"/>
        </w:rPr>
        <w:t>及时清运，交有关部门进行处理</w:t>
      </w:r>
      <w:r>
        <w:rPr>
          <w:rStyle w:val="18"/>
          <w:rFonts w:hint="eastAsia" w:ascii="仿宋" w:hAnsi="仿宋" w:eastAsia="仿宋" w:cs="Times New Roman"/>
          <w:sz w:val="32"/>
          <w:szCs w:val="32"/>
          <w:lang w:val="en-US" w:eastAsia="zh-CN"/>
        </w:rPr>
        <w:t>。</w:t>
      </w:r>
    </w:p>
    <w:p w14:paraId="1257578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val="en-US" w:eastAsia="zh-CN"/>
        </w:rPr>
      </w:pPr>
      <w:r>
        <w:rPr>
          <w:rStyle w:val="18"/>
          <w:rFonts w:hint="eastAsia" w:ascii="仿宋" w:hAnsi="仿宋" w:eastAsia="仿宋"/>
          <w:sz w:val="32"/>
          <w:szCs w:val="32"/>
          <w:lang w:val="en-US" w:eastAsia="zh-CN"/>
        </w:rPr>
        <w:t>（二）严格落实运营期污染防治措施</w:t>
      </w:r>
    </w:p>
    <w:p w14:paraId="54D882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cs="Times New Roman"/>
          <w:sz w:val="32"/>
          <w:szCs w:val="32"/>
          <w:lang w:val="en-US" w:eastAsia="zh-CN"/>
        </w:rPr>
      </w:pPr>
      <w:r>
        <w:rPr>
          <w:rFonts w:hint="eastAsia" w:ascii="仿宋" w:hAnsi="仿宋" w:eastAsia="仿宋" w:cs="仿宋"/>
          <w:strike w:val="0"/>
          <w:dstrike w:val="0"/>
          <w:color w:val="auto"/>
          <w:kern w:val="0"/>
          <w:sz w:val="32"/>
          <w:szCs w:val="32"/>
          <w:lang w:val="en-US" w:eastAsia="zh-CN" w:bidi="ar-SA"/>
        </w:rPr>
        <w:t>1、运营期物料储存、装卸、输送、生产过程全封闭。一体板生产过程中黏胶产生的废气和挤塑板生产过程中熔融及发泡挤出废气经收集处理后由各自15米高排气筒排放，执行《合成树脂工业污染物排放标准》（GB 31572-2015）表4大气污染物排放限值。生物质蒸汽锅炉废气经收集处理后由1根15米高排气筒排放，执行《锅炉大气污染物排放标准》（GB 13271-2014）表2中燃煤锅炉排放限值。</w:t>
      </w:r>
      <w:r>
        <w:rPr>
          <w:rStyle w:val="18"/>
          <w:rFonts w:hint="eastAsia" w:ascii="仿宋" w:hAnsi="仿宋" w:eastAsia="仿宋"/>
          <w:color w:val="000000" w:themeColor="text1"/>
          <w:sz w:val="32"/>
          <w:szCs w:val="32"/>
          <w14:textFill>
            <w14:solidFill>
              <w14:schemeClr w14:val="tx1"/>
            </w14:solidFill>
          </w14:textFill>
        </w:rPr>
        <w:t>厂房外无组织非甲烷总烃</w:t>
      </w:r>
      <w:r>
        <w:rPr>
          <w:rStyle w:val="18"/>
          <w:rFonts w:hint="eastAsia" w:ascii="仿宋" w:hAnsi="仿宋" w:eastAsia="仿宋"/>
          <w:color w:val="000000" w:themeColor="text1"/>
          <w:sz w:val="32"/>
          <w:szCs w:val="32"/>
          <w:lang w:val="en-US" w:eastAsia="zh-CN"/>
          <w14:textFill>
            <w14:solidFill>
              <w14:schemeClr w14:val="tx1"/>
            </w14:solidFill>
          </w14:textFill>
        </w:rPr>
        <w:t>排放</w:t>
      </w:r>
      <w:r>
        <w:rPr>
          <w:rStyle w:val="18"/>
          <w:rFonts w:hint="eastAsia" w:ascii="仿宋" w:hAnsi="仿宋" w:eastAsia="仿宋"/>
          <w:color w:val="000000" w:themeColor="text1"/>
          <w:sz w:val="32"/>
          <w:szCs w:val="32"/>
          <w14:textFill>
            <w14:solidFill>
              <w14:schemeClr w14:val="tx1"/>
            </w14:solidFill>
          </w14:textFill>
        </w:rPr>
        <w:t>执行《挥发性有机物无组织排放控制标准》（GB</w:t>
      </w:r>
      <w:r>
        <w:rPr>
          <w:rStyle w:val="18"/>
          <w:rFonts w:hint="eastAsia" w:ascii="仿宋" w:hAnsi="仿宋" w:eastAsia="仿宋"/>
          <w:color w:val="000000" w:themeColor="text1"/>
          <w:sz w:val="32"/>
          <w:szCs w:val="32"/>
          <w:lang w:val="en-US" w:eastAsia="zh-CN"/>
          <w14:textFill>
            <w14:solidFill>
              <w14:schemeClr w14:val="tx1"/>
            </w14:solidFill>
          </w14:textFill>
        </w:rPr>
        <w:t xml:space="preserve"> </w:t>
      </w:r>
      <w:r>
        <w:rPr>
          <w:rStyle w:val="18"/>
          <w:rFonts w:hint="eastAsia" w:ascii="仿宋" w:hAnsi="仿宋" w:eastAsia="仿宋"/>
          <w:color w:val="000000" w:themeColor="text1"/>
          <w:sz w:val="32"/>
          <w:szCs w:val="32"/>
          <w14:textFill>
            <w14:solidFill>
              <w14:schemeClr w14:val="tx1"/>
            </w14:solidFill>
          </w14:textFill>
        </w:rPr>
        <w:t>37822-2019）表A.1无组织排放限值。</w:t>
      </w:r>
      <w:r>
        <w:rPr>
          <w:rFonts w:hint="eastAsia" w:ascii="仿宋" w:hAnsi="仿宋" w:eastAsia="仿宋" w:cs="仿宋"/>
          <w:strike w:val="0"/>
          <w:dstrike w:val="0"/>
          <w:color w:val="auto"/>
          <w:kern w:val="0"/>
          <w:sz w:val="32"/>
          <w:szCs w:val="32"/>
          <w:lang w:val="en-US" w:eastAsia="zh-CN" w:bidi="ar-SA"/>
        </w:rPr>
        <w:t>厂界无组织颗粒物、非甲烷总烃排放执行《合成树脂工业污染物排放标准》（GB 31572-2015）表9企业边界大气污染物浓度限值；臭气浓度排放执行《恶臭污染物排放标准》（GB 14554-93）表1中恶臭污染物厂界二级新扩改建标准限值。</w:t>
      </w:r>
    </w:p>
    <w:p w14:paraId="4FC7C68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Style w:val="18"/>
          <w:rFonts w:hint="eastAsia" w:ascii="仿宋" w:hAnsi="仿宋" w:eastAsia="仿宋" w:cs="Times New Roman"/>
          <w:color w:val="auto"/>
          <w:sz w:val="32"/>
          <w:szCs w:val="32"/>
          <w:lang w:val="en-US" w:eastAsia="zh-CN"/>
        </w:rPr>
        <w:t>2、</w:t>
      </w:r>
      <w:r>
        <w:rPr>
          <w:rFonts w:hint="default" w:ascii="仿宋" w:hAnsi="仿宋" w:eastAsia="仿宋" w:cs="仿宋"/>
          <w:strike w:val="0"/>
          <w:dstrike w:val="0"/>
          <w:color w:val="auto"/>
          <w:kern w:val="0"/>
          <w:sz w:val="32"/>
          <w:szCs w:val="32"/>
          <w:lang w:val="en-US" w:eastAsia="zh-CN" w:bidi="ar-SA"/>
        </w:rPr>
        <w:t>运</w:t>
      </w:r>
      <w:r>
        <w:rPr>
          <w:rFonts w:hint="eastAsia" w:ascii="仿宋" w:hAnsi="仿宋" w:eastAsia="仿宋" w:cs="仿宋"/>
          <w:strike w:val="0"/>
          <w:dstrike w:val="0"/>
          <w:color w:val="auto"/>
          <w:kern w:val="0"/>
          <w:sz w:val="32"/>
          <w:szCs w:val="32"/>
          <w:lang w:val="en-US" w:eastAsia="zh-CN" w:bidi="ar-SA"/>
        </w:rPr>
        <w:t>营</w:t>
      </w:r>
      <w:r>
        <w:rPr>
          <w:rFonts w:hint="default" w:ascii="仿宋" w:hAnsi="仿宋" w:eastAsia="仿宋" w:cs="仿宋"/>
          <w:strike w:val="0"/>
          <w:dstrike w:val="0"/>
          <w:color w:val="auto"/>
          <w:kern w:val="0"/>
          <w:sz w:val="32"/>
          <w:szCs w:val="32"/>
          <w:lang w:val="en-US" w:eastAsia="zh-CN" w:bidi="ar-SA"/>
        </w:rPr>
        <w:t>期</w:t>
      </w:r>
      <w:r>
        <w:rPr>
          <w:rFonts w:hint="eastAsia" w:ascii="仿宋" w:hAnsi="仿宋" w:eastAsia="仿宋" w:cs="仿宋"/>
          <w:strike w:val="0"/>
          <w:dstrike w:val="0"/>
          <w:color w:val="auto"/>
          <w:kern w:val="0"/>
          <w:sz w:val="32"/>
          <w:szCs w:val="32"/>
          <w:lang w:val="en-US" w:eastAsia="zh-CN" w:bidi="ar-SA"/>
        </w:rPr>
        <w:t>生产废水全部回用，不外排；不新增</w:t>
      </w:r>
      <w:r>
        <w:rPr>
          <w:rFonts w:hint="default" w:ascii="仿宋" w:hAnsi="仿宋" w:eastAsia="仿宋" w:cs="仿宋"/>
          <w:strike w:val="0"/>
          <w:dstrike w:val="0"/>
          <w:color w:val="auto"/>
          <w:kern w:val="0"/>
          <w:sz w:val="32"/>
          <w:szCs w:val="32"/>
          <w:lang w:val="en-US" w:eastAsia="zh-CN" w:bidi="ar-SA"/>
        </w:rPr>
        <w:t>生活污水</w:t>
      </w:r>
      <w:r>
        <w:rPr>
          <w:rFonts w:hint="eastAsia" w:ascii="仿宋" w:hAnsi="仿宋" w:eastAsia="仿宋" w:cs="仿宋"/>
          <w:strike w:val="0"/>
          <w:dstrike w:val="0"/>
          <w:color w:val="auto"/>
          <w:kern w:val="0"/>
          <w:sz w:val="32"/>
          <w:szCs w:val="32"/>
          <w:lang w:val="en-US" w:eastAsia="zh-CN" w:bidi="ar-SA"/>
        </w:rPr>
        <w:t>。</w:t>
      </w:r>
    </w:p>
    <w:p w14:paraId="141078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运营期厂界噪声执行《工业企业厂界环境噪声排放</w:t>
      </w:r>
      <w:r>
        <w:rPr>
          <w:rStyle w:val="18"/>
          <w:rFonts w:hint="eastAsia" w:ascii="仿宋" w:hAnsi="仿宋" w:eastAsia="仿宋"/>
          <w:color w:val="auto"/>
          <w:sz w:val="32"/>
          <w:szCs w:val="32"/>
          <w:lang w:val="en-US" w:eastAsia="zh-CN"/>
        </w:rPr>
        <w:t>标</w:t>
      </w:r>
      <w:r>
        <w:rPr>
          <w:rStyle w:val="18"/>
          <w:rFonts w:hint="eastAsia" w:ascii="仿宋" w:hAnsi="仿宋" w:eastAsia="仿宋"/>
          <w:color w:val="auto"/>
          <w:sz w:val="32"/>
          <w:szCs w:val="32"/>
        </w:rPr>
        <w:t>准》（GB</w:t>
      </w:r>
      <w:r>
        <w:rPr>
          <w:rStyle w:val="18"/>
          <w:rFonts w:hint="eastAsia" w:ascii="仿宋" w:hAnsi="仿宋" w:eastAsia="仿宋"/>
          <w:color w:val="auto"/>
          <w:sz w:val="32"/>
          <w:szCs w:val="32"/>
          <w:lang w:val="en-US" w:eastAsia="zh-CN"/>
        </w:rPr>
        <w:t xml:space="preserve"> </w:t>
      </w:r>
      <w:r>
        <w:rPr>
          <w:rStyle w:val="18"/>
          <w:rFonts w:hint="eastAsia" w:ascii="仿宋" w:hAnsi="仿宋" w:eastAsia="仿宋"/>
          <w:color w:val="auto"/>
          <w:sz w:val="32"/>
          <w:szCs w:val="32"/>
        </w:rPr>
        <w:t>12348-2008）中</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类标准。</w:t>
      </w:r>
    </w:p>
    <w:p w14:paraId="26B633FA">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 18599-2020）处置一般固废，不得乱弃。</w:t>
      </w:r>
      <w:r>
        <w:rPr>
          <w:rFonts w:hint="default" w:ascii="仿宋" w:hAnsi="仿宋" w:eastAsia="仿宋" w:cs="仿宋"/>
          <w:color w:val="auto"/>
          <w:sz w:val="32"/>
          <w:szCs w:val="32"/>
          <w:lang w:val="en-US"/>
        </w:rPr>
        <w:t>危废暂存库须严格按照《危险废物贮存污染控制标准》（GB</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rPr>
        <w:t>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 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3A15C89D">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8"/>
          <w:rFonts w:hint="eastAsia" w:ascii="仿宋" w:hAnsi="仿宋" w:eastAsia="仿宋"/>
          <w:color w:val="auto"/>
          <w:sz w:val="32"/>
          <w:szCs w:val="32"/>
          <w:lang w:val="en-US" w:eastAsia="zh-CN"/>
        </w:rPr>
        <w:t>5、地面须按相关要求做好防渗措施，确保不会对地下水造成影响。</w:t>
      </w:r>
    </w:p>
    <w:p w14:paraId="7FAF2B95">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7814C936">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3655F4A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本项目申请二氧化硫、氮氧化物和挥发性有机物排放总量分别为0.36吨/年、1.16吨/年和3.97吨/年</w:t>
      </w:r>
      <w:r>
        <w:rPr>
          <w:rFonts w:hint="eastAsia" w:ascii="仿宋" w:hAnsi="仿宋" w:eastAsia="仿宋" w:cs="仿宋"/>
          <w:color w:val="auto"/>
          <w:sz w:val="32"/>
          <w:szCs w:val="32"/>
          <w:lang w:val="en-US" w:eastAsia="zh-CN"/>
        </w:rPr>
        <w:t>（鄂环气字〔2024〕60号）。</w:t>
      </w:r>
    </w:p>
    <w:p w14:paraId="0E39364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50EC772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204C79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8"/>
          <w:rFonts w:hint="eastAsia" w:ascii="仿宋" w:hAnsi="仿宋" w:eastAsia="仿宋" w:cs="Times New Roman"/>
          <w:color w:val="auto"/>
          <w:sz w:val="32"/>
          <w:szCs w:val="32"/>
          <w:lang w:eastAsia="zh-CN"/>
        </w:rPr>
        <w:t>。</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p>
    <w:p w14:paraId="77A9D56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Style w:val="18"/>
          <w:rFonts w:ascii="仿宋" w:hAnsi="仿宋" w:eastAsia="仿宋"/>
          <w:color w:val="auto"/>
          <w:sz w:val="32"/>
          <w:szCs w:val="32"/>
        </w:rPr>
      </w:pPr>
    </w:p>
    <w:p w14:paraId="3D9796C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Style w:val="18"/>
          <w:rFonts w:ascii="仿宋" w:hAnsi="仿宋" w:eastAsia="仿宋"/>
          <w:color w:val="auto"/>
          <w:sz w:val="32"/>
          <w:szCs w:val="32"/>
        </w:rPr>
      </w:pPr>
      <w:r>
        <w:rPr>
          <w:rStyle w:val="18"/>
          <w:rFonts w:ascii="仿宋" w:hAnsi="仿宋" w:eastAsia="仿宋"/>
          <w:color w:val="auto"/>
          <w:sz w:val="32"/>
          <w:szCs w:val="32"/>
        </w:rPr>
        <w:t xml:space="preserve">      </w:t>
      </w:r>
    </w:p>
    <w:p w14:paraId="72E7F463">
      <w:pPr>
        <w:pStyle w:val="11"/>
        <w:ind w:left="0" w:leftChars="0" w:firstLine="0" w:firstLineChars="0"/>
      </w:pPr>
    </w:p>
    <w:p w14:paraId="7BBDA6C5">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14:paraId="46256B33">
      <w:pPr>
        <w:spacing w:line="360" w:lineRule="auto"/>
        <w:ind w:firstLine="640" w:firstLineChars="200"/>
        <w:textAlignment w:val="auto"/>
        <w:rPr>
          <w:rStyle w:val="18"/>
          <w:rFonts w:ascii="仿宋" w:hAnsi="仿宋" w:eastAsia="仿宋"/>
          <w:color w:val="auto"/>
          <w:sz w:val="32"/>
          <w:szCs w:val="32"/>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12</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14:paraId="1AF75099">
      <w:pPr>
        <w:pStyle w:val="11"/>
        <w:rPr>
          <w:rStyle w:val="18"/>
          <w:rFonts w:ascii="仿宋" w:hAnsi="仿宋" w:eastAsia="仿宋"/>
          <w:color w:val="auto"/>
          <w:sz w:val="32"/>
          <w:szCs w:val="32"/>
        </w:rPr>
      </w:pPr>
    </w:p>
    <w:p w14:paraId="0626AA78">
      <w:pPr>
        <w:rPr>
          <w:rStyle w:val="18"/>
          <w:rFonts w:ascii="仿宋" w:hAnsi="仿宋" w:eastAsia="仿宋"/>
          <w:color w:val="auto"/>
          <w:sz w:val="32"/>
          <w:szCs w:val="32"/>
        </w:rPr>
      </w:pPr>
    </w:p>
    <w:p w14:paraId="4640791A">
      <w:pPr>
        <w:pStyle w:val="2"/>
        <w:rPr>
          <w:rStyle w:val="18"/>
          <w:rFonts w:ascii="仿宋" w:hAnsi="仿宋" w:eastAsia="仿宋"/>
          <w:color w:val="auto"/>
          <w:sz w:val="32"/>
          <w:szCs w:val="32"/>
        </w:rPr>
      </w:pPr>
    </w:p>
    <w:p w14:paraId="3E7F0A29">
      <w:pPr>
        <w:rPr>
          <w:rStyle w:val="18"/>
          <w:rFonts w:ascii="仿宋" w:hAnsi="仿宋" w:eastAsia="仿宋"/>
          <w:color w:val="auto"/>
          <w:sz w:val="32"/>
          <w:szCs w:val="32"/>
        </w:rPr>
      </w:pPr>
    </w:p>
    <w:p w14:paraId="42F78A21">
      <w:pPr>
        <w:pStyle w:val="2"/>
        <w:rPr>
          <w:rStyle w:val="18"/>
          <w:rFonts w:ascii="仿宋" w:hAnsi="仿宋" w:eastAsia="仿宋"/>
          <w:color w:val="auto"/>
          <w:sz w:val="32"/>
          <w:szCs w:val="32"/>
        </w:rPr>
      </w:pPr>
    </w:p>
    <w:p w14:paraId="0A573B7E">
      <w:pPr>
        <w:rPr>
          <w:rStyle w:val="18"/>
          <w:rFonts w:ascii="仿宋" w:hAnsi="仿宋" w:eastAsia="仿宋"/>
          <w:color w:val="auto"/>
          <w:sz w:val="32"/>
          <w:szCs w:val="32"/>
        </w:rPr>
      </w:pPr>
    </w:p>
    <w:p w14:paraId="4D938004">
      <w:pPr>
        <w:pStyle w:val="2"/>
        <w:rPr>
          <w:rStyle w:val="18"/>
          <w:rFonts w:ascii="仿宋" w:hAnsi="仿宋" w:eastAsia="仿宋"/>
          <w:color w:val="auto"/>
          <w:sz w:val="32"/>
          <w:szCs w:val="32"/>
        </w:rPr>
      </w:pPr>
    </w:p>
    <w:p w14:paraId="68978513">
      <w:pPr>
        <w:rPr>
          <w:rStyle w:val="18"/>
          <w:rFonts w:ascii="仿宋" w:hAnsi="仿宋" w:eastAsia="仿宋"/>
          <w:color w:val="auto"/>
          <w:sz w:val="32"/>
          <w:szCs w:val="32"/>
        </w:rPr>
      </w:pPr>
    </w:p>
    <w:p w14:paraId="0D87DE08">
      <w:pPr>
        <w:pStyle w:val="2"/>
        <w:rPr>
          <w:rStyle w:val="18"/>
          <w:rFonts w:ascii="仿宋" w:hAnsi="仿宋" w:eastAsia="仿宋"/>
          <w:color w:val="auto"/>
          <w:sz w:val="32"/>
          <w:szCs w:val="32"/>
        </w:rPr>
      </w:pPr>
    </w:p>
    <w:p w14:paraId="43880CBE">
      <w:pPr>
        <w:rPr>
          <w:rStyle w:val="18"/>
          <w:rFonts w:ascii="仿宋" w:hAnsi="仿宋" w:eastAsia="仿宋"/>
          <w:color w:val="auto"/>
          <w:sz w:val="32"/>
          <w:szCs w:val="32"/>
        </w:rPr>
      </w:pPr>
    </w:p>
    <w:p w14:paraId="7FAC250A">
      <w:pPr>
        <w:pStyle w:val="2"/>
        <w:rPr>
          <w:rStyle w:val="18"/>
          <w:rFonts w:ascii="仿宋" w:hAnsi="仿宋" w:eastAsia="仿宋"/>
          <w:color w:val="auto"/>
          <w:sz w:val="32"/>
          <w:szCs w:val="32"/>
        </w:rPr>
      </w:pPr>
    </w:p>
    <w:p w14:paraId="3E4F2A5C">
      <w:pPr>
        <w:rPr>
          <w:rStyle w:val="18"/>
          <w:rFonts w:ascii="仿宋" w:hAnsi="仿宋" w:eastAsia="仿宋"/>
          <w:color w:val="auto"/>
          <w:sz w:val="32"/>
          <w:szCs w:val="32"/>
        </w:rPr>
      </w:pPr>
    </w:p>
    <w:p w14:paraId="72460D2F">
      <w:pPr>
        <w:pStyle w:val="2"/>
        <w:rPr>
          <w:rStyle w:val="18"/>
          <w:rFonts w:ascii="仿宋" w:hAnsi="仿宋" w:eastAsia="仿宋"/>
          <w:color w:val="auto"/>
          <w:sz w:val="32"/>
          <w:szCs w:val="32"/>
        </w:rPr>
      </w:pPr>
    </w:p>
    <w:p w14:paraId="6E16FBBA">
      <w:pPr>
        <w:rPr>
          <w:rStyle w:val="18"/>
          <w:rFonts w:ascii="仿宋" w:hAnsi="仿宋" w:eastAsia="仿宋"/>
          <w:color w:val="auto"/>
          <w:sz w:val="32"/>
          <w:szCs w:val="32"/>
        </w:rPr>
      </w:pPr>
    </w:p>
    <w:p w14:paraId="7F7C0B77">
      <w:pPr>
        <w:pStyle w:val="2"/>
        <w:rPr>
          <w:rStyle w:val="18"/>
          <w:rFonts w:ascii="仿宋" w:hAnsi="仿宋" w:eastAsia="仿宋"/>
          <w:color w:val="auto"/>
          <w:sz w:val="32"/>
          <w:szCs w:val="32"/>
        </w:rPr>
      </w:pPr>
    </w:p>
    <w:p w14:paraId="3541A1E4">
      <w:pPr>
        <w:rPr>
          <w:rStyle w:val="18"/>
          <w:rFonts w:ascii="仿宋" w:hAnsi="仿宋" w:eastAsia="仿宋"/>
          <w:color w:val="auto"/>
          <w:sz w:val="32"/>
          <w:szCs w:val="32"/>
        </w:rPr>
      </w:pPr>
    </w:p>
    <w:p w14:paraId="6E51141F">
      <w:pPr>
        <w:pStyle w:val="2"/>
        <w:rPr>
          <w:rStyle w:val="18"/>
          <w:rFonts w:ascii="仿宋" w:hAnsi="仿宋" w:eastAsia="仿宋"/>
          <w:color w:val="auto"/>
          <w:sz w:val="32"/>
          <w:szCs w:val="32"/>
        </w:rPr>
      </w:pPr>
    </w:p>
    <w:p w14:paraId="59105ADA">
      <w:pPr>
        <w:widowControl w:val="0"/>
        <w:numPr>
          <w:ilvl w:val="-1"/>
          <w:numId w:val="0"/>
        </w:numPr>
        <w:spacing w:line="360" w:lineRule="auto"/>
        <w:ind w:firstLine="0" w:firstLineChars="0"/>
        <w:textAlignment w:val="auto"/>
        <w:rPr>
          <w:rStyle w:val="18"/>
          <w:rFonts w:hint="eastAsia" w:ascii="仿宋" w:hAnsi="仿宋" w:eastAsia="仿宋"/>
          <w:color w:val="auto"/>
          <w:sz w:val="32"/>
          <w:szCs w:val="32"/>
          <w:lang w:eastAsia="zh-CN"/>
        </w:rPr>
      </w:pPr>
      <w:r>
        <w:rPr>
          <w:rStyle w:val="18"/>
          <w:rFonts w:hint="eastAsia" w:ascii="仿宋" w:hAnsi="仿宋" w:eastAsia="仿宋"/>
          <w:color w:val="auto"/>
          <w:sz w:val="32"/>
          <w:szCs w:val="32"/>
          <w:lang w:eastAsia="zh-CN"/>
        </w:rPr>
        <w:t>（本页无正文）</w:t>
      </w:r>
    </w:p>
    <w:p w14:paraId="2D9C9C38">
      <w:pPr>
        <w:pStyle w:val="2"/>
        <w:rPr>
          <w:rStyle w:val="18"/>
          <w:rFonts w:ascii="仿宋" w:hAnsi="仿宋" w:eastAsia="仿宋"/>
          <w:color w:val="auto"/>
          <w:sz w:val="32"/>
          <w:szCs w:val="32"/>
        </w:rPr>
      </w:pPr>
    </w:p>
    <w:p w14:paraId="0070AD2E">
      <w:pPr>
        <w:rPr>
          <w:rStyle w:val="18"/>
          <w:rFonts w:ascii="仿宋" w:hAnsi="仿宋" w:eastAsia="仿宋"/>
          <w:color w:val="auto"/>
          <w:sz w:val="32"/>
          <w:szCs w:val="32"/>
        </w:rPr>
      </w:pPr>
    </w:p>
    <w:p w14:paraId="0DD442A8">
      <w:pPr>
        <w:pStyle w:val="2"/>
        <w:rPr>
          <w:rStyle w:val="18"/>
          <w:rFonts w:ascii="仿宋" w:hAnsi="仿宋" w:eastAsia="仿宋"/>
          <w:color w:val="auto"/>
          <w:sz w:val="32"/>
          <w:szCs w:val="32"/>
        </w:rPr>
      </w:pPr>
    </w:p>
    <w:p w14:paraId="39D583CF">
      <w:pPr>
        <w:rPr>
          <w:rStyle w:val="18"/>
          <w:rFonts w:ascii="仿宋" w:hAnsi="仿宋" w:eastAsia="仿宋"/>
          <w:color w:val="auto"/>
          <w:sz w:val="32"/>
          <w:szCs w:val="32"/>
        </w:rPr>
      </w:pPr>
    </w:p>
    <w:p w14:paraId="4B1050DB">
      <w:pPr>
        <w:pStyle w:val="2"/>
        <w:rPr>
          <w:rStyle w:val="18"/>
          <w:rFonts w:ascii="仿宋" w:hAnsi="仿宋" w:eastAsia="仿宋"/>
          <w:color w:val="auto"/>
          <w:sz w:val="32"/>
          <w:szCs w:val="32"/>
        </w:rPr>
      </w:pPr>
    </w:p>
    <w:p w14:paraId="75464D2C">
      <w:pPr>
        <w:rPr>
          <w:rStyle w:val="18"/>
          <w:rFonts w:ascii="仿宋" w:hAnsi="仿宋" w:eastAsia="仿宋"/>
          <w:color w:val="auto"/>
          <w:sz w:val="32"/>
          <w:szCs w:val="32"/>
        </w:rPr>
      </w:pPr>
    </w:p>
    <w:p w14:paraId="21DE8BF7">
      <w:pPr>
        <w:pStyle w:val="2"/>
        <w:rPr>
          <w:rStyle w:val="18"/>
          <w:rFonts w:ascii="仿宋" w:hAnsi="仿宋" w:eastAsia="仿宋"/>
          <w:color w:val="auto"/>
          <w:sz w:val="32"/>
          <w:szCs w:val="32"/>
        </w:rPr>
      </w:pPr>
    </w:p>
    <w:p w14:paraId="6152DE5F">
      <w:pPr>
        <w:rPr>
          <w:rStyle w:val="18"/>
          <w:rFonts w:ascii="仿宋" w:hAnsi="仿宋" w:eastAsia="仿宋"/>
          <w:color w:val="auto"/>
          <w:sz w:val="32"/>
          <w:szCs w:val="32"/>
        </w:rPr>
      </w:pPr>
    </w:p>
    <w:p w14:paraId="38075E5C">
      <w:pPr>
        <w:pStyle w:val="2"/>
        <w:rPr>
          <w:rStyle w:val="18"/>
          <w:rFonts w:ascii="仿宋" w:hAnsi="仿宋" w:eastAsia="仿宋"/>
          <w:color w:val="auto"/>
          <w:sz w:val="32"/>
          <w:szCs w:val="32"/>
        </w:rPr>
      </w:pPr>
    </w:p>
    <w:p w14:paraId="62A53DEE">
      <w:pPr>
        <w:rPr>
          <w:rStyle w:val="18"/>
          <w:rFonts w:ascii="仿宋" w:hAnsi="仿宋" w:eastAsia="仿宋"/>
          <w:color w:val="auto"/>
          <w:sz w:val="32"/>
          <w:szCs w:val="32"/>
        </w:rPr>
      </w:pPr>
    </w:p>
    <w:p w14:paraId="38FABA7E">
      <w:pPr>
        <w:pStyle w:val="2"/>
        <w:rPr>
          <w:rStyle w:val="18"/>
          <w:rFonts w:ascii="仿宋" w:hAnsi="仿宋" w:eastAsia="仿宋"/>
          <w:color w:val="auto"/>
          <w:sz w:val="32"/>
          <w:szCs w:val="32"/>
        </w:rPr>
      </w:pPr>
    </w:p>
    <w:p w14:paraId="52FCE594">
      <w:pPr>
        <w:rPr>
          <w:rStyle w:val="18"/>
          <w:rFonts w:ascii="仿宋" w:hAnsi="仿宋" w:eastAsia="仿宋"/>
          <w:color w:val="auto"/>
          <w:sz w:val="32"/>
          <w:szCs w:val="32"/>
        </w:rPr>
      </w:pPr>
    </w:p>
    <w:p w14:paraId="436DA38F">
      <w:pPr>
        <w:pStyle w:val="2"/>
        <w:rPr>
          <w:rStyle w:val="18"/>
          <w:rFonts w:ascii="仿宋" w:hAnsi="仿宋" w:eastAsia="仿宋"/>
          <w:color w:val="auto"/>
          <w:sz w:val="32"/>
          <w:szCs w:val="32"/>
        </w:rPr>
      </w:pPr>
    </w:p>
    <w:p w14:paraId="4E174D98">
      <w:pPr>
        <w:rPr>
          <w:rStyle w:val="18"/>
          <w:rFonts w:ascii="仿宋" w:hAnsi="仿宋" w:eastAsia="仿宋"/>
          <w:color w:val="auto"/>
          <w:sz w:val="32"/>
          <w:szCs w:val="32"/>
        </w:rPr>
      </w:pPr>
    </w:p>
    <w:p w14:paraId="008C367E">
      <w:pPr>
        <w:pStyle w:val="2"/>
        <w:rPr>
          <w:rStyle w:val="18"/>
          <w:rFonts w:ascii="仿宋" w:hAnsi="仿宋" w:eastAsia="仿宋"/>
          <w:color w:val="auto"/>
          <w:sz w:val="32"/>
          <w:szCs w:val="32"/>
        </w:rPr>
      </w:pPr>
    </w:p>
    <w:p w14:paraId="7CD95A6D">
      <w:pPr>
        <w:rPr>
          <w:rStyle w:val="18"/>
          <w:rFonts w:ascii="仿宋" w:hAnsi="仿宋" w:eastAsia="仿宋"/>
          <w:color w:val="auto"/>
          <w:sz w:val="32"/>
          <w:szCs w:val="32"/>
        </w:rPr>
      </w:pPr>
    </w:p>
    <w:p w14:paraId="26211BF4">
      <w:pPr>
        <w:pStyle w:val="2"/>
        <w:rPr>
          <w:rStyle w:val="18"/>
          <w:rFonts w:ascii="仿宋" w:hAnsi="仿宋" w:eastAsia="仿宋"/>
          <w:color w:val="auto"/>
          <w:sz w:val="32"/>
          <w:szCs w:val="32"/>
        </w:rPr>
      </w:pPr>
    </w:p>
    <w:p w14:paraId="577E4459">
      <w:pPr>
        <w:rPr>
          <w:rStyle w:val="18"/>
          <w:rFonts w:ascii="仿宋" w:hAnsi="仿宋" w:eastAsia="仿宋"/>
          <w:color w:val="auto"/>
          <w:sz w:val="32"/>
          <w:szCs w:val="32"/>
        </w:rPr>
      </w:pPr>
    </w:p>
    <w:p w14:paraId="60A68856">
      <w:pPr>
        <w:pStyle w:val="2"/>
        <w:rPr>
          <w:rStyle w:val="18"/>
          <w:rFonts w:ascii="仿宋" w:hAnsi="仿宋" w:eastAsia="仿宋"/>
          <w:color w:val="auto"/>
          <w:sz w:val="32"/>
          <w:szCs w:val="32"/>
        </w:rPr>
      </w:pPr>
    </w:p>
    <w:p w14:paraId="5B29FD25">
      <w:pPr>
        <w:rPr>
          <w:rStyle w:val="18"/>
          <w:rFonts w:ascii="仿宋" w:hAnsi="仿宋" w:eastAsia="仿宋"/>
          <w:color w:val="auto"/>
          <w:sz w:val="32"/>
          <w:szCs w:val="32"/>
        </w:rPr>
      </w:pPr>
    </w:p>
    <w:p w14:paraId="64300659">
      <w:pPr>
        <w:pStyle w:val="2"/>
        <w:rPr>
          <w:rStyle w:val="18"/>
          <w:rFonts w:ascii="仿宋" w:hAnsi="仿宋" w:eastAsia="仿宋"/>
          <w:color w:val="auto"/>
          <w:sz w:val="32"/>
          <w:szCs w:val="32"/>
        </w:rPr>
      </w:pPr>
    </w:p>
    <w:p w14:paraId="6F1A633E">
      <w:pPr>
        <w:rPr>
          <w:rStyle w:val="18"/>
          <w:rFonts w:ascii="仿宋" w:hAnsi="仿宋" w:eastAsia="仿宋"/>
          <w:color w:val="auto"/>
          <w:sz w:val="32"/>
          <w:szCs w:val="32"/>
        </w:rPr>
      </w:pPr>
    </w:p>
    <w:p w14:paraId="4EE0B189">
      <w:pPr>
        <w:pStyle w:val="2"/>
        <w:rPr>
          <w:rStyle w:val="18"/>
          <w:rFonts w:ascii="仿宋" w:hAnsi="仿宋" w:eastAsia="仿宋"/>
          <w:color w:val="auto"/>
          <w:sz w:val="32"/>
          <w:szCs w:val="32"/>
        </w:rPr>
      </w:pPr>
    </w:p>
    <w:p w14:paraId="2A23809B">
      <w:pPr>
        <w:rPr>
          <w:rStyle w:val="18"/>
          <w:rFonts w:ascii="仿宋" w:hAnsi="仿宋" w:eastAsia="仿宋"/>
          <w:color w:val="auto"/>
          <w:sz w:val="32"/>
          <w:szCs w:val="32"/>
        </w:rPr>
      </w:pPr>
    </w:p>
    <w:p w14:paraId="4662071B">
      <w:pPr>
        <w:pStyle w:val="2"/>
        <w:rPr>
          <w:rStyle w:val="18"/>
          <w:rFonts w:ascii="仿宋" w:hAnsi="仿宋" w:eastAsia="仿宋"/>
          <w:color w:val="auto"/>
          <w:sz w:val="32"/>
          <w:szCs w:val="32"/>
        </w:rPr>
      </w:pPr>
    </w:p>
    <w:p w14:paraId="3C730CF8">
      <w:pPr>
        <w:rPr>
          <w:rStyle w:val="18"/>
          <w:rFonts w:ascii="仿宋" w:hAnsi="仿宋" w:eastAsia="仿宋"/>
          <w:color w:val="auto"/>
          <w:sz w:val="32"/>
          <w:szCs w:val="32"/>
        </w:rPr>
      </w:pPr>
    </w:p>
    <w:p w14:paraId="302D87E5">
      <w:pPr>
        <w:pStyle w:val="2"/>
        <w:rPr>
          <w:rStyle w:val="18"/>
          <w:rFonts w:ascii="仿宋" w:hAnsi="仿宋" w:eastAsia="仿宋"/>
          <w:color w:val="auto"/>
          <w:sz w:val="32"/>
          <w:szCs w:val="32"/>
        </w:rPr>
      </w:pPr>
    </w:p>
    <w:p w14:paraId="19E9671E">
      <w:pPr>
        <w:rPr>
          <w:rStyle w:val="18"/>
          <w:rFonts w:ascii="仿宋" w:hAnsi="仿宋" w:eastAsia="仿宋"/>
          <w:color w:val="auto"/>
          <w:sz w:val="32"/>
          <w:szCs w:val="32"/>
        </w:rPr>
      </w:pPr>
    </w:p>
    <w:p w14:paraId="679F2DE3">
      <w:pPr>
        <w:pStyle w:val="2"/>
        <w:rPr>
          <w:rStyle w:val="18"/>
          <w:rFonts w:ascii="仿宋" w:hAnsi="仿宋" w:eastAsia="仿宋"/>
          <w:color w:val="auto"/>
          <w:sz w:val="32"/>
          <w:szCs w:val="32"/>
        </w:rPr>
      </w:pPr>
    </w:p>
    <w:p w14:paraId="79D1AF3D">
      <w:pPr>
        <w:rPr>
          <w:rStyle w:val="18"/>
          <w:rFonts w:ascii="仿宋" w:hAnsi="仿宋" w:eastAsia="仿宋"/>
          <w:color w:val="auto"/>
          <w:sz w:val="32"/>
          <w:szCs w:val="32"/>
        </w:rPr>
      </w:pPr>
    </w:p>
    <w:p w14:paraId="2548A6CF">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202</w:t>
      </w:r>
      <w:r>
        <w:rPr>
          <w:rStyle w:val="18"/>
          <w:rFonts w:hint="eastAsia" w:ascii="仿宋" w:hAnsi="仿宋" w:eastAsia="仿宋"/>
          <w:color w:val="auto"/>
          <w:sz w:val="28"/>
          <w:szCs w:val="28"/>
          <w:lang w:val="en-US" w:eastAsia="zh-CN"/>
        </w:rPr>
        <w:t>4</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12</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5</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304"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0373D">
    <w:pPr>
      <w:pStyle w:val="9"/>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17E22C6">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417E22C6">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1A73A03">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FF568">
    <w:pPr>
      <w:pStyle w:val="9"/>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D23F69A">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D23F69A">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3325DC0E">
    <w:pPr>
      <w:pStyle w:val="9"/>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9E7EC">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9C512B"/>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9B1886"/>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284B01"/>
    <w:rsid w:val="05336038"/>
    <w:rsid w:val="05337BE9"/>
    <w:rsid w:val="059A4722"/>
    <w:rsid w:val="05D94866"/>
    <w:rsid w:val="060A1C1B"/>
    <w:rsid w:val="06191689"/>
    <w:rsid w:val="06CA02D1"/>
    <w:rsid w:val="06CC5F39"/>
    <w:rsid w:val="06E35A8B"/>
    <w:rsid w:val="06F42603"/>
    <w:rsid w:val="06F55023"/>
    <w:rsid w:val="071479B9"/>
    <w:rsid w:val="07420D54"/>
    <w:rsid w:val="075C516B"/>
    <w:rsid w:val="075E259A"/>
    <w:rsid w:val="075F5B44"/>
    <w:rsid w:val="07A019A5"/>
    <w:rsid w:val="07E24DC5"/>
    <w:rsid w:val="0822685D"/>
    <w:rsid w:val="08660559"/>
    <w:rsid w:val="087D1CE6"/>
    <w:rsid w:val="088554D8"/>
    <w:rsid w:val="08A1120A"/>
    <w:rsid w:val="08AD4A87"/>
    <w:rsid w:val="08B51389"/>
    <w:rsid w:val="08CE2C2B"/>
    <w:rsid w:val="08EA5D86"/>
    <w:rsid w:val="08FE4C90"/>
    <w:rsid w:val="090362EF"/>
    <w:rsid w:val="090866C9"/>
    <w:rsid w:val="094840A2"/>
    <w:rsid w:val="096168DE"/>
    <w:rsid w:val="097134F8"/>
    <w:rsid w:val="098F5074"/>
    <w:rsid w:val="09B06929"/>
    <w:rsid w:val="09D92F4C"/>
    <w:rsid w:val="09F451E2"/>
    <w:rsid w:val="0A3D33B0"/>
    <w:rsid w:val="0A5D0D80"/>
    <w:rsid w:val="0A667AEF"/>
    <w:rsid w:val="0A6D53BD"/>
    <w:rsid w:val="0A9A115F"/>
    <w:rsid w:val="0AA477AD"/>
    <w:rsid w:val="0B440899"/>
    <w:rsid w:val="0B6446A4"/>
    <w:rsid w:val="0BA55642"/>
    <w:rsid w:val="0BD72E57"/>
    <w:rsid w:val="0BDE1694"/>
    <w:rsid w:val="0C2B3A73"/>
    <w:rsid w:val="0C301322"/>
    <w:rsid w:val="0C5555BE"/>
    <w:rsid w:val="0C776A4C"/>
    <w:rsid w:val="0CAF1FCC"/>
    <w:rsid w:val="0CC65836"/>
    <w:rsid w:val="0CFC12E8"/>
    <w:rsid w:val="0D693F98"/>
    <w:rsid w:val="0D830185"/>
    <w:rsid w:val="0DF02F5A"/>
    <w:rsid w:val="0DF20A80"/>
    <w:rsid w:val="0E2F5220"/>
    <w:rsid w:val="0E364873"/>
    <w:rsid w:val="0E385A18"/>
    <w:rsid w:val="0E570138"/>
    <w:rsid w:val="0E846C5B"/>
    <w:rsid w:val="0E9A33FF"/>
    <w:rsid w:val="0EB72A51"/>
    <w:rsid w:val="0EC36AE6"/>
    <w:rsid w:val="0EF75580"/>
    <w:rsid w:val="0F1B51C5"/>
    <w:rsid w:val="0F7B6853"/>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163CF3"/>
    <w:rsid w:val="12CD1B24"/>
    <w:rsid w:val="12EA255A"/>
    <w:rsid w:val="13464D5E"/>
    <w:rsid w:val="1398649C"/>
    <w:rsid w:val="139A0B1F"/>
    <w:rsid w:val="13C532EF"/>
    <w:rsid w:val="144C07C7"/>
    <w:rsid w:val="147B0604"/>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80D5B"/>
    <w:rsid w:val="18CC5434"/>
    <w:rsid w:val="18D43354"/>
    <w:rsid w:val="18E54146"/>
    <w:rsid w:val="19473B43"/>
    <w:rsid w:val="19AC1F9C"/>
    <w:rsid w:val="19E51499"/>
    <w:rsid w:val="19EA6791"/>
    <w:rsid w:val="19F825D9"/>
    <w:rsid w:val="1A437161"/>
    <w:rsid w:val="1A6C6995"/>
    <w:rsid w:val="1A805ECF"/>
    <w:rsid w:val="1ABF7F3C"/>
    <w:rsid w:val="1AD80FFE"/>
    <w:rsid w:val="1AFA27E4"/>
    <w:rsid w:val="1BBA357C"/>
    <w:rsid w:val="1BBC5800"/>
    <w:rsid w:val="1BDD6112"/>
    <w:rsid w:val="1BF630B5"/>
    <w:rsid w:val="1C0715F0"/>
    <w:rsid w:val="1C5D600F"/>
    <w:rsid w:val="1C5E37FE"/>
    <w:rsid w:val="1C5F17DC"/>
    <w:rsid w:val="1C680F45"/>
    <w:rsid w:val="1C760360"/>
    <w:rsid w:val="1C83767C"/>
    <w:rsid w:val="1C866676"/>
    <w:rsid w:val="1CA41BA5"/>
    <w:rsid w:val="1CCD7F32"/>
    <w:rsid w:val="1CE0100C"/>
    <w:rsid w:val="1D062C2C"/>
    <w:rsid w:val="1D0F0766"/>
    <w:rsid w:val="1D806FC0"/>
    <w:rsid w:val="1D870D92"/>
    <w:rsid w:val="1DD85EE2"/>
    <w:rsid w:val="1E322AFA"/>
    <w:rsid w:val="1E39255D"/>
    <w:rsid w:val="1E565798"/>
    <w:rsid w:val="1E5B4E2F"/>
    <w:rsid w:val="1EB145A4"/>
    <w:rsid w:val="1EB26A2F"/>
    <w:rsid w:val="1F197ECC"/>
    <w:rsid w:val="1F7A6B27"/>
    <w:rsid w:val="1F9A03FC"/>
    <w:rsid w:val="1F9F4FD0"/>
    <w:rsid w:val="1FB13B43"/>
    <w:rsid w:val="1FE47EE4"/>
    <w:rsid w:val="1FFD3A90"/>
    <w:rsid w:val="203E5C2F"/>
    <w:rsid w:val="20723F75"/>
    <w:rsid w:val="208B0C0A"/>
    <w:rsid w:val="209F2E8C"/>
    <w:rsid w:val="20C94FCD"/>
    <w:rsid w:val="20CF0133"/>
    <w:rsid w:val="212154AC"/>
    <w:rsid w:val="21500F9E"/>
    <w:rsid w:val="21690C01"/>
    <w:rsid w:val="217D77E0"/>
    <w:rsid w:val="21D303DC"/>
    <w:rsid w:val="21DC075D"/>
    <w:rsid w:val="21EF70BE"/>
    <w:rsid w:val="220E66BC"/>
    <w:rsid w:val="221B45B1"/>
    <w:rsid w:val="2265588B"/>
    <w:rsid w:val="228C2292"/>
    <w:rsid w:val="23541649"/>
    <w:rsid w:val="235E3785"/>
    <w:rsid w:val="238E382A"/>
    <w:rsid w:val="23921405"/>
    <w:rsid w:val="23C9100A"/>
    <w:rsid w:val="24421E65"/>
    <w:rsid w:val="246473DF"/>
    <w:rsid w:val="24855506"/>
    <w:rsid w:val="24C456C6"/>
    <w:rsid w:val="24F868A6"/>
    <w:rsid w:val="25125EFC"/>
    <w:rsid w:val="25366867"/>
    <w:rsid w:val="2537664C"/>
    <w:rsid w:val="253C64B1"/>
    <w:rsid w:val="25733248"/>
    <w:rsid w:val="259D0E7A"/>
    <w:rsid w:val="25AA1BAB"/>
    <w:rsid w:val="25AF47C5"/>
    <w:rsid w:val="25D60BC4"/>
    <w:rsid w:val="25D873ED"/>
    <w:rsid w:val="25F75335"/>
    <w:rsid w:val="260007C3"/>
    <w:rsid w:val="261325BB"/>
    <w:rsid w:val="26213859"/>
    <w:rsid w:val="267000E4"/>
    <w:rsid w:val="269E1BDF"/>
    <w:rsid w:val="26C86AE1"/>
    <w:rsid w:val="26CD578F"/>
    <w:rsid w:val="27063174"/>
    <w:rsid w:val="2745621A"/>
    <w:rsid w:val="274B306C"/>
    <w:rsid w:val="28150F91"/>
    <w:rsid w:val="283F090E"/>
    <w:rsid w:val="288E0726"/>
    <w:rsid w:val="289A0EE5"/>
    <w:rsid w:val="28A2177B"/>
    <w:rsid w:val="28DA25CC"/>
    <w:rsid w:val="2956242B"/>
    <w:rsid w:val="29625978"/>
    <w:rsid w:val="29BE7B24"/>
    <w:rsid w:val="29EC1002"/>
    <w:rsid w:val="2A173A82"/>
    <w:rsid w:val="2A27019D"/>
    <w:rsid w:val="2A4A7282"/>
    <w:rsid w:val="2A77431C"/>
    <w:rsid w:val="2A9121A6"/>
    <w:rsid w:val="2AB8571B"/>
    <w:rsid w:val="2ABD6442"/>
    <w:rsid w:val="2ACD268E"/>
    <w:rsid w:val="2AF53CB3"/>
    <w:rsid w:val="2B065713"/>
    <w:rsid w:val="2B496FAB"/>
    <w:rsid w:val="2B5365E1"/>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4B6D23"/>
    <w:rsid w:val="2F837265"/>
    <w:rsid w:val="2F8C2E25"/>
    <w:rsid w:val="2F8E3C27"/>
    <w:rsid w:val="2FA80D37"/>
    <w:rsid w:val="2FC328DF"/>
    <w:rsid w:val="2FE05822"/>
    <w:rsid w:val="2FEA3599"/>
    <w:rsid w:val="301223CD"/>
    <w:rsid w:val="30276045"/>
    <w:rsid w:val="30552879"/>
    <w:rsid w:val="3071536E"/>
    <w:rsid w:val="30CD0F38"/>
    <w:rsid w:val="312C0E37"/>
    <w:rsid w:val="31451F91"/>
    <w:rsid w:val="3166710B"/>
    <w:rsid w:val="31B97443"/>
    <w:rsid w:val="31E0281A"/>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BF23FA"/>
    <w:rsid w:val="35DE6483"/>
    <w:rsid w:val="361479B3"/>
    <w:rsid w:val="362A341F"/>
    <w:rsid w:val="36392BDD"/>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446B65"/>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AC10A1"/>
    <w:rsid w:val="3DB17760"/>
    <w:rsid w:val="3DD06792"/>
    <w:rsid w:val="3E6216DB"/>
    <w:rsid w:val="3E6D2368"/>
    <w:rsid w:val="3E8C50F6"/>
    <w:rsid w:val="3E9E6EFC"/>
    <w:rsid w:val="3EA147B7"/>
    <w:rsid w:val="3EAA1A98"/>
    <w:rsid w:val="3EB50FE5"/>
    <w:rsid w:val="3ED64314"/>
    <w:rsid w:val="3EDA3818"/>
    <w:rsid w:val="3EE12A57"/>
    <w:rsid w:val="3EEF2E69"/>
    <w:rsid w:val="3F0B047D"/>
    <w:rsid w:val="3F267EF6"/>
    <w:rsid w:val="3F544D41"/>
    <w:rsid w:val="3F7635AF"/>
    <w:rsid w:val="3FA23805"/>
    <w:rsid w:val="3FEA64CB"/>
    <w:rsid w:val="3FF57D0C"/>
    <w:rsid w:val="3FFB782D"/>
    <w:rsid w:val="401A75E2"/>
    <w:rsid w:val="40333ECA"/>
    <w:rsid w:val="40A601F0"/>
    <w:rsid w:val="40B345F0"/>
    <w:rsid w:val="40BF08B4"/>
    <w:rsid w:val="411D0018"/>
    <w:rsid w:val="413328ED"/>
    <w:rsid w:val="41392B4A"/>
    <w:rsid w:val="413F1DCA"/>
    <w:rsid w:val="416F7716"/>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5DC1E35"/>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054931"/>
    <w:rsid w:val="481E12C4"/>
    <w:rsid w:val="482F22FC"/>
    <w:rsid w:val="483A153F"/>
    <w:rsid w:val="48714DBB"/>
    <w:rsid w:val="487F2935"/>
    <w:rsid w:val="49540677"/>
    <w:rsid w:val="49926C6C"/>
    <w:rsid w:val="49A53EDA"/>
    <w:rsid w:val="49AA4FB0"/>
    <w:rsid w:val="49DB78B5"/>
    <w:rsid w:val="49E97A04"/>
    <w:rsid w:val="49EA569C"/>
    <w:rsid w:val="4A080708"/>
    <w:rsid w:val="4A494A22"/>
    <w:rsid w:val="4A911B79"/>
    <w:rsid w:val="4ADF223E"/>
    <w:rsid w:val="4AF07DCC"/>
    <w:rsid w:val="4B125F29"/>
    <w:rsid w:val="4B620F05"/>
    <w:rsid w:val="4B9F6E4A"/>
    <w:rsid w:val="4BA42C32"/>
    <w:rsid w:val="4BAD0F90"/>
    <w:rsid w:val="4C2274BE"/>
    <w:rsid w:val="4C7F4F1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B94FAC"/>
    <w:rsid w:val="55CA36B6"/>
    <w:rsid w:val="567F5F3C"/>
    <w:rsid w:val="56DB6AC7"/>
    <w:rsid w:val="56DF16DC"/>
    <w:rsid w:val="57184CF1"/>
    <w:rsid w:val="57780B5F"/>
    <w:rsid w:val="57B96494"/>
    <w:rsid w:val="57DD76E9"/>
    <w:rsid w:val="57FC658A"/>
    <w:rsid w:val="57FE5FE5"/>
    <w:rsid w:val="586A1F97"/>
    <w:rsid w:val="589C6ECF"/>
    <w:rsid w:val="58DA7713"/>
    <w:rsid w:val="591C5F7E"/>
    <w:rsid w:val="593212FE"/>
    <w:rsid w:val="593E7CA2"/>
    <w:rsid w:val="59597413"/>
    <w:rsid w:val="59BA4CD4"/>
    <w:rsid w:val="59EE5797"/>
    <w:rsid w:val="5AC272A3"/>
    <w:rsid w:val="5B307B0A"/>
    <w:rsid w:val="5B557E8F"/>
    <w:rsid w:val="5BB1110B"/>
    <w:rsid w:val="5C2B7BE1"/>
    <w:rsid w:val="5C621337"/>
    <w:rsid w:val="5C7F01BD"/>
    <w:rsid w:val="5D6C33D5"/>
    <w:rsid w:val="5D7D7BFC"/>
    <w:rsid w:val="5DA25547"/>
    <w:rsid w:val="5DC5227C"/>
    <w:rsid w:val="5DD32B36"/>
    <w:rsid w:val="5DEC6C8E"/>
    <w:rsid w:val="5DF951D1"/>
    <w:rsid w:val="5DFA4819"/>
    <w:rsid w:val="5E9B7945"/>
    <w:rsid w:val="5EFB79A1"/>
    <w:rsid w:val="5F2A616C"/>
    <w:rsid w:val="5F3C052E"/>
    <w:rsid w:val="5F6C71D0"/>
    <w:rsid w:val="5F785148"/>
    <w:rsid w:val="5FA8049F"/>
    <w:rsid w:val="5FC04A97"/>
    <w:rsid w:val="5FE94B7D"/>
    <w:rsid w:val="5FF2718E"/>
    <w:rsid w:val="5FFF4EA8"/>
    <w:rsid w:val="602B2726"/>
    <w:rsid w:val="60310561"/>
    <w:rsid w:val="60417BB4"/>
    <w:rsid w:val="60854409"/>
    <w:rsid w:val="60B2650C"/>
    <w:rsid w:val="611D40E2"/>
    <w:rsid w:val="614462DE"/>
    <w:rsid w:val="61B516C4"/>
    <w:rsid w:val="61EF4764"/>
    <w:rsid w:val="62290116"/>
    <w:rsid w:val="625904A9"/>
    <w:rsid w:val="628730AA"/>
    <w:rsid w:val="629E43C1"/>
    <w:rsid w:val="62A64AED"/>
    <w:rsid w:val="62BE2B8C"/>
    <w:rsid w:val="632D32DF"/>
    <w:rsid w:val="636B778B"/>
    <w:rsid w:val="63713FBD"/>
    <w:rsid w:val="63950102"/>
    <w:rsid w:val="64195594"/>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36259"/>
    <w:rsid w:val="6ACC25CE"/>
    <w:rsid w:val="6AF761B2"/>
    <w:rsid w:val="6B275374"/>
    <w:rsid w:val="6B5D66AE"/>
    <w:rsid w:val="6BEB28AD"/>
    <w:rsid w:val="6C1D1BAE"/>
    <w:rsid w:val="6C32108A"/>
    <w:rsid w:val="6C495CD7"/>
    <w:rsid w:val="6C6C7186"/>
    <w:rsid w:val="6C71153E"/>
    <w:rsid w:val="6C7F2654"/>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5F47C0F"/>
    <w:rsid w:val="76013268"/>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542BE7"/>
    <w:rsid w:val="786170B2"/>
    <w:rsid w:val="786E6C4A"/>
    <w:rsid w:val="789D2BB8"/>
    <w:rsid w:val="78DB6555"/>
    <w:rsid w:val="78FD20DF"/>
    <w:rsid w:val="795654B4"/>
    <w:rsid w:val="79C30024"/>
    <w:rsid w:val="79E24199"/>
    <w:rsid w:val="7A281851"/>
    <w:rsid w:val="7A3A7AB8"/>
    <w:rsid w:val="7A550F13"/>
    <w:rsid w:val="7A773BB5"/>
    <w:rsid w:val="7AC34054"/>
    <w:rsid w:val="7AD20151"/>
    <w:rsid w:val="7B345817"/>
    <w:rsid w:val="7B5D3DBD"/>
    <w:rsid w:val="7B62786A"/>
    <w:rsid w:val="7BAD7F79"/>
    <w:rsid w:val="7BE82E7A"/>
    <w:rsid w:val="7C047330"/>
    <w:rsid w:val="7C1A0DC0"/>
    <w:rsid w:val="7C614B37"/>
    <w:rsid w:val="7CE039CF"/>
    <w:rsid w:val="7CF82B3B"/>
    <w:rsid w:val="7D54267F"/>
    <w:rsid w:val="7D7C739E"/>
    <w:rsid w:val="7D880B69"/>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autoRedefine/>
    <w:qFormat/>
    <w:uiPriority w:val="0"/>
    <w:pPr>
      <w:jc w:val="left"/>
    </w:pPr>
  </w:style>
  <w:style w:type="paragraph" w:styleId="6">
    <w:name w:val="Body Text"/>
    <w:basedOn w:val="1"/>
    <w:link w:val="23"/>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4"/>
    <w:autoRedefine/>
    <w:qFormat/>
    <w:uiPriority w:val="99"/>
    <w:pPr>
      <w:ind w:left="100" w:leftChars="2500"/>
    </w:pPr>
  </w:style>
  <w:style w:type="paragraph" w:styleId="9">
    <w:name w:val="footer"/>
    <w:basedOn w:val="1"/>
    <w:link w:val="25"/>
    <w:autoRedefine/>
    <w:qFormat/>
    <w:uiPriority w:val="99"/>
    <w:pPr>
      <w:tabs>
        <w:tab w:val="center" w:pos="4153"/>
        <w:tab w:val="right" w:pos="8306"/>
      </w:tabs>
      <w:snapToGrid w:val="0"/>
      <w:jc w:val="left"/>
    </w:pPr>
    <w:rPr>
      <w:sz w:val="18"/>
    </w:rPr>
  </w:style>
  <w:style w:type="paragraph" w:styleId="10">
    <w:name w:val="header"/>
    <w:basedOn w:val="1"/>
    <w:link w:val="26"/>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toc 2"/>
    <w:basedOn w:val="1"/>
    <w:next w:val="1"/>
    <w:autoRedefine/>
    <w:unhideWhenUsed/>
    <w:qFormat/>
    <w:uiPriority w:val="39"/>
    <w:pPr>
      <w:ind w:left="420" w:leftChars="200"/>
    </w:pPr>
  </w:style>
  <w:style w:type="paragraph" w:styleId="12">
    <w:name w:val="Body Text 2"/>
    <w:basedOn w:val="1"/>
    <w:next w:val="1"/>
    <w:autoRedefine/>
    <w:qFormat/>
    <w:uiPriority w:val="0"/>
    <w:rPr>
      <w:sz w:val="24"/>
      <w:szCs w:val="22"/>
    </w:rPr>
  </w:style>
  <w:style w:type="paragraph" w:styleId="13">
    <w:name w:val="Title"/>
    <w:basedOn w:val="1"/>
    <w:next w:val="1"/>
    <w:qFormat/>
    <w:locked/>
    <w:uiPriority w:val="0"/>
    <w:pPr>
      <w:spacing w:before="60" w:after="60" w:line="576" w:lineRule="auto"/>
      <w:ind w:firstLine="0" w:firstLineChars="0"/>
      <w:jc w:val="left"/>
      <w:outlineLvl w:val="0"/>
    </w:pPr>
    <w:rPr>
      <w:b/>
      <w:bCs/>
      <w:sz w:val="36"/>
      <w:szCs w:val="32"/>
      <w:lang w:val="zh-CN"/>
    </w:rPr>
  </w:style>
  <w:style w:type="paragraph" w:styleId="14">
    <w:name w:val="Body Text First Indent"/>
    <w:basedOn w:val="6"/>
    <w:next w:val="1"/>
    <w:autoRedefine/>
    <w:qFormat/>
    <w:uiPriority w:val="0"/>
    <w:pPr>
      <w:spacing w:after="120"/>
      <w:ind w:firstLine="420" w:firstLineChars="100"/>
    </w:pPr>
  </w:style>
  <w:style w:type="character" w:styleId="17">
    <w:name w:val="Strong"/>
    <w:basedOn w:val="18"/>
    <w:autoRedefine/>
    <w:qFormat/>
    <w:uiPriority w:val="99"/>
    <w:rPr>
      <w:rFonts w:cs="Times New Roman"/>
      <w:b/>
    </w:rPr>
  </w:style>
  <w:style w:type="character" w:customStyle="1" w:styleId="18">
    <w:name w:val="NormalCharacter"/>
    <w:autoRedefine/>
    <w:semiHidden/>
    <w:qFormat/>
    <w:uiPriority w:val="99"/>
  </w:style>
  <w:style w:type="character" w:styleId="19">
    <w:name w:val="annotation reference"/>
    <w:autoRedefine/>
    <w:qFormat/>
    <w:uiPriority w:val="0"/>
    <w:rPr>
      <w:sz w:val="21"/>
      <w:szCs w:val="21"/>
    </w:rPr>
  </w:style>
  <w:style w:type="paragraph" w:customStyle="1" w:styleId="20">
    <w:name w:val="样式 正文缩进正文缩进2正文缩进 Char Char正文缩进 Char Char Char Char正文缩进 Char ..."/>
    <w:basedOn w:val="4"/>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1">
    <w:name w:val="正文首行缩进 21"/>
    <w:basedOn w:val="3"/>
    <w:next w:val="1"/>
    <w:autoRedefine/>
    <w:qFormat/>
    <w:uiPriority w:val="0"/>
    <w:pPr>
      <w:spacing w:afterLines="0"/>
      <w:ind w:left="420" w:firstLine="420" w:firstLineChars="200"/>
    </w:pPr>
    <w:rPr>
      <w:lang w:eastAsia="zh-CN" w:bidi="ar-SA"/>
    </w:rPr>
  </w:style>
  <w:style w:type="paragraph" w:customStyle="1" w:styleId="22">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3">
    <w:name w:val="正文文本 Char"/>
    <w:basedOn w:val="16"/>
    <w:link w:val="6"/>
    <w:autoRedefine/>
    <w:semiHidden/>
    <w:qFormat/>
    <w:uiPriority w:val="99"/>
    <w:rPr>
      <w:color w:val="000000"/>
      <w:kern w:val="0"/>
      <w:szCs w:val="20"/>
    </w:rPr>
  </w:style>
  <w:style w:type="character" w:customStyle="1" w:styleId="24">
    <w:name w:val="日期 Char"/>
    <w:basedOn w:val="16"/>
    <w:link w:val="8"/>
    <w:autoRedefine/>
    <w:semiHidden/>
    <w:qFormat/>
    <w:uiPriority w:val="99"/>
    <w:rPr>
      <w:color w:val="000000"/>
      <w:kern w:val="0"/>
      <w:szCs w:val="20"/>
    </w:rPr>
  </w:style>
  <w:style w:type="character" w:customStyle="1" w:styleId="25">
    <w:name w:val="页脚 Char"/>
    <w:basedOn w:val="18"/>
    <w:link w:val="9"/>
    <w:autoRedefine/>
    <w:qFormat/>
    <w:locked/>
    <w:uiPriority w:val="99"/>
    <w:rPr>
      <w:rFonts w:cs="Times New Roman"/>
      <w:color w:val="000000"/>
      <w:sz w:val="18"/>
    </w:rPr>
  </w:style>
  <w:style w:type="character" w:customStyle="1" w:styleId="26">
    <w:name w:val="页眉 Char"/>
    <w:basedOn w:val="18"/>
    <w:link w:val="10"/>
    <w:autoRedefine/>
    <w:qFormat/>
    <w:locked/>
    <w:uiPriority w:val="99"/>
    <w:rPr>
      <w:rFonts w:cs="Times New Roman"/>
      <w:color w:val="000000"/>
      <w:sz w:val="18"/>
      <w:szCs w:val="18"/>
    </w:rPr>
  </w:style>
  <w:style w:type="paragraph" w:customStyle="1" w:styleId="27">
    <w:name w:val="BodyText"/>
    <w:basedOn w:val="1"/>
    <w:autoRedefine/>
    <w:qFormat/>
    <w:uiPriority w:val="99"/>
    <w:pPr>
      <w:spacing w:after="120"/>
    </w:pPr>
    <w:rPr>
      <w:rFonts w:ascii="Calibri" w:hAnsi="Calibri"/>
      <w:szCs w:val="22"/>
    </w:rPr>
  </w:style>
  <w:style w:type="table" w:customStyle="1" w:styleId="28">
    <w:name w:val="TableNormal"/>
    <w:autoRedefine/>
    <w:semiHidden/>
    <w:qFormat/>
    <w:uiPriority w:val="99"/>
    <w:tblPr>
      <w:tblCellMar>
        <w:top w:w="0" w:type="dxa"/>
        <w:left w:w="0" w:type="dxa"/>
        <w:bottom w:w="0" w:type="dxa"/>
        <w:right w:w="0" w:type="dxa"/>
      </w:tblCellMar>
    </w:tblPr>
  </w:style>
  <w:style w:type="character" w:customStyle="1" w:styleId="29">
    <w:name w:val="UserStyle_0"/>
    <w:basedOn w:val="18"/>
    <w:autoRedefine/>
    <w:qFormat/>
    <w:uiPriority w:val="99"/>
    <w:rPr>
      <w:rFonts w:ascii="Times New Roman" w:eastAsia="宋体" w:cs="Times New Roman"/>
      <w:color w:val="0000FF"/>
      <w:sz w:val="21"/>
      <w:u w:val="single"/>
      <w:lang w:val="en-US" w:eastAsia="zh-CN"/>
    </w:rPr>
  </w:style>
  <w:style w:type="character" w:customStyle="1" w:styleId="30">
    <w:name w:val="AnnotationReference"/>
    <w:autoRedefine/>
    <w:qFormat/>
    <w:uiPriority w:val="99"/>
    <w:rPr>
      <w:sz w:val="21"/>
    </w:rPr>
  </w:style>
  <w:style w:type="character" w:customStyle="1" w:styleId="31">
    <w:name w:val="UserStyle_2"/>
    <w:basedOn w:val="18"/>
    <w:autoRedefine/>
    <w:qFormat/>
    <w:uiPriority w:val="99"/>
    <w:rPr>
      <w:rFonts w:ascii="Times New Roman" w:eastAsia="宋体" w:cs="Times New Roman"/>
      <w:color w:val="0000FF"/>
      <w:sz w:val="21"/>
      <w:u w:val="single"/>
      <w:lang w:val="en-US" w:eastAsia="zh-CN"/>
    </w:rPr>
  </w:style>
  <w:style w:type="character" w:customStyle="1" w:styleId="32">
    <w:name w:val="UserStyle_3"/>
    <w:autoRedefine/>
    <w:semiHidden/>
    <w:qFormat/>
    <w:uiPriority w:val="99"/>
    <w:rPr>
      <w:rFonts w:ascii="Times New Roman" w:hAnsi="Times New Roman" w:eastAsia="宋体"/>
      <w:kern w:val="2"/>
      <w:sz w:val="21"/>
      <w:lang w:val="en-US" w:eastAsia="zh-CN"/>
    </w:rPr>
  </w:style>
  <w:style w:type="paragraph" w:customStyle="1" w:styleId="33">
    <w:name w:val="UserStyle_5"/>
    <w:basedOn w:val="1"/>
    <w:next w:val="34"/>
    <w:autoRedefine/>
    <w:qFormat/>
    <w:uiPriority w:val="99"/>
    <w:pPr>
      <w:spacing w:before="566" w:after="544" w:line="566" w:lineRule="atLeast"/>
      <w:jc w:val="center"/>
    </w:pPr>
    <w:rPr>
      <w:rFonts w:ascii="Arial" w:eastAsia="黑体"/>
      <w:sz w:val="54"/>
    </w:rPr>
  </w:style>
  <w:style w:type="paragraph" w:customStyle="1" w:styleId="34">
    <w:name w:val="UserStyle_6"/>
    <w:basedOn w:val="1"/>
    <w:next w:val="35"/>
    <w:autoRedefine/>
    <w:qFormat/>
    <w:uiPriority w:val="99"/>
    <w:pPr>
      <w:spacing w:before="187" w:after="175" w:line="374" w:lineRule="atLeast"/>
      <w:jc w:val="center"/>
    </w:pPr>
    <w:rPr>
      <w:sz w:val="36"/>
    </w:rPr>
  </w:style>
  <w:style w:type="paragraph" w:customStyle="1" w:styleId="35">
    <w:name w:val="UserStyle_16"/>
    <w:basedOn w:val="1"/>
    <w:next w:val="36"/>
    <w:autoRedefine/>
    <w:qFormat/>
    <w:uiPriority w:val="99"/>
    <w:pPr>
      <w:spacing w:before="158" w:after="153" w:line="323" w:lineRule="atLeast"/>
      <w:jc w:val="center"/>
    </w:pPr>
    <w:rPr>
      <w:rFonts w:ascii="Arial" w:eastAsia="黑体"/>
      <w:sz w:val="31"/>
    </w:rPr>
  </w:style>
  <w:style w:type="paragraph" w:customStyle="1" w:styleId="36">
    <w:name w:val="UserStyle_10"/>
    <w:basedOn w:val="1"/>
    <w:next w:val="37"/>
    <w:autoRedefine/>
    <w:qFormat/>
    <w:uiPriority w:val="99"/>
    <w:pPr>
      <w:spacing w:line="289" w:lineRule="atLeast"/>
      <w:jc w:val="center"/>
    </w:pPr>
    <w:rPr>
      <w:sz w:val="28"/>
    </w:rPr>
  </w:style>
  <w:style w:type="paragraph" w:customStyle="1" w:styleId="37">
    <w:name w:val="UserStyle_11"/>
    <w:basedOn w:val="1"/>
    <w:next w:val="1"/>
    <w:autoRedefine/>
    <w:qFormat/>
    <w:uiPriority w:val="99"/>
    <w:pPr>
      <w:spacing w:before="175" w:after="102" w:line="351" w:lineRule="atLeast"/>
    </w:pPr>
    <w:rPr>
      <w:rFonts w:eastAsia="黑体"/>
    </w:rPr>
  </w:style>
  <w:style w:type="paragraph" w:customStyle="1" w:styleId="38">
    <w:name w:val="UserStyle_7"/>
    <w:basedOn w:val="1"/>
    <w:next w:val="1"/>
    <w:autoRedefine/>
    <w:qFormat/>
    <w:uiPriority w:val="99"/>
    <w:pPr>
      <w:tabs>
        <w:tab w:val="left" w:leader="dot" w:pos="8503"/>
      </w:tabs>
      <w:spacing w:line="317" w:lineRule="atLeast"/>
      <w:ind w:firstLine="629"/>
    </w:pPr>
  </w:style>
  <w:style w:type="paragraph" w:customStyle="1" w:styleId="39">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autoRedefine/>
    <w:qFormat/>
    <w:uiPriority w:val="99"/>
    <w:pPr>
      <w:tabs>
        <w:tab w:val="left" w:leader="dot" w:pos="8503"/>
      </w:tabs>
      <w:spacing w:line="317" w:lineRule="atLeast"/>
      <w:ind w:firstLine="419"/>
    </w:pPr>
  </w:style>
  <w:style w:type="paragraph" w:customStyle="1" w:styleId="42">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autoRedefine/>
    <w:qFormat/>
    <w:uiPriority w:val="99"/>
    <w:pPr>
      <w:spacing w:line="240" w:lineRule="auto"/>
      <w:textAlignment w:val="auto"/>
    </w:pPr>
    <w:rPr>
      <w:sz w:val="32"/>
      <w:szCs w:val="32"/>
    </w:rPr>
  </w:style>
  <w:style w:type="paragraph" w:customStyle="1" w:styleId="44">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autoRedefine/>
    <w:qFormat/>
    <w:uiPriority w:val="99"/>
    <w:pPr>
      <w:tabs>
        <w:tab w:val="left" w:leader="dot" w:pos="8503"/>
      </w:tabs>
      <w:spacing w:line="317" w:lineRule="atLeast"/>
      <w:ind w:firstLine="209"/>
    </w:pPr>
  </w:style>
  <w:style w:type="paragraph" w:customStyle="1" w:styleId="46">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7">
    <w:name w:val="TableGrid"/>
    <w:basedOn w:val="28"/>
    <w:autoRedefine/>
    <w:qFormat/>
    <w:uiPriority w:val="99"/>
    <w:tblPr>
      <w:tblCellMar>
        <w:top w:w="0" w:type="dxa"/>
        <w:left w:w="0" w:type="dxa"/>
        <w:bottom w:w="0" w:type="dxa"/>
        <w:right w:w="0" w:type="dxa"/>
      </w:tblCellMar>
    </w:tblPr>
  </w:style>
  <w:style w:type="paragraph" w:customStyle="1" w:styleId="48">
    <w:name w:val="BodyTextIndent"/>
    <w:basedOn w:val="1"/>
    <w:autoRedefine/>
    <w:qFormat/>
    <w:uiPriority w:val="99"/>
    <w:pPr>
      <w:spacing w:after="120"/>
      <w:ind w:left="420" w:leftChars="200"/>
    </w:pPr>
  </w:style>
  <w:style w:type="paragraph" w:customStyle="1" w:styleId="49">
    <w:name w:val="BodyText1I2"/>
    <w:basedOn w:val="48"/>
    <w:autoRedefine/>
    <w:qFormat/>
    <w:uiPriority w:val="99"/>
    <w:pPr>
      <w:ind w:firstLine="420" w:firstLineChars="200"/>
    </w:pPr>
  </w:style>
  <w:style w:type="paragraph" w:customStyle="1" w:styleId="50">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1898</Words>
  <Characters>2066</Characters>
  <Lines>10</Lines>
  <Paragraphs>3</Paragraphs>
  <TotalTime>24</TotalTime>
  <ScaleCrop>false</ScaleCrop>
  <LinksUpToDate>false</LinksUpToDate>
  <CharactersWithSpaces>2158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2024-12-03T07:17:21Z</cp:lastPrinted>
  <dcterms:modified xsi:type="dcterms:W3CDTF">2024-12-03T07:22:24Z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4DCB5CB6790C4012B821DB206B1BA384_13</vt:lpwstr>
  </property>
</Properties>
</file>