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5D674C">
      <w:pPr>
        <w:snapToGrid w:val="0"/>
        <w:spacing w:line="580" w:lineRule="exact"/>
        <w:jc w:val="center"/>
        <w:rPr>
          <w:rStyle w:val="16"/>
          <w:rFonts w:ascii="仿宋_GB2312" w:eastAsia="仿宋_GB2312"/>
          <w:color w:val="auto"/>
          <w:sz w:val="32"/>
          <w:szCs w:val="32"/>
        </w:rPr>
      </w:pPr>
    </w:p>
    <w:p w14:paraId="4AFA3E0C">
      <w:pPr>
        <w:snapToGrid w:val="0"/>
        <w:spacing w:line="580" w:lineRule="exact"/>
        <w:jc w:val="center"/>
        <w:rPr>
          <w:rStyle w:val="16"/>
          <w:rFonts w:ascii="仿宋_GB2312" w:eastAsia="仿宋_GB2312"/>
          <w:color w:val="auto"/>
          <w:sz w:val="32"/>
          <w:szCs w:val="32"/>
        </w:rPr>
      </w:pPr>
    </w:p>
    <w:p w14:paraId="40669AA6">
      <w:pPr>
        <w:snapToGrid w:val="0"/>
        <w:spacing w:line="580" w:lineRule="exact"/>
        <w:jc w:val="center"/>
        <w:rPr>
          <w:rStyle w:val="16"/>
          <w:rFonts w:ascii="仿宋_GB2312" w:eastAsia="仿宋_GB2312"/>
          <w:color w:val="auto"/>
          <w:sz w:val="32"/>
          <w:szCs w:val="32"/>
        </w:rPr>
      </w:pPr>
    </w:p>
    <w:p w14:paraId="11E3B41B">
      <w:pPr>
        <w:snapToGrid w:val="0"/>
        <w:spacing w:line="580" w:lineRule="exact"/>
        <w:jc w:val="center"/>
        <w:rPr>
          <w:rStyle w:val="16"/>
          <w:rFonts w:ascii="仿宋_GB2312" w:eastAsia="仿宋_GB2312"/>
          <w:color w:val="auto"/>
          <w:sz w:val="32"/>
          <w:szCs w:val="32"/>
        </w:rPr>
      </w:pPr>
    </w:p>
    <w:p w14:paraId="144EA8A8">
      <w:pPr>
        <w:snapToGrid w:val="0"/>
        <w:spacing w:line="580" w:lineRule="exact"/>
        <w:jc w:val="center"/>
        <w:rPr>
          <w:rStyle w:val="16"/>
          <w:rFonts w:ascii="仿宋_GB2312" w:eastAsia="仿宋_GB2312"/>
          <w:color w:val="auto"/>
          <w:sz w:val="32"/>
          <w:szCs w:val="32"/>
        </w:rPr>
      </w:pPr>
    </w:p>
    <w:p w14:paraId="5E59D8DD">
      <w:pPr>
        <w:snapToGrid w:val="0"/>
        <w:spacing w:line="580" w:lineRule="exact"/>
        <w:jc w:val="center"/>
        <w:rPr>
          <w:rStyle w:val="16"/>
          <w:rFonts w:ascii="仿宋_GB2312" w:eastAsia="仿宋_GB2312"/>
          <w:color w:val="auto"/>
          <w:sz w:val="32"/>
          <w:szCs w:val="32"/>
        </w:rPr>
      </w:pPr>
    </w:p>
    <w:p w14:paraId="69CC3191">
      <w:pPr>
        <w:snapToGrid w:val="0"/>
        <w:spacing w:line="580" w:lineRule="exact"/>
        <w:jc w:val="center"/>
        <w:rPr>
          <w:rStyle w:val="16"/>
          <w:rFonts w:ascii="仿宋_GB2312" w:eastAsia="仿宋_GB2312"/>
          <w:color w:val="auto"/>
          <w:sz w:val="32"/>
          <w:szCs w:val="32"/>
        </w:rPr>
      </w:pPr>
    </w:p>
    <w:p w14:paraId="21D16649">
      <w:pPr>
        <w:snapToGrid w:val="0"/>
        <w:spacing w:line="580" w:lineRule="exact"/>
        <w:jc w:val="center"/>
        <w:rPr>
          <w:rStyle w:val="16"/>
          <w:rFonts w:ascii="仿宋_GB2312" w:eastAsia="仿宋_GB2312"/>
          <w:color w:val="auto"/>
          <w:sz w:val="32"/>
          <w:szCs w:val="32"/>
        </w:rPr>
      </w:pPr>
    </w:p>
    <w:p w14:paraId="3A673D57">
      <w:pPr>
        <w:pStyle w:val="25"/>
        <w:rPr>
          <w:rStyle w:val="16"/>
          <w:color w:val="auto"/>
        </w:rPr>
      </w:pPr>
    </w:p>
    <w:p w14:paraId="1B7B7877">
      <w:pPr>
        <w:snapToGrid w:val="0"/>
        <w:spacing w:line="600" w:lineRule="exact"/>
        <w:rPr>
          <w:rStyle w:val="16"/>
          <w:rFonts w:ascii="仿宋_GB2312" w:eastAsia="仿宋_GB2312"/>
          <w:color w:val="auto"/>
          <w:sz w:val="32"/>
          <w:szCs w:val="32"/>
        </w:rPr>
      </w:pPr>
    </w:p>
    <w:p w14:paraId="2FA80F44">
      <w:pPr>
        <w:snapToGrid w:val="0"/>
        <w:spacing w:line="600" w:lineRule="exact"/>
        <w:ind w:firstLine="2880" w:firstLineChars="900"/>
        <w:rPr>
          <w:rStyle w:val="16"/>
          <w:rFonts w:ascii="仿宋" w:hAnsi="仿宋" w:eastAsia="仿宋"/>
          <w:color w:val="auto"/>
          <w:sz w:val="32"/>
          <w:szCs w:val="32"/>
        </w:rPr>
      </w:pPr>
      <w:r>
        <w:rPr>
          <w:rStyle w:val="16"/>
          <w:rFonts w:hint="eastAsia" w:ascii="仿宋" w:hAnsi="仿宋" w:eastAsia="仿宋"/>
          <w:color w:val="auto"/>
          <w:sz w:val="32"/>
          <w:szCs w:val="32"/>
        </w:rPr>
        <w:t>鄂环东审字〔</w:t>
      </w:r>
      <w:r>
        <w:rPr>
          <w:rStyle w:val="16"/>
          <w:rFonts w:ascii="仿宋" w:hAnsi="仿宋" w:eastAsia="仿宋"/>
          <w:color w:val="auto"/>
          <w:sz w:val="32"/>
          <w:szCs w:val="32"/>
        </w:rPr>
        <w:t>202</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w:t>
      </w:r>
      <w:r>
        <w:rPr>
          <w:rStyle w:val="16"/>
          <w:rFonts w:hint="eastAsia" w:ascii="仿宋" w:hAnsi="仿宋" w:eastAsia="仿宋"/>
          <w:color w:val="auto"/>
          <w:sz w:val="32"/>
          <w:szCs w:val="32"/>
          <w:lang w:val="en-US" w:eastAsia="zh-CN"/>
        </w:rPr>
        <w:t>24</w:t>
      </w:r>
      <w:r>
        <w:rPr>
          <w:rStyle w:val="16"/>
          <w:rFonts w:hint="eastAsia" w:ascii="仿宋" w:hAnsi="仿宋" w:eastAsia="仿宋"/>
          <w:color w:val="auto"/>
          <w:sz w:val="32"/>
          <w:szCs w:val="32"/>
        </w:rPr>
        <w:t>号</w:t>
      </w:r>
      <w:r>
        <w:rPr>
          <w:rStyle w:val="16"/>
          <w:rFonts w:ascii="仿宋" w:hAnsi="仿宋" w:eastAsia="仿宋"/>
          <w:color w:val="auto"/>
          <w:sz w:val="32"/>
          <w:szCs w:val="32"/>
        </w:rPr>
        <w:t xml:space="preserve"> </w:t>
      </w:r>
    </w:p>
    <w:p w14:paraId="6A8CA02C">
      <w:pPr>
        <w:spacing w:line="600" w:lineRule="exact"/>
        <w:jc w:val="center"/>
        <w:rPr>
          <w:rStyle w:val="16"/>
          <w:rFonts w:hint="eastAsia" w:ascii="宋体" w:hAnsi="宋体" w:eastAsia="宋体" w:cs="宋体"/>
          <w:b/>
          <w:bCs w:val="0"/>
          <w:color w:val="auto"/>
          <w:sz w:val="44"/>
          <w:szCs w:val="44"/>
        </w:rPr>
      </w:pPr>
    </w:p>
    <w:p w14:paraId="53684A88">
      <w:pPr>
        <w:spacing w:line="600" w:lineRule="exact"/>
        <w:jc w:val="center"/>
        <w:rPr>
          <w:rStyle w:val="16"/>
          <w:rFonts w:ascii="宋体" w:hAnsi="宋体"/>
          <w:b/>
          <w:bCs w:val="0"/>
          <w:color w:val="auto"/>
          <w:sz w:val="44"/>
          <w:szCs w:val="44"/>
        </w:rPr>
      </w:pPr>
      <w:r>
        <w:rPr>
          <w:rStyle w:val="16"/>
          <w:rFonts w:hint="eastAsia" w:ascii="宋体" w:hAnsi="宋体"/>
          <w:b/>
          <w:bCs w:val="0"/>
          <w:color w:val="auto"/>
          <w:sz w:val="44"/>
          <w:szCs w:val="44"/>
        </w:rPr>
        <w:t>鄂尔多斯市生态环境局东胜区分局关于</w:t>
      </w:r>
    </w:p>
    <w:p w14:paraId="5F142EA2">
      <w:pPr>
        <w:spacing w:line="600" w:lineRule="exact"/>
        <w:jc w:val="center"/>
        <w:rPr>
          <w:rStyle w:val="16"/>
          <w:rFonts w:hint="eastAsia" w:ascii="宋体" w:hAnsi="宋体" w:eastAsia="宋体" w:cs="Times New Roman"/>
          <w:b/>
          <w:bCs w:val="0"/>
          <w:color w:val="auto"/>
          <w:sz w:val="44"/>
          <w:szCs w:val="44"/>
        </w:rPr>
      </w:pPr>
      <w:r>
        <w:rPr>
          <w:rStyle w:val="16"/>
          <w:rFonts w:hint="eastAsia" w:ascii="宋体" w:hAnsi="宋体" w:eastAsia="宋体" w:cs="Times New Roman"/>
          <w:b/>
          <w:bCs w:val="0"/>
          <w:color w:val="auto"/>
          <w:sz w:val="44"/>
          <w:szCs w:val="44"/>
        </w:rPr>
        <w:t>国能包头能源有限责任公司万利</w:t>
      </w:r>
      <w:r>
        <w:rPr>
          <w:rStyle w:val="16"/>
          <w:rFonts w:hint="eastAsia" w:ascii="宋体" w:hAnsi="宋体" w:eastAsia="宋体" w:cs="Times New Roman"/>
          <w:b/>
          <w:bCs w:val="0"/>
          <w:color w:val="auto"/>
          <w:sz w:val="44"/>
          <w:szCs w:val="44"/>
          <w:lang w:eastAsia="zh-CN"/>
        </w:rPr>
        <w:t>一</w:t>
      </w:r>
      <w:r>
        <w:rPr>
          <w:rStyle w:val="16"/>
          <w:rFonts w:hint="eastAsia" w:ascii="宋体" w:hAnsi="宋体" w:eastAsia="宋体" w:cs="Times New Roman"/>
          <w:b/>
          <w:bCs w:val="0"/>
          <w:color w:val="auto"/>
          <w:sz w:val="44"/>
          <w:szCs w:val="44"/>
        </w:rPr>
        <w:t>矿</w:t>
      </w:r>
    </w:p>
    <w:p w14:paraId="2A73B791">
      <w:pPr>
        <w:spacing w:line="600" w:lineRule="exact"/>
        <w:jc w:val="center"/>
        <w:rPr>
          <w:rStyle w:val="16"/>
          <w:rFonts w:hint="eastAsia" w:ascii="宋体" w:hAnsi="宋体" w:eastAsia="宋体" w:cs="宋体"/>
          <w:b/>
          <w:bCs w:val="0"/>
          <w:color w:val="auto"/>
          <w:sz w:val="44"/>
          <w:szCs w:val="44"/>
        </w:rPr>
      </w:pPr>
      <w:r>
        <w:rPr>
          <w:rStyle w:val="16"/>
          <w:rFonts w:hint="eastAsia" w:ascii="宋体" w:hAnsi="宋体" w:eastAsia="宋体" w:cs="Times New Roman"/>
          <w:b/>
          <w:bCs w:val="0"/>
          <w:color w:val="auto"/>
          <w:sz w:val="44"/>
          <w:szCs w:val="44"/>
        </w:rPr>
        <w:t>中部回风立井</w:t>
      </w:r>
      <w:r>
        <w:rPr>
          <w:rStyle w:val="16"/>
          <w:rFonts w:hint="eastAsia" w:ascii="宋体" w:hAnsi="宋体" w:eastAsia="宋体" w:cs="Times New Roman"/>
          <w:b/>
          <w:bCs w:val="0"/>
          <w:color w:val="auto"/>
          <w:sz w:val="44"/>
          <w:szCs w:val="44"/>
          <w:lang w:val="en-US" w:eastAsia="zh-CN"/>
        </w:rPr>
        <w:t>建设</w:t>
      </w:r>
      <w:r>
        <w:rPr>
          <w:rStyle w:val="16"/>
          <w:rFonts w:hint="eastAsia" w:ascii="宋体" w:hAnsi="宋体" w:eastAsia="宋体" w:cs="Times New Roman"/>
          <w:b/>
          <w:bCs w:val="0"/>
          <w:color w:val="auto"/>
          <w:sz w:val="44"/>
          <w:szCs w:val="44"/>
        </w:rPr>
        <w:t>项目</w:t>
      </w:r>
      <w:r>
        <w:rPr>
          <w:rStyle w:val="16"/>
          <w:rFonts w:hint="eastAsia" w:ascii="宋体" w:hAnsi="宋体" w:eastAsia="宋体" w:cs="宋体"/>
          <w:b/>
          <w:bCs w:val="0"/>
          <w:color w:val="auto"/>
          <w:sz w:val="44"/>
          <w:szCs w:val="44"/>
        </w:rPr>
        <w:t>环境</w:t>
      </w:r>
    </w:p>
    <w:p w14:paraId="5767C1CB">
      <w:pPr>
        <w:spacing w:line="600" w:lineRule="exact"/>
        <w:jc w:val="center"/>
        <w:rPr>
          <w:rStyle w:val="16"/>
          <w:rFonts w:hint="eastAsia" w:ascii="宋体" w:hAnsi="宋体" w:eastAsia="宋体" w:cs="宋体"/>
          <w:b/>
          <w:bCs w:val="0"/>
          <w:color w:val="auto"/>
          <w:sz w:val="44"/>
          <w:szCs w:val="44"/>
        </w:rPr>
      </w:pPr>
      <w:r>
        <w:rPr>
          <w:rStyle w:val="16"/>
          <w:rFonts w:hint="eastAsia" w:ascii="宋体" w:hAnsi="宋体" w:eastAsia="宋体" w:cs="宋体"/>
          <w:b/>
          <w:bCs w:val="0"/>
          <w:color w:val="auto"/>
          <w:sz w:val="44"/>
          <w:szCs w:val="44"/>
        </w:rPr>
        <w:t>影响报告表的批复</w:t>
      </w:r>
    </w:p>
    <w:p w14:paraId="54CAF1F3">
      <w:pPr>
        <w:spacing w:line="360" w:lineRule="auto"/>
        <w:textAlignment w:val="auto"/>
        <w:rPr>
          <w:rStyle w:val="16"/>
          <w:rFonts w:hint="eastAsia" w:ascii="仿宋" w:hAnsi="仿宋" w:eastAsia="仿宋"/>
          <w:sz w:val="32"/>
          <w:szCs w:val="32"/>
          <w:lang w:eastAsia="zh-CN"/>
        </w:rPr>
      </w:pPr>
    </w:p>
    <w:p w14:paraId="3B73A07A">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both"/>
        <w:textAlignment w:val="auto"/>
        <w:rPr>
          <w:rStyle w:val="16"/>
          <w:rFonts w:hint="eastAsia" w:ascii="仿宋" w:hAnsi="仿宋" w:eastAsia="仿宋" w:cs="Times New Roman"/>
          <w:sz w:val="32"/>
          <w:szCs w:val="32"/>
          <w:lang w:eastAsia="zh-CN"/>
        </w:rPr>
      </w:pPr>
      <w:r>
        <w:rPr>
          <w:rStyle w:val="16"/>
          <w:rFonts w:hint="eastAsia" w:ascii="仿宋" w:hAnsi="仿宋" w:eastAsia="仿宋" w:cs="Times New Roman"/>
          <w:sz w:val="32"/>
          <w:szCs w:val="32"/>
        </w:rPr>
        <w:t>国能包头能源有限责任公司</w:t>
      </w:r>
      <w:r>
        <w:rPr>
          <w:rStyle w:val="16"/>
          <w:rFonts w:hint="eastAsia" w:ascii="仿宋" w:hAnsi="仿宋" w:eastAsia="仿宋" w:cs="Times New Roman"/>
          <w:sz w:val="32"/>
          <w:szCs w:val="32"/>
          <w:lang w:eastAsia="zh-CN"/>
        </w:rPr>
        <w:t>万利一矿：</w:t>
      </w:r>
    </w:p>
    <w:p w14:paraId="3202936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sz w:val="32"/>
          <w:szCs w:val="32"/>
          <w:lang w:val="en-US" w:eastAsia="zh-CN"/>
        </w:rPr>
      </w:pPr>
      <w:r>
        <w:rPr>
          <w:rStyle w:val="16"/>
          <w:rFonts w:hint="eastAsia" w:ascii="仿宋" w:hAnsi="仿宋" w:eastAsia="仿宋" w:cs="Times New Roman"/>
          <w:color w:val="000000" w:themeColor="text1"/>
          <w:sz w:val="32"/>
          <w:szCs w:val="32"/>
          <w:highlight w:val="none"/>
          <w14:textFill>
            <w14:solidFill>
              <w14:schemeClr w14:val="tx1"/>
            </w14:solidFill>
          </w14:textFill>
        </w:rPr>
        <w:t>你</w:t>
      </w:r>
      <w:r>
        <w:rPr>
          <w:rStyle w:val="16"/>
          <w:rFonts w:hint="eastAsia" w:ascii="仿宋" w:hAnsi="仿宋" w:eastAsia="仿宋" w:cs="Times New Roman"/>
          <w:color w:val="000000" w:themeColor="text1"/>
          <w:sz w:val="32"/>
          <w:szCs w:val="32"/>
          <w:highlight w:val="none"/>
          <w:lang w:val="en-US" w:eastAsia="zh-CN"/>
          <w14:textFill>
            <w14:solidFill>
              <w14:schemeClr w14:val="tx1"/>
            </w14:solidFill>
          </w14:textFill>
        </w:rPr>
        <w:t>单位</w:t>
      </w:r>
      <w:r>
        <w:rPr>
          <w:rStyle w:val="16"/>
          <w:rFonts w:hint="eastAsia" w:ascii="仿宋" w:hAnsi="仿宋" w:eastAsia="仿宋" w:cs="Times New Roman"/>
          <w:color w:val="000000" w:themeColor="text1"/>
          <w:sz w:val="32"/>
          <w:szCs w:val="32"/>
          <w:highlight w:val="none"/>
          <w14:textFill>
            <w14:solidFill>
              <w14:schemeClr w14:val="tx1"/>
            </w14:solidFill>
          </w14:textFill>
        </w:rPr>
        <w:t>报送的由</w:t>
      </w:r>
      <w:r>
        <w:rPr>
          <w:rStyle w:val="16"/>
          <w:rFonts w:hint="eastAsia" w:ascii="仿宋" w:hAnsi="仿宋" w:eastAsia="仿宋" w:cs="Times New Roman"/>
          <w:color w:val="000000" w:themeColor="text1"/>
          <w:sz w:val="32"/>
          <w:szCs w:val="32"/>
          <w:highlight w:val="none"/>
          <w:lang w:eastAsia="zh-CN"/>
          <w14:textFill>
            <w14:solidFill>
              <w14:schemeClr w14:val="tx1"/>
            </w14:solidFill>
          </w14:textFill>
        </w:rPr>
        <w:t>内蒙古信德工程技术咨询服务有限公司</w:t>
      </w:r>
      <w:r>
        <w:rPr>
          <w:rStyle w:val="16"/>
          <w:rFonts w:hint="eastAsia" w:ascii="仿宋" w:hAnsi="仿宋" w:eastAsia="仿宋" w:cs="Times New Roman"/>
          <w:color w:val="000000" w:themeColor="text1"/>
          <w:sz w:val="32"/>
          <w:szCs w:val="32"/>
          <w:highlight w:val="none"/>
          <w:lang w:val="en-US" w:eastAsia="zh-CN"/>
          <w14:textFill>
            <w14:solidFill>
              <w14:schemeClr w14:val="tx1"/>
            </w14:solidFill>
          </w14:textFill>
        </w:rPr>
        <w:t>编</w:t>
      </w:r>
      <w:r>
        <w:rPr>
          <w:rStyle w:val="16"/>
          <w:rFonts w:hint="eastAsia" w:ascii="仿宋" w:hAnsi="仿宋" w:eastAsia="仿宋" w:cs="Times New Roman"/>
          <w:color w:val="000000" w:themeColor="text1"/>
          <w:sz w:val="32"/>
          <w:szCs w:val="32"/>
          <w:highlight w:val="none"/>
          <w14:textFill>
            <w14:solidFill>
              <w14:schemeClr w14:val="tx1"/>
            </w14:solidFill>
          </w14:textFill>
        </w:rPr>
        <w:t>制的</w:t>
      </w:r>
      <w:r>
        <w:rPr>
          <w:rStyle w:val="16"/>
          <w:rFonts w:hint="eastAsia" w:ascii="仿宋" w:hAnsi="仿宋" w:eastAsia="仿宋" w:cs="Times New Roman"/>
          <w:color w:val="000000" w:themeColor="text1"/>
          <w:sz w:val="32"/>
          <w:szCs w:val="32"/>
          <w:highlight w:val="none"/>
          <w:lang w:eastAsia="zh-CN"/>
          <w14:textFill>
            <w14:solidFill>
              <w14:schemeClr w14:val="tx1"/>
            </w14:solidFill>
          </w14:textFill>
        </w:rPr>
        <w:t>《国能包头能源有限责任公司万利一矿中部回风立井</w:t>
      </w:r>
      <w:r>
        <w:rPr>
          <w:rStyle w:val="16"/>
          <w:rFonts w:hint="eastAsia" w:ascii="仿宋" w:hAnsi="仿宋" w:eastAsia="仿宋" w:cs="Times New Roman"/>
          <w:color w:val="000000" w:themeColor="text1"/>
          <w:sz w:val="32"/>
          <w:szCs w:val="32"/>
          <w:highlight w:val="none"/>
          <w:lang w:val="en-US" w:eastAsia="zh-CN"/>
          <w14:textFill>
            <w14:solidFill>
              <w14:schemeClr w14:val="tx1"/>
            </w14:solidFill>
          </w14:textFill>
        </w:rPr>
        <w:t>建设</w:t>
      </w:r>
      <w:r>
        <w:rPr>
          <w:rStyle w:val="16"/>
          <w:rFonts w:hint="eastAsia" w:ascii="仿宋" w:hAnsi="仿宋" w:eastAsia="仿宋" w:cs="Times New Roman"/>
          <w:color w:val="000000" w:themeColor="text1"/>
          <w:sz w:val="32"/>
          <w:szCs w:val="32"/>
          <w:highlight w:val="none"/>
          <w:lang w:eastAsia="zh-CN"/>
          <w14:textFill>
            <w14:solidFill>
              <w14:schemeClr w14:val="tx1"/>
            </w14:solidFill>
          </w14:textFill>
        </w:rPr>
        <w:t>项目环境影响报告表》</w:t>
      </w:r>
      <w:r>
        <w:rPr>
          <w:rStyle w:val="16"/>
          <w:rFonts w:hint="eastAsia" w:ascii="仿宋" w:hAnsi="仿宋" w:eastAsia="仿宋" w:cs="Times New Roman"/>
          <w:color w:val="000000" w:themeColor="text1"/>
          <w:sz w:val="32"/>
          <w:szCs w:val="32"/>
          <w:highlight w:val="none"/>
          <w14:textFill>
            <w14:solidFill>
              <w14:schemeClr w14:val="tx1"/>
            </w14:solidFill>
          </w14:textFill>
        </w:rPr>
        <w:t>（以下简称《报告表》）已收悉</w:t>
      </w:r>
      <w:r>
        <w:rPr>
          <w:rStyle w:val="16"/>
          <w:rFonts w:hint="eastAsia" w:ascii="仿宋" w:hAnsi="仿宋" w:eastAsia="仿宋" w:cs="Times New Roman"/>
          <w:color w:val="000000" w:themeColor="text1"/>
          <w:sz w:val="32"/>
          <w:szCs w:val="32"/>
          <w:highlight w:val="none"/>
          <w:lang w:eastAsia="zh-CN"/>
          <w14:textFill>
            <w14:solidFill>
              <w14:schemeClr w14:val="tx1"/>
            </w14:solidFill>
          </w14:textFill>
        </w:rPr>
        <w:t>。</w:t>
      </w:r>
      <w:r>
        <w:rPr>
          <w:rStyle w:val="16"/>
          <w:rFonts w:hint="eastAsia" w:ascii="仿宋" w:hAnsi="仿宋" w:eastAsia="仿宋" w:cs="Times New Roman"/>
          <w:sz w:val="32"/>
          <w:szCs w:val="32"/>
          <w:lang w:val="en-US" w:eastAsia="zh-CN"/>
        </w:rPr>
        <w:t>经组织专家评审，集体研究</w:t>
      </w:r>
      <w:r>
        <w:rPr>
          <w:rStyle w:val="16"/>
          <w:rFonts w:hint="eastAsia" w:ascii="仿宋" w:hAnsi="仿宋" w:eastAsia="仿宋"/>
          <w:sz w:val="32"/>
          <w:szCs w:val="32"/>
          <w:lang w:val="en-US" w:eastAsia="zh-CN"/>
        </w:rPr>
        <w:t>，形成如下审批意见：</w:t>
      </w:r>
    </w:p>
    <w:p w14:paraId="138D8D44">
      <w:pPr>
        <w:keepNext w:val="0"/>
        <w:keepLines w:val="0"/>
        <w:pageBreakBefore w:val="0"/>
        <w:widowControl/>
        <w:kinsoku/>
        <w:wordWrap w:val="0"/>
        <w:overflowPunct/>
        <w:topLinePunct w:val="0"/>
        <w:autoSpaceDE/>
        <w:autoSpaceDN/>
        <w:bidi w:val="0"/>
        <w:adjustRightInd w:val="0"/>
        <w:snapToGrid w:val="0"/>
        <w:spacing w:line="560" w:lineRule="exact"/>
        <w:ind w:firstLine="640" w:firstLineChars="200"/>
        <w:rPr>
          <w:rStyle w:val="16"/>
          <w:rFonts w:hint="eastAsia" w:ascii="仿宋" w:hAnsi="仿宋" w:eastAsia="仿宋" w:cs="Times New Roman"/>
          <w:color w:val="000000" w:themeColor="text1"/>
          <w:sz w:val="32"/>
          <w:szCs w:val="32"/>
          <w:highlight w:val="none"/>
          <w:lang w:eastAsia="zh-CN"/>
          <w14:textFill>
            <w14:solidFill>
              <w14:schemeClr w14:val="tx1"/>
            </w14:solidFill>
          </w14:textFill>
        </w:rPr>
      </w:pPr>
      <w:r>
        <w:rPr>
          <w:rStyle w:val="16"/>
          <w:rFonts w:hint="eastAsia" w:ascii="仿宋" w:hAnsi="仿宋" w:eastAsia="仿宋" w:cs="Times New Roman"/>
          <w:color w:val="000000" w:themeColor="text1"/>
          <w:sz w:val="32"/>
          <w:szCs w:val="32"/>
          <w:highlight w:val="none"/>
          <w:lang w:val="en-US" w:eastAsia="zh-CN"/>
          <w14:textFill>
            <w14:solidFill>
              <w14:schemeClr w14:val="tx1"/>
            </w14:solidFill>
          </w14:textFill>
        </w:rPr>
        <w:t>一、</w:t>
      </w:r>
      <w:r>
        <w:rPr>
          <w:rStyle w:val="16"/>
          <w:rFonts w:hint="eastAsia" w:ascii="仿宋" w:hAnsi="仿宋" w:eastAsia="仿宋" w:cs="Times New Roman"/>
          <w:color w:val="000000" w:themeColor="text1"/>
          <w:sz w:val="32"/>
          <w:szCs w:val="32"/>
          <w:highlight w:val="none"/>
          <w14:textFill>
            <w14:solidFill>
              <w14:schemeClr w14:val="tx1"/>
            </w14:solidFill>
          </w14:textFill>
        </w:rPr>
        <w:t>该项目属于</w:t>
      </w:r>
      <w:r>
        <w:rPr>
          <w:rStyle w:val="16"/>
          <w:rFonts w:hint="eastAsia" w:ascii="仿宋" w:hAnsi="仿宋" w:eastAsia="仿宋" w:cs="Times New Roman"/>
          <w:color w:val="000000" w:themeColor="text1"/>
          <w:sz w:val="32"/>
          <w:szCs w:val="32"/>
          <w:highlight w:val="none"/>
          <w:lang w:eastAsia="zh-CN"/>
          <w14:textFill>
            <w14:solidFill>
              <w14:schemeClr w14:val="tx1"/>
            </w14:solidFill>
          </w14:textFill>
        </w:rPr>
        <w:t>扩</w:t>
      </w:r>
      <w:r>
        <w:rPr>
          <w:rStyle w:val="16"/>
          <w:rFonts w:hint="eastAsia" w:ascii="仿宋" w:hAnsi="仿宋" w:eastAsia="仿宋" w:cs="Times New Roman"/>
          <w:color w:val="000000" w:themeColor="text1"/>
          <w:sz w:val="32"/>
          <w:szCs w:val="32"/>
          <w:highlight w:val="none"/>
          <w14:textFill>
            <w14:solidFill>
              <w14:schemeClr w14:val="tx1"/>
            </w14:solidFill>
          </w14:textFill>
        </w:rPr>
        <w:t>建项目，位</w:t>
      </w:r>
      <w:r>
        <w:rPr>
          <w:rStyle w:val="16"/>
          <w:rFonts w:hint="eastAsia" w:ascii="仿宋" w:hAnsi="仿宋" w:eastAsia="仿宋" w:cs="Times New Roman"/>
          <w:color w:val="000000" w:themeColor="text1"/>
          <w:sz w:val="32"/>
          <w:szCs w:val="32"/>
          <w:highlight w:val="none"/>
          <w:lang w:eastAsia="zh-CN"/>
          <w14:textFill>
            <w14:solidFill>
              <w14:schemeClr w14:val="tx1"/>
            </w14:solidFill>
          </w14:textFill>
        </w:rPr>
        <w:t>于东胜区铜川镇万利一矿井田</w:t>
      </w:r>
      <w:r>
        <w:rPr>
          <w:rStyle w:val="16"/>
          <w:rFonts w:hint="eastAsia" w:ascii="仿宋" w:hAnsi="仿宋" w:eastAsia="仿宋" w:cs="Times New Roman"/>
          <w:color w:val="000000" w:themeColor="text1"/>
          <w:sz w:val="32"/>
          <w:szCs w:val="32"/>
          <w:highlight w:val="none"/>
          <w:lang w:val="en-US" w:eastAsia="zh-CN"/>
          <w14:textFill>
            <w14:solidFill>
              <w14:schemeClr w14:val="tx1"/>
            </w14:solidFill>
          </w14:textFill>
        </w:rPr>
        <w:t>内。项目总</w:t>
      </w:r>
      <w:r>
        <w:rPr>
          <w:rStyle w:val="16"/>
          <w:rFonts w:hint="eastAsia" w:ascii="仿宋" w:hAnsi="仿宋" w:eastAsia="仿宋" w:cs="Times New Roman"/>
          <w:color w:val="000000" w:themeColor="text1"/>
          <w:sz w:val="32"/>
          <w:szCs w:val="32"/>
          <w:highlight w:val="none"/>
          <w:lang w:eastAsia="zh-CN"/>
          <w14:textFill>
            <w14:solidFill>
              <w14:schemeClr w14:val="tx1"/>
            </w14:solidFill>
          </w14:textFill>
        </w:rPr>
        <w:t>占地面</w:t>
      </w:r>
      <w:r>
        <w:rPr>
          <w:rStyle w:val="16"/>
          <w:rFonts w:hint="eastAsia" w:ascii="仿宋" w:hAnsi="仿宋" w:eastAsia="仿宋" w:cs="Times New Roman"/>
          <w:color w:val="000000" w:themeColor="text1"/>
          <w:sz w:val="32"/>
          <w:szCs w:val="32"/>
          <w:highlight w:val="none"/>
          <w:lang w:val="en-US" w:eastAsia="zh-CN"/>
          <w14:textFill>
            <w14:solidFill>
              <w14:schemeClr w14:val="tx1"/>
            </w14:solidFill>
          </w14:textFill>
        </w:rPr>
        <w:t>积17355平方</w:t>
      </w:r>
      <w:r>
        <w:rPr>
          <w:rStyle w:val="16"/>
          <w:rFonts w:hint="eastAsia" w:ascii="仿宋" w:hAnsi="仿宋" w:eastAsia="仿宋" w:cs="Times New Roman"/>
          <w:color w:val="000000" w:themeColor="text1"/>
          <w:sz w:val="32"/>
          <w:szCs w:val="32"/>
          <w:highlight w:val="none"/>
          <w:lang w:eastAsia="zh-CN"/>
          <w14:textFill>
            <w14:solidFill>
              <w14:schemeClr w14:val="tx1"/>
            </w14:solidFill>
          </w14:textFill>
        </w:rPr>
        <w:t>米，</w:t>
      </w:r>
      <w:r>
        <w:rPr>
          <w:rStyle w:val="16"/>
          <w:rFonts w:hint="default" w:ascii="仿宋" w:hAnsi="仿宋" w:eastAsia="仿宋" w:cs="Times New Roman"/>
          <w:color w:val="000000" w:themeColor="text1"/>
          <w:sz w:val="32"/>
          <w:szCs w:val="32"/>
          <w:highlight w:val="none"/>
          <w14:textFill>
            <w14:solidFill>
              <w14:schemeClr w14:val="tx1"/>
            </w14:solidFill>
          </w14:textFill>
        </w:rPr>
        <w:t>总投</w:t>
      </w:r>
      <w:r>
        <w:rPr>
          <w:rStyle w:val="16"/>
          <w:rFonts w:hint="default" w:ascii="仿宋" w:hAnsi="仿宋" w:eastAsia="仿宋" w:cs="Times New Roman"/>
          <w:color w:val="000000" w:themeColor="text1"/>
          <w:sz w:val="32"/>
          <w:szCs w:val="32"/>
          <w:highlight w:val="none"/>
          <w:lang w:val="en-US" w:eastAsia="zh-CN"/>
          <w14:textFill>
            <w14:solidFill>
              <w14:schemeClr w14:val="tx1"/>
            </w14:solidFill>
          </w14:textFill>
        </w:rPr>
        <w:t>资</w:t>
      </w:r>
      <w:r>
        <w:rPr>
          <w:rStyle w:val="16"/>
          <w:rFonts w:hint="eastAsia" w:ascii="仿宋" w:hAnsi="仿宋" w:eastAsia="仿宋" w:cs="Times New Roman"/>
          <w:color w:val="000000" w:themeColor="text1"/>
          <w:sz w:val="32"/>
          <w:szCs w:val="32"/>
          <w:highlight w:val="none"/>
          <w:lang w:val="en-US" w:eastAsia="zh-CN"/>
          <w14:textFill>
            <w14:solidFill>
              <w14:schemeClr w14:val="tx1"/>
            </w14:solidFill>
          </w14:textFill>
        </w:rPr>
        <w:t>9922.22万</w:t>
      </w:r>
      <w:r>
        <w:rPr>
          <w:rStyle w:val="16"/>
          <w:rFonts w:hint="default" w:ascii="仿宋" w:hAnsi="仿宋" w:eastAsia="仿宋" w:cs="Times New Roman"/>
          <w:color w:val="000000" w:themeColor="text1"/>
          <w:sz w:val="32"/>
          <w:szCs w:val="32"/>
          <w:highlight w:val="none"/>
          <w:lang w:eastAsia="zh-CN"/>
          <w14:textFill>
            <w14:solidFill>
              <w14:schemeClr w14:val="tx1"/>
            </w14:solidFill>
          </w14:textFill>
        </w:rPr>
        <w:t>元</w:t>
      </w:r>
      <w:r>
        <w:rPr>
          <w:rStyle w:val="16"/>
          <w:rFonts w:hint="default" w:ascii="仿宋" w:hAnsi="仿宋" w:eastAsia="仿宋" w:cs="Times New Roman"/>
          <w:color w:val="000000" w:themeColor="text1"/>
          <w:sz w:val="32"/>
          <w:szCs w:val="32"/>
          <w:highlight w:val="none"/>
          <w14:textFill>
            <w14:solidFill>
              <w14:schemeClr w14:val="tx1"/>
            </w14:solidFill>
          </w14:textFill>
        </w:rPr>
        <w:t>，</w:t>
      </w:r>
      <w:r>
        <w:rPr>
          <w:rStyle w:val="16"/>
          <w:rFonts w:hint="eastAsia" w:ascii="仿宋" w:hAnsi="仿宋" w:eastAsia="仿宋" w:cs="Times New Roman"/>
          <w:color w:val="000000" w:themeColor="text1"/>
          <w:sz w:val="32"/>
          <w:szCs w:val="32"/>
          <w:highlight w:val="none"/>
          <w:lang w:eastAsia="zh-CN"/>
          <w14:textFill>
            <w14:solidFill>
              <w14:schemeClr w14:val="tx1"/>
            </w14:solidFill>
          </w14:textFill>
        </w:rPr>
        <w:t>其中</w:t>
      </w:r>
      <w:r>
        <w:rPr>
          <w:rStyle w:val="16"/>
          <w:rFonts w:hint="default" w:ascii="仿宋" w:hAnsi="仿宋" w:eastAsia="仿宋" w:cs="Times New Roman"/>
          <w:color w:val="000000" w:themeColor="text1"/>
          <w:sz w:val="32"/>
          <w:szCs w:val="32"/>
          <w:highlight w:val="none"/>
          <w14:textFill>
            <w14:solidFill>
              <w14:schemeClr w14:val="tx1"/>
            </w14:solidFill>
          </w14:textFill>
        </w:rPr>
        <w:t>环保</w:t>
      </w:r>
      <w:r>
        <w:rPr>
          <w:rStyle w:val="16"/>
          <w:rFonts w:hint="default" w:ascii="仿宋" w:hAnsi="仿宋" w:eastAsia="仿宋" w:cs="Times New Roman"/>
          <w:color w:val="000000" w:themeColor="text1"/>
          <w:sz w:val="32"/>
          <w:szCs w:val="32"/>
          <w:highlight w:val="none"/>
          <w:lang w:eastAsia="zh-CN"/>
          <w14:textFill>
            <w14:solidFill>
              <w14:schemeClr w14:val="tx1"/>
            </w14:solidFill>
          </w14:textFill>
        </w:rPr>
        <w:t>投资</w:t>
      </w:r>
      <w:r>
        <w:rPr>
          <w:rStyle w:val="16"/>
          <w:rFonts w:hint="eastAsia" w:ascii="仿宋" w:hAnsi="仿宋" w:eastAsia="仿宋" w:cs="Times New Roman"/>
          <w:color w:val="000000" w:themeColor="text1"/>
          <w:sz w:val="32"/>
          <w:szCs w:val="32"/>
          <w:highlight w:val="none"/>
          <w:lang w:val="en-US" w:eastAsia="zh-CN"/>
          <w14:textFill>
            <w14:solidFill>
              <w14:schemeClr w14:val="tx1"/>
            </w14:solidFill>
          </w14:textFill>
        </w:rPr>
        <w:t>107万元</w:t>
      </w:r>
      <w:r>
        <w:rPr>
          <w:rStyle w:val="16"/>
          <w:rFonts w:hint="eastAsia" w:ascii="仿宋" w:hAnsi="仿宋" w:eastAsia="仿宋" w:cs="Times New Roman"/>
          <w:color w:val="000000" w:themeColor="text1"/>
          <w:sz w:val="32"/>
          <w:szCs w:val="32"/>
          <w:highlight w:val="none"/>
          <w:lang w:eastAsia="zh-CN"/>
          <w14:textFill>
            <w14:solidFill>
              <w14:schemeClr w14:val="tx1"/>
            </w14:solidFill>
          </w14:textFill>
        </w:rPr>
        <w:t>。主要建设内容及规模：</w:t>
      </w:r>
      <w:r>
        <w:rPr>
          <w:rStyle w:val="16"/>
          <w:rFonts w:hint="eastAsia" w:ascii="仿宋" w:hAnsi="仿宋" w:eastAsia="仿宋" w:cs="Times New Roman"/>
          <w:sz w:val="32"/>
          <w:szCs w:val="32"/>
        </w:rPr>
        <w:t>新建</w:t>
      </w:r>
      <w:r>
        <w:rPr>
          <w:rStyle w:val="16"/>
          <w:rFonts w:hint="eastAsia" w:ascii="仿宋" w:hAnsi="仿宋" w:eastAsia="仿宋" w:cs="Times New Roman"/>
          <w:sz w:val="32"/>
          <w:szCs w:val="32"/>
          <w:lang w:val="en-US" w:eastAsia="zh-CN"/>
        </w:rPr>
        <w:t>1座</w:t>
      </w:r>
      <w:r>
        <w:rPr>
          <w:rStyle w:val="16"/>
          <w:rFonts w:hint="eastAsia" w:ascii="仿宋" w:hAnsi="仿宋" w:eastAsia="仿宋" w:cs="Times New Roman"/>
          <w:color w:val="000000" w:themeColor="text1"/>
          <w:sz w:val="32"/>
          <w:szCs w:val="32"/>
          <w:highlight w:val="none"/>
          <w:lang w:eastAsia="zh-CN"/>
          <w14:textFill>
            <w14:solidFill>
              <w14:schemeClr w14:val="tx1"/>
            </w14:solidFill>
          </w14:textFill>
        </w:rPr>
        <w:t>中部回风立井</w:t>
      </w:r>
      <w:r>
        <w:rPr>
          <w:rStyle w:val="16"/>
          <w:rFonts w:hint="eastAsia" w:ascii="仿宋" w:hAnsi="仿宋" w:eastAsia="仿宋" w:cs="Times New Roman"/>
          <w:color w:val="000000" w:themeColor="text1"/>
          <w:sz w:val="32"/>
          <w:szCs w:val="32"/>
          <w:highlight w:val="none"/>
          <w:lang w:val="en-US" w:eastAsia="zh-CN"/>
          <w14:textFill>
            <w14:solidFill>
              <w14:schemeClr w14:val="tx1"/>
            </w14:solidFill>
          </w14:textFill>
        </w:rPr>
        <w:t>,</w:t>
      </w:r>
      <w:r>
        <w:rPr>
          <w:rStyle w:val="16"/>
          <w:rFonts w:hint="eastAsia" w:ascii="仿宋" w:hAnsi="仿宋" w:eastAsia="仿宋" w:cs="Times New Roman"/>
          <w:color w:val="000000" w:themeColor="text1"/>
          <w:sz w:val="32"/>
          <w:szCs w:val="32"/>
          <w:highlight w:val="none"/>
          <w:lang w:eastAsia="zh-CN"/>
          <w14:textFill>
            <w14:solidFill>
              <w14:schemeClr w14:val="tx1"/>
            </w14:solidFill>
          </w14:textFill>
        </w:rPr>
        <w:t>井筒净直径</w:t>
      </w:r>
      <w:r>
        <w:rPr>
          <w:rStyle w:val="16"/>
          <w:rFonts w:hint="eastAsia" w:ascii="仿宋" w:hAnsi="仿宋" w:eastAsia="仿宋" w:cs="Times New Roman"/>
          <w:color w:val="000000" w:themeColor="text1"/>
          <w:sz w:val="32"/>
          <w:szCs w:val="32"/>
          <w:highlight w:val="none"/>
          <w14:textFill>
            <w14:solidFill>
              <w14:schemeClr w14:val="tx1"/>
            </w14:solidFill>
          </w14:textFill>
        </w:rPr>
        <w:t>6.5</w:t>
      </w:r>
      <w:r>
        <w:rPr>
          <w:rStyle w:val="16"/>
          <w:rFonts w:hint="eastAsia" w:ascii="仿宋" w:hAnsi="仿宋" w:eastAsia="仿宋" w:cs="Times New Roman"/>
          <w:color w:val="000000" w:themeColor="text1"/>
          <w:sz w:val="32"/>
          <w:szCs w:val="32"/>
          <w:highlight w:val="none"/>
          <w:lang w:val="en-US" w:eastAsia="zh-CN"/>
          <w14:textFill>
            <w14:solidFill>
              <w14:schemeClr w14:val="tx1"/>
            </w14:solidFill>
          </w14:textFill>
        </w:rPr>
        <w:t>米</w:t>
      </w:r>
      <w:r>
        <w:rPr>
          <w:rStyle w:val="16"/>
          <w:rFonts w:hint="eastAsia" w:ascii="仿宋" w:hAnsi="仿宋" w:eastAsia="仿宋" w:cs="Times New Roman"/>
          <w:color w:val="000000" w:themeColor="text1"/>
          <w:sz w:val="32"/>
          <w:szCs w:val="32"/>
          <w:highlight w:val="none"/>
          <w:lang w:eastAsia="zh-CN"/>
          <w14:textFill>
            <w14:solidFill>
              <w14:schemeClr w14:val="tx1"/>
            </w14:solidFill>
          </w14:textFill>
        </w:rPr>
        <w:t>，净断面16.59</w:t>
      </w:r>
      <w:r>
        <w:rPr>
          <w:rStyle w:val="16"/>
          <w:rFonts w:hint="eastAsia" w:ascii="仿宋" w:hAnsi="仿宋" w:eastAsia="仿宋" w:cs="Times New Roman"/>
          <w:color w:val="000000" w:themeColor="text1"/>
          <w:sz w:val="32"/>
          <w:szCs w:val="32"/>
          <w:highlight w:val="none"/>
          <w:lang w:val="en-US" w:eastAsia="zh-CN"/>
          <w14:textFill>
            <w14:solidFill>
              <w14:schemeClr w14:val="tx1"/>
            </w14:solidFill>
          </w14:textFill>
        </w:rPr>
        <w:t>平方</w:t>
      </w:r>
      <w:r>
        <w:rPr>
          <w:rStyle w:val="16"/>
          <w:rFonts w:hint="eastAsia" w:ascii="仿宋" w:hAnsi="仿宋" w:eastAsia="仿宋" w:cs="Times New Roman"/>
          <w:color w:val="000000" w:themeColor="text1"/>
          <w:sz w:val="32"/>
          <w:szCs w:val="32"/>
          <w:highlight w:val="none"/>
          <w:lang w:eastAsia="zh-CN"/>
          <w14:textFill>
            <w14:solidFill>
              <w14:schemeClr w14:val="tx1"/>
            </w14:solidFill>
          </w14:textFill>
        </w:rPr>
        <w:t>米，井筒深度2</w:t>
      </w:r>
      <w:r>
        <w:rPr>
          <w:rStyle w:val="16"/>
          <w:rFonts w:hint="eastAsia" w:ascii="仿宋" w:hAnsi="仿宋" w:eastAsia="仿宋" w:cs="Times New Roman"/>
          <w:color w:val="000000" w:themeColor="text1"/>
          <w:sz w:val="32"/>
          <w:szCs w:val="32"/>
          <w:highlight w:val="none"/>
          <w:lang w:val="en-US" w:eastAsia="zh-CN"/>
          <w14:textFill>
            <w14:solidFill>
              <w14:schemeClr w14:val="tx1"/>
            </w14:solidFill>
          </w14:textFill>
        </w:rPr>
        <w:t>45米</w:t>
      </w:r>
      <w:r>
        <w:rPr>
          <w:rStyle w:val="16"/>
          <w:rFonts w:hint="eastAsia" w:ascii="仿宋" w:hAnsi="仿宋" w:eastAsia="仿宋" w:cs="Times New Roman"/>
          <w:color w:val="000000" w:themeColor="text1"/>
          <w:sz w:val="32"/>
          <w:szCs w:val="32"/>
          <w:highlight w:val="none"/>
          <w:lang w:eastAsia="zh-CN"/>
          <w14:textFill>
            <w14:solidFill>
              <w14:schemeClr w14:val="tx1"/>
            </w14:solidFill>
          </w14:textFill>
        </w:rPr>
        <w:t>，</w:t>
      </w:r>
      <w:r>
        <w:rPr>
          <w:rStyle w:val="16"/>
          <w:rFonts w:hint="eastAsia" w:ascii="仿宋" w:hAnsi="仿宋" w:eastAsia="仿宋" w:cs="Times New Roman"/>
          <w:color w:val="000000" w:themeColor="text1"/>
          <w:sz w:val="32"/>
          <w:szCs w:val="32"/>
          <w:highlight w:val="none"/>
          <w:lang w:val="en-US" w:eastAsia="zh-CN"/>
          <w14:textFill>
            <w14:solidFill>
              <w14:schemeClr w14:val="tx1"/>
            </w14:solidFill>
          </w14:textFill>
        </w:rPr>
        <w:t>建成后用于矿井回风兼做安全出口，</w:t>
      </w:r>
      <w:r>
        <w:rPr>
          <w:rStyle w:val="16"/>
          <w:rFonts w:hint="eastAsia" w:ascii="仿宋" w:hAnsi="仿宋" w:eastAsia="仿宋" w:cs="Times New Roman"/>
          <w:color w:val="000000" w:themeColor="text1"/>
          <w:sz w:val="32"/>
          <w:szCs w:val="32"/>
          <w:highlight w:val="none"/>
          <w:lang w:eastAsia="zh-CN"/>
          <w14:textFill>
            <w14:solidFill>
              <w14:schemeClr w14:val="tx1"/>
            </w14:solidFill>
          </w14:textFill>
        </w:rPr>
        <w:t>配套建设</w:t>
      </w:r>
      <w:r>
        <w:rPr>
          <w:rStyle w:val="16"/>
          <w:rFonts w:hint="eastAsia" w:ascii="仿宋" w:hAnsi="仿宋" w:eastAsia="仿宋" w:cs="Times New Roman"/>
          <w:color w:val="000000" w:themeColor="text1"/>
          <w:sz w:val="32"/>
          <w:szCs w:val="32"/>
          <w:highlight w:val="none"/>
          <w14:textFill>
            <w14:solidFill>
              <w14:schemeClr w14:val="tx1"/>
            </w14:solidFill>
          </w14:textFill>
        </w:rPr>
        <w:t>公辅工程、储运工程</w:t>
      </w:r>
      <w:r>
        <w:rPr>
          <w:rStyle w:val="16"/>
          <w:rFonts w:hint="eastAsia" w:ascii="仿宋" w:hAnsi="仿宋" w:eastAsia="仿宋" w:cs="Times New Roman"/>
          <w:color w:val="000000" w:themeColor="text1"/>
          <w:sz w:val="32"/>
          <w:szCs w:val="32"/>
          <w:highlight w:val="none"/>
          <w:lang w:val="en-US" w:eastAsia="zh-CN"/>
          <w14:textFill>
            <w14:solidFill>
              <w14:schemeClr w14:val="tx1"/>
            </w14:solidFill>
          </w14:textFill>
        </w:rPr>
        <w:t>和</w:t>
      </w:r>
      <w:r>
        <w:rPr>
          <w:rStyle w:val="16"/>
          <w:rFonts w:hint="eastAsia" w:ascii="仿宋" w:hAnsi="仿宋" w:eastAsia="仿宋" w:cs="Times New Roman"/>
          <w:color w:val="000000" w:themeColor="text1"/>
          <w:sz w:val="32"/>
          <w:szCs w:val="32"/>
          <w:highlight w:val="none"/>
          <w14:textFill>
            <w14:solidFill>
              <w14:schemeClr w14:val="tx1"/>
            </w14:solidFill>
          </w14:textFill>
        </w:rPr>
        <w:t>环保工程</w:t>
      </w:r>
      <w:r>
        <w:rPr>
          <w:rStyle w:val="16"/>
          <w:rFonts w:hint="eastAsia" w:ascii="仿宋" w:hAnsi="仿宋" w:eastAsia="仿宋" w:cs="Times New Roman"/>
          <w:color w:val="000000" w:themeColor="text1"/>
          <w:sz w:val="32"/>
          <w:szCs w:val="32"/>
          <w:highlight w:val="none"/>
          <w:lang w:eastAsia="zh-CN"/>
          <w14:textFill>
            <w14:solidFill>
              <w14:schemeClr w14:val="tx1"/>
            </w14:solidFill>
          </w14:textFill>
        </w:rPr>
        <w:t>。</w:t>
      </w:r>
    </w:p>
    <w:p w14:paraId="560366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sz w:val="32"/>
          <w:szCs w:val="32"/>
        </w:rPr>
      </w:pPr>
      <w:r>
        <w:rPr>
          <w:rStyle w:val="16"/>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04AC3FC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default" w:ascii="仿宋" w:hAnsi="仿宋" w:eastAsia="仿宋"/>
          <w:color w:val="auto"/>
          <w:sz w:val="32"/>
          <w:szCs w:val="32"/>
          <w:lang w:val="en-US"/>
        </w:rPr>
      </w:pPr>
      <w:r>
        <w:rPr>
          <w:rStyle w:val="16"/>
          <w:rFonts w:hint="eastAsia" w:ascii="仿宋" w:hAnsi="仿宋" w:eastAsia="仿宋"/>
          <w:sz w:val="32"/>
          <w:szCs w:val="32"/>
          <w:lang w:val="en-US" w:eastAsia="zh-CN"/>
        </w:rPr>
        <w:t>二、在项目工程设计、建设和环境管理中，你单位必须严格落实</w:t>
      </w:r>
      <w:r>
        <w:rPr>
          <w:rStyle w:val="16"/>
          <w:rFonts w:hint="eastAsia" w:ascii="仿宋" w:hAnsi="仿宋" w:eastAsia="仿宋"/>
          <w:sz w:val="32"/>
          <w:szCs w:val="32"/>
        </w:rPr>
        <w:t>《报告表》</w:t>
      </w:r>
      <w:r>
        <w:rPr>
          <w:rStyle w:val="16"/>
          <w:rFonts w:hint="eastAsia" w:ascii="仿宋" w:hAnsi="仿宋" w:eastAsia="仿宋"/>
          <w:sz w:val="32"/>
          <w:szCs w:val="32"/>
          <w:lang w:val="en-US" w:eastAsia="zh-CN"/>
        </w:rPr>
        <w:t>中提出的各项环保措施和要求，确保各项污染物稳定达标排放，并须着重做好以下工作：</w:t>
      </w:r>
    </w:p>
    <w:p w14:paraId="3B05EF51">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（一）严格落实施工期污染防治措施</w:t>
      </w:r>
    </w:p>
    <w:p w14:paraId="319216C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cs="Times New Roman"/>
          <w:sz w:val="32"/>
          <w:szCs w:val="32"/>
        </w:rPr>
      </w:pPr>
      <w:r>
        <w:rPr>
          <w:rStyle w:val="16"/>
          <w:rFonts w:hint="eastAsia" w:ascii="仿宋" w:hAnsi="仿宋" w:eastAsia="仿宋" w:cs="Times New Roman"/>
          <w:sz w:val="32"/>
          <w:szCs w:val="32"/>
          <w:lang w:val="en-US" w:eastAsia="zh-CN"/>
        </w:rPr>
        <w:t>1、</w:t>
      </w:r>
      <w:r>
        <w:rPr>
          <w:rStyle w:val="16"/>
          <w:rFonts w:hint="eastAsia" w:ascii="仿宋" w:hAnsi="仿宋" w:eastAsia="仿宋" w:cs="Times New Roman"/>
          <w:sz w:val="32"/>
          <w:szCs w:val="32"/>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14:paraId="141F2410">
      <w:pPr>
        <w:keepNext w:val="0"/>
        <w:keepLines w:val="0"/>
        <w:pageBreakBefore w:val="0"/>
        <w:kinsoku/>
        <w:overflowPunct/>
        <w:topLinePunct w:val="0"/>
        <w:autoSpaceDE/>
        <w:autoSpaceDN/>
        <w:bidi w:val="0"/>
        <w:spacing w:line="560" w:lineRule="exact"/>
        <w:ind w:firstLine="640" w:firstLineChars="200"/>
        <w:jc w:val="both"/>
        <w:rPr>
          <w:rStyle w:val="16"/>
          <w:rFonts w:hint="eastAsia" w:ascii="仿宋" w:hAnsi="仿宋" w:eastAsia="仿宋" w:cs="Times New Roman"/>
          <w:sz w:val="32"/>
          <w:szCs w:val="32"/>
        </w:rPr>
      </w:pPr>
      <w:r>
        <w:rPr>
          <w:rStyle w:val="16"/>
          <w:rFonts w:hint="eastAsia" w:ascii="仿宋" w:hAnsi="仿宋" w:eastAsia="仿宋" w:cs="Times New Roman"/>
          <w:sz w:val="32"/>
          <w:szCs w:val="32"/>
          <w:lang w:val="en-US" w:eastAsia="zh-CN"/>
        </w:rPr>
        <w:t>2、施工人员生活污水</w:t>
      </w:r>
      <w:r>
        <w:rPr>
          <w:rStyle w:val="16"/>
          <w:rFonts w:hint="eastAsia" w:ascii="仿宋" w:hAnsi="仿宋" w:eastAsia="仿宋" w:cs="Times New Roman"/>
          <w:sz w:val="32"/>
          <w:szCs w:val="32"/>
        </w:rPr>
        <w:t>采用临时化粪池收集处理，</w:t>
      </w:r>
      <w:r>
        <w:rPr>
          <w:rStyle w:val="16"/>
          <w:rFonts w:hint="eastAsia" w:ascii="仿宋" w:hAnsi="仿宋" w:eastAsia="仿宋" w:cs="Times New Roman"/>
          <w:sz w:val="32"/>
          <w:szCs w:val="32"/>
          <w:lang w:val="en-US" w:eastAsia="zh-CN"/>
        </w:rPr>
        <w:t>定期清掏，</w:t>
      </w:r>
      <w:r>
        <w:rPr>
          <w:rStyle w:val="16"/>
          <w:rFonts w:hint="default" w:ascii="仿宋" w:hAnsi="仿宋" w:eastAsia="仿宋" w:cs="Times New Roman"/>
          <w:sz w:val="32"/>
          <w:szCs w:val="32"/>
          <w:lang w:val="en-US" w:eastAsia="zh-CN"/>
        </w:rPr>
        <w:t>用</w:t>
      </w:r>
      <w:r>
        <w:rPr>
          <w:rStyle w:val="16"/>
          <w:rFonts w:hint="eastAsia" w:ascii="仿宋" w:hAnsi="仿宋" w:eastAsia="仿宋" w:cs="Times New Roman"/>
          <w:sz w:val="32"/>
          <w:szCs w:val="32"/>
          <w:lang w:val="en-US" w:eastAsia="zh-CN"/>
        </w:rPr>
        <w:t>罐</w:t>
      </w:r>
      <w:r>
        <w:rPr>
          <w:rStyle w:val="16"/>
          <w:rFonts w:hint="default" w:ascii="仿宋" w:hAnsi="仿宋" w:eastAsia="仿宋" w:cs="Times New Roman"/>
          <w:sz w:val="32"/>
          <w:szCs w:val="32"/>
          <w:lang w:val="en-US" w:eastAsia="zh-CN"/>
        </w:rPr>
        <w:t>装汽车运至</w:t>
      </w:r>
      <w:r>
        <w:rPr>
          <w:rStyle w:val="16"/>
          <w:rFonts w:hint="eastAsia" w:ascii="仿宋" w:hAnsi="仿宋" w:eastAsia="仿宋" w:cs="Times New Roman"/>
          <w:sz w:val="32"/>
          <w:szCs w:val="32"/>
          <w:lang w:val="zh-CN" w:eastAsia="zh-CN"/>
        </w:rPr>
        <w:t>万利一矿</w:t>
      </w:r>
      <w:r>
        <w:rPr>
          <w:rStyle w:val="16"/>
          <w:rFonts w:hint="eastAsia" w:ascii="仿宋" w:hAnsi="仿宋" w:eastAsia="仿宋" w:cs="Times New Roman"/>
          <w:sz w:val="32"/>
          <w:szCs w:val="32"/>
          <w:lang w:val="en-US" w:eastAsia="zh-CN"/>
        </w:rPr>
        <w:t>生活</w:t>
      </w:r>
      <w:r>
        <w:rPr>
          <w:rStyle w:val="16"/>
          <w:rFonts w:hint="default" w:ascii="仿宋" w:hAnsi="仿宋" w:eastAsia="仿宋" w:cs="Times New Roman"/>
          <w:sz w:val="32"/>
          <w:szCs w:val="32"/>
          <w:lang w:val="en-US" w:eastAsia="zh-CN"/>
        </w:rPr>
        <w:t>污水处理</w:t>
      </w:r>
      <w:r>
        <w:rPr>
          <w:rStyle w:val="16"/>
          <w:rFonts w:hint="eastAsia" w:ascii="仿宋" w:hAnsi="仿宋" w:eastAsia="仿宋" w:cs="Times New Roman"/>
          <w:sz w:val="32"/>
          <w:szCs w:val="32"/>
          <w:lang w:val="en-US" w:eastAsia="zh-CN"/>
        </w:rPr>
        <w:t>站</w:t>
      </w:r>
      <w:r>
        <w:rPr>
          <w:rStyle w:val="16"/>
          <w:rFonts w:hint="default" w:ascii="仿宋" w:hAnsi="仿宋" w:eastAsia="仿宋" w:cs="Times New Roman"/>
          <w:sz w:val="32"/>
          <w:szCs w:val="32"/>
          <w:lang w:val="en-US" w:eastAsia="zh-CN"/>
        </w:rPr>
        <w:t>处理</w:t>
      </w:r>
      <w:r>
        <w:rPr>
          <w:rStyle w:val="16"/>
          <w:rFonts w:hint="eastAsia" w:ascii="仿宋" w:hAnsi="仿宋" w:eastAsia="仿宋" w:cs="Times New Roman"/>
          <w:sz w:val="32"/>
          <w:szCs w:val="32"/>
          <w:lang w:val="en-US" w:eastAsia="zh-CN"/>
        </w:rPr>
        <w:t>，</w:t>
      </w:r>
      <w:r>
        <w:rPr>
          <w:rStyle w:val="16"/>
          <w:rFonts w:hint="eastAsia" w:ascii="仿宋" w:hAnsi="仿宋" w:eastAsia="仿宋" w:cs="Times New Roman"/>
          <w:sz w:val="32"/>
          <w:szCs w:val="32"/>
        </w:rPr>
        <w:t>不外排</w:t>
      </w:r>
      <w:r>
        <w:rPr>
          <w:rStyle w:val="16"/>
          <w:rFonts w:hint="eastAsia" w:ascii="仿宋" w:hAnsi="仿宋" w:eastAsia="仿宋" w:cs="Times New Roman"/>
          <w:sz w:val="32"/>
          <w:szCs w:val="32"/>
          <w:lang w:eastAsia="zh-CN"/>
        </w:rPr>
        <w:t>；</w:t>
      </w:r>
      <w:r>
        <w:rPr>
          <w:rStyle w:val="16"/>
          <w:rFonts w:hint="eastAsia" w:ascii="仿宋" w:hAnsi="仿宋" w:eastAsia="仿宋" w:cs="Times New Roman"/>
          <w:sz w:val="32"/>
          <w:szCs w:val="32"/>
          <w:lang w:val="en-US" w:eastAsia="zh-CN"/>
        </w:rPr>
        <w:t>施工涌水用罐车拉运至矿井水处理站处理，不外排</w:t>
      </w:r>
      <w:r>
        <w:rPr>
          <w:rStyle w:val="16"/>
          <w:rFonts w:hint="eastAsia" w:ascii="仿宋" w:hAnsi="仿宋" w:eastAsia="仿宋" w:cs="Times New Roman"/>
          <w:sz w:val="32"/>
          <w:szCs w:val="32"/>
        </w:rPr>
        <w:t>。</w:t>
      </w:r>
    </w:p>
    <w:p w14:paraId="26248D9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3、选用低噪声施工设备，合理安排作业时间，避免夜间施工，控制车辆时速。施工期噪声执行《建筑施工场界环境噪声排放标准》（GB12523-2011）。</w:t>
      </w:r>
    </w:p>
    <w:p w14:paraId="2422CF05">
      <w:pPr>
        <w:keepNext w:val="0"/>
        <w:keepLines w:val="0"/>
        <w:pageBreakBefore w:val="0"/>
        <w:numPr>
          <w:ilvl w:val="0"/>
          <w:numId w:val="0"/>
        </w:numPr>
        <w:kinsoku/>
        <w:overflowPunct/>
        <w:topLinePunct w:val="0"/>
        <w:autoSpaceDE/>
        <w:autoSpaceDN/>
        <w:bidi w:val="0"/>
        <w:spacing w:line="560" w:lineRule="exact"/>
        <w:ind w:firstLine="640" w:firstLineChars="200"/>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4、生活垃圾集中收集在垃圾箱，定期交由环卫部门统一处置。</w:t>
      </w:r>
    </w:p>
    <w:p w14:paraId="073BDFC4">
      <w:pPr>
        <w:keepNext w:val="0"/>
        <w:keepLines w:val="0"/>
        <w:pageBreakBefore w:val="0"/>
        <w:numPr>
          <w:ilvl w:val="0"/>
          <w:numId w:val="0"/>
        </w:numPr>
        <w:kinsoku/>
        <w:overflowPunct/>
        <w:topLinePunct w:val="0"/>
        <w:autoSpaceDE/>
        <w:autoSpaceDN/>
        <w:bidi w:val="0"/>
        <w:spacing w:line="560" w:lineRule="exact"/>
        <w:ind w:firstLine="640" w:firstLineChars="200"/>
        <w:rPr>
          <w:rFonts w:hint="eastAsia"/>
        </w:rPr>
      </w:pPr>
      <w:r>
        <w:rPr>
          <w:rStyle w:val="16"/>
          <w:rFonts w:hint="eastAsia" w:ascii="仿宋" w:hAnsi="仿宋" w:eastAsia="仿宋" w:cs="Times New Roman"/>
          <w:sz w:val="32"/>
          <w:szCs w:val="32"/>
          <w:lang w:val="en-US" w:eastAsia="zh-CN"/>
        </w:rPr>
        <w:t>5、</w:t>
      </w:r>
      <w:r>
        <w:rPr>
          <w:rStyle w:val="16"/>
          <w:rFonts w:hint="default" w:ascii="仿宋" w:hAnsi="仿宋" w:eastAsia="仿宋" w:cs="Times New Roman"/>
          <w:sz w:val="32"/>
          <w:szCs w:val="32"/>
        </w:rPr>
        <w:t>土石</w:t>
      </w:r>
      <w:r>
        <w:rPr>
          <w:rStyle w:val="16"/>
          <w:rFonts w:hint="default" w:ascii="仿宋" w:hAnsi="仿宋" w:eastAsia="仿宋" w:cs="Times New Roman"/>
          <w:sz w:val="32"/>
          <w:szCs w:val="32"/>
          <w:lang w:val="en-US" w:eastAsia="zh-CN"/>
        </w:rPr>
        <w:t>方开挖过程中应严格按照设计要求施工，尽可能缩小施工活动范围，减少裸露土地面积和扬尘</w:t>
      </w:r>
      <w:r>
        <w:rPr>
          <w:rStyle w:val="16"/>
          <w:rFonts w:hint="eastAsia" w:ascii="仿宋" w:hAnsi="仿宋" w:eastAsia="仿宋" w:cs="Times New Roman"/>
          <w:sz w:val="32"/>
          <w:szCs w:val="32"/>
          <w:lang w:val="en-US" w:eastAsia="zh-CN"/>
        </w:rPr>
        <w:t>。挖方过程中表土方与弃土方分开放置，</w:t>
      </w:r>
      <w:r>
        <w:rPr>
          <w:rStyle w:val="16"/>
          <w:rFonts w:hint="default" w:ascii="仿宋" w:hAnsi="仿宋" w:eastAsia="仿宋" w:cs="Times New Roman"/>
          <w:sz w:val="32"/>
          <w:szCs w:val="32"/>
          <w:lang w:val="en-US" w:eastAsia="zh-CN"/>
        </w:rPr>
        <w:t>弃土用于场地平整回填</w:t>
      </w:r>
      <w:r>
        <w:rPr>
          <w:rStyle w:val="16"/>
          <w:rFonts w:hint="eastAsia" w:ascii="仿宋" w:hAnsi="仿宋" w:eastAsia="仿宋" w:cs="Times New Roman"/>
          <w:sz w:val="32"/>
          <w:szCs w:val="32"/>
          <w:lang w:val="en-US" w:eastAsia="zh-CN"/>
        </w:rPr>
        <w:t>，表</w:t>
      </w:r>
      <w:r>
        <w:rPr>
          <w:rStyle w:val="16"/>
          <w:rFonts w:hint="default" w:ascii="仿宋" w:hAnsi="仿宋" w:eastAsia="仿宋" w:cs="Times New Roman"/>
          <w:sz w:val="32"/>
          <w:szCs w:val="32"/>
          <w:lang w:val="en-US" w:eastAsia="zh-CN"/>
        </w:rPr>
        <w:t>土用于绿化覆土</w:t>
      </w:r>
      <w:r>
        <w:rPr>
          <w:rStyle w:val="16"/>
          <w:rFonts w:hint="eastAsia" w:ascii="仿宋" w:hAnsi="仿宋" w:eastAsia="仿宋" w:cs="Times New Roman"/>
          <w:sz w:val="32"/>
          <w:szCs w:val="32"/>
          <w:lang w:val="en-US" w:eastAsia="zh-CN"/>
        </w:rPr>
        <w:t>；掘井过程中产生的矸石部分</w:t>
      </w:r>
      <w:r>
        <w:rPr>
          <w:rStyle w:val="16"/>
          <w:rFonts w:hint="default" w:ascii="仿宋" w:hAnsi="仿宋" w:eastAsia="仿宋" w:cs="Times New Roman"/>
          <w:sz w:val="32"/>
          <w:szCs w:val="32"/>
          <w:lang w:val="en-US" w:eastAsia="zh-CN"/>
        </w:rPr>
        <w:t>用于场地回填</w:t>
      </w:r>
      <w:r>
        <w:rPr>
          <w:rStyle w:val="16"/>
          <w:rFonts w:hint="eastAsia" w:ascii="仿宋" w:hAnsi="仿宋" w:eastAsia="仿宋" w:cs="Times New Roman"/>
          <w:sz w:val="32"/>
          <w:szCs w:val="32"/>
          <w:lang w:val="en-US" w:eastAsia="zh-CN"/>
        </w:rPr>
        <w:t>，剩余部分</w:t>
      </w:r>
      <w:r>
        <w:rPr>
          <w:rStyle w:val="16"/>
          <w:rFonts w:hint="default" w:ascii="仿宋" w:hAnsi="仿宋" w:eastAsia="仿宋" w:cs="Times New Roman"/>
          <w:sz w:val="32"/>
          <w:szCs w:val="32"/>
          <w:lang w:val="en-US" w:eastAsia="zh-CN"/>
        </w:rPr>
        <w:t>由鄂尔多斯市东胜区水务投资建设集团有限公司运离出场</w:t>
      </w:r>
      <w:r>
        <w:rPr>
          <w:rStyle w:val="16"/>
          <w:rFonts w:hint="eastAsia" w:ascii="仿宋" w:hAnsi="仿宋" w:eastAsia="仿宋" w:cs="Times New Roman"/>
          <w:sz w:val="32"/>
          <w:szCs w:val="32"/>
          <w:lang w:val="en-US" w:eastAsia="zh-CN"/>
        </w:rPr>
        <w:t>至东胜区北部添尔漫梁村固废综合利用项目</w:t>
      </w:r>
      <w:r>
        <w:rPr>
          <w:rStyle w:val="16"/>
          <w:rFonts w:hint="default" w:ascii="仿宋" w:hAnsi="仿宋" w:eastAsia="仿宋" w:cs="Times New Roman"/>
          <w:sz w:val="32"/>
          <w:szCs w:val="32"/>
          <w:lang w:val="en-US" w:eastAsia="zh-CN"/>
        </w:rPr>
        <w:t>进行处理</w:t>
      </w:r>
      <w:r>
        <w:rPr>
          <w:rStyle w:val="16"/>
          <w:rFonts w:hint="eastAsia" w:ascii="仿宋" w:hAnsi="仿宋" w:eastAsia="仿宋" w:cs="Times New Roman"/>
          <w:sz w:val="32"/>
          <w:szCs w:val="32"/>
          <w:lang w:val="en-US" w:eastAsia="zh-CN"/>
        </w:rPr>
        <w:t>；掘井过程中产生的原煤运至万利一矿洗煤厂。施工结</w:t>
      </w:r>
      <w:r>
        <w:rPr>
          <w:rStyle w:val="16"/>
          <w:rFonts w:hint="eastAsia" w:ascii="仿宋" w:hAnsi="仿宋" w:eastAsia="仿宋" w:cs="Times New Roman"/>
          <w:sz w:val="32"/>
          <w:szCs w:val="32"/>
          <w:lang w:eastAsia="zh-CN"/>
        </w:rPr>
        <w:t>束后须尽快对临时占地和周边区域进行生态植被恢复，防止水土流失。</w:t>
      </w:r>
      <w:r>
        <w:rPr>
          <w:rStyle w:val="16"/>
          <w:rFonts w:hint="eastAsia" w:ascii="仿宋" w:hAnsi="仿宋" w:eastAsia="仿宋" w:cs="Times New Roman"/>
          <w:sz w:val="32"/>
          <w:szCs w:val="32"/>
          <w:lang w:val="en-US" w:eastAsia="zh-CN"/>
        </w:rPr>
        <w:t xml:space="preserve">    </w:t>
      </w:r>
    </w:p>
    <w:p w14:paraId="19688911">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（二）严格落实运营期污染防治措施</w:t>
      </w:r>
    </w:p>
    <w:p w14:paraId="0908C57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1、运营期废气排放执行《煤炭工业污染物排放标准》（GB20426-2006）表5煤炭工业无组织排放限值。</w:t>
      </w:r>
    </w:p>
    <w:p w14:paraId="7B6C251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2、</w:t>
      </w:r>
      <w:r>
        <w:rPr>
          <w:rStyle w:val="16"/>
          <w:rFonts w:hint="default" w:ascii="仿宋" w:hAnsi="仿宋" w:eastAsia="仿宋" w:cs="Times New Roman"/>
          <w:sz w:val="32"/>
          <w:szCs w:val="32"/>
          <w:lang w:val="en-US" w:eastAsia="zh-CN"/>
        </w:rPr>
        <w:t>运</w:t>
      </w:r>
      <w:r>
        <w:rPr>
          <w:rStyle w:val="16"/>
          <w:rFonts w:hint="eastAsia" w:ascii="仿宋" w:hAnsi="仿宋" w:eastAsia="仿宋" w:cs="Times New Roman"/>
          <w:sz w:val="32"/>
          <w:szCs w:val="32"/>
          <w:lang w:val="en-US" w:eastAsia="zh-CN"/>
        </w:rPr>
        <w:t>营</w:t>
      </w:r>
      <w:r>
        <w:rPr>
          <w:rStyle w:val="16"/>
          <w:rFonts w:hint="default" w:ascii="仿宋" w:hAnsi="仿宋" w:eastAsia="仿宋" w:cs="Times New Roman"/>
          <w:sz w:val="32"/>
          <w:szCs w:val="32"/>
          <w:lang w:val="en-US" w:eastAsia="zh-CN"/>
        </w:rPr>
        <w:t>期</w:t>
      </w:r>
      <w:r>
        <w:rPr>
          <w:rStyle w:val="16"/>
          <w:rFonts w:hint="eastAsia" w:ascii="仿宋" w:hAnsi="仿宋" w:eastAsia="仿宋" w:cs="Times New Roman"/>
          <w:sz w:val="32"/>
          <w:szCs w:val="32"/>
          <w:lang w:val="en-US" w:eastAsia="zh-CN"/>
        </w:rPr>
        <w:t>不产生生产废水；生活污水暂存在临时化粪池内，定期清掏，</w:t>
      </w:r>
      <w:r>
        <w:rPr>
          <w:rStyle w:val="16"/>
          <w:rFonts w:hint="default" w:ascii="仿宋" w:hAnsi="仿宋" w:eastAsia="仿宋" w:cs="Times New Roman"/>
          <w:sz w:val="32"/>
          <w:szCs w:val="32"/>
          <w:lang w:val="en-US" w:eastAsia="zh-CN"/>
        </w:rPr>
        <w:t>用</w:t>
      </w:r>
      <w:r>
        <w:rPr>
          <w:rStyle w:val="16"/>
          <w:rFonts w:hint="eastAsia" w:ascii="仿宋" w:hAnsi="仿宋" w:eastAsia="仿宋" w:cs="Times New Roman"/>
          <w:sz w:val="32"/>
          <w:szCs w:val="32"/>
          <w:lang w:val="en-US" w:eastAsia="zh-CN"/>
        </w:rPr>
        <w:t>罐</w:t>
      </w:r>
      <w:r>
        <w:rPr>
          <w:rStyle w:val="16"/>
          <w:rFonts w:hint="default" w:ascii="仿宋" w:hAnsi="仿宋" w:eastAsia="仿宋" w:cs="Times New Roman"/>
          <w:sz w:val="32"/>
          <w:szCs w:val="32"/>
          <w:lang w:val="en-US" w:eastAsia="zh-CN"/>
        </w:rPr>
        <w:t>装汽车运至</w:t>
      </w:r>
      <w:r>
        <w:rPr>
          <w:rStyle w:val="16"/>
          <w:rFonts w:hint="eastAsia" w:ascii="仿宋" w:hAnsi="仿宋" w:eastAsia="仿宋" w:cs="Times New Roman"/>
          <w:sz w:val="32"/>
          <w:szCs w:val="32"/>
          <w:lang w:val="zh-CN" w:eastAsia="zh-CN"/>
        </w:rPr>
        <w:t>万利一矿</w:t>
      </w:r>
      <w:r>
        <w:rPr>
          <w:rStyle w:val="16"/>
          <w:rFonts w:hint="eastAsia" w:ascii="仿宋" w:hAnsi="仿宋" w:eastAsia="仿宋" w:cs="Times New Roman"/>
          <w:sz w:val="32"/>
          <w:szCs w:val="32"/>
          <w:lang w:val="en-US" w:eastAsia="zh-CN"/>
        </w:rPr>
        <w:t>生活</w:t>
      </w:r>
      <w:r>
        <w:rPr>
          <w:rStyle w:val="16"/>
          <w:rFonts w:hint="default" w:ascii="仿宋" w:hAnsi="仿宋" w:eastAsia="仿宋" w:cs="Times New Roman"/>
          <w:sz w:val="32"/>
          <w:szCs w:val="32"/>
          <w:lang w:val="en-US" w:eastAsia="zh-CN"/>
        </w:rPr>
        <w:t>污水处理</w:t>
      </w:r>
      <w:r>
        <w:rPr>
          <w:rStyle w:val="16"/>
          <w:rFonts w:hint="eastAsia" w:ascii="仿宋" w:hAnsi="仿宋" w:eastAsia="仿宋" w:cs="Times New Roman"/>
          <w:sz w:val="32"/>
          <w:szCs w:val="32"/>
          <w:lang w:val="en-US" w:eastAsia="zh-CN"/>
        </w:rPr>
        <w:t>站</w:t>
      </w:r>
      <w:r>
        <w:rPr>
          <w:rStyle w:val="16"/>
          <w:rFonts w:hint="default" w:ascii="仿宋" w:hAnsi="仿宋" w:eastAsia="仿宋" w:cs="Times New Roman"/>
          <w:sz w:val="32"/>
          <w:szCs w:val="32"/>
          <w:lang w:val="en-US" w:eastAsia="zh-CN"/>
        </w:rPr>
        <w:t>处理</w:t>
      </w:r>
      <w:r>
        <w:rPr>
          <w:rStyle w:val="16"/>
          <w:rFonts w:hint="eastAsia" w:ascii="仿宋" w:hAnsi="仿宋" w:eastAsia="仿宋" w:cs="Times New Roman"/>
          <w:sz w:val="32"/>
          <w:szCs w:val="32"/>
          <w:lang w:val="en-US" w:eastAsia="zh-CN"/>
        </w:rPr>
        <w:t>。</w:t>
      </w:r>
    </w:p>
    <w:p w14:paraId="24A3CC2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3、运营期厂界噪声执行《工业企业厂界环境噪声排放标准》（GB12348-2008）中3类标准。</w:t>
      </w:r>
    </w:p>
    <w:p w14:paraId="4E4058F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color w:val="auto"/>
        </w:rPr>
      </w:pPr>
      <w:r>
        <w:rPr>
          <w:rStyle w:val="16"/>
          <w:rFonts w:hint="eastAsia" w:ascii="仿宋" w:hAnsi="仿宋" w:eastAsia="仿宋" w:cs="Times New Roman"/>
          <w:sz w:val="32"/>
          <w:szCs w:val="32"/>
          <w:lang w:val="en-US" w:eastAsia="zh-CN"/>
        </w:rPr>
        <w:t>4、妥善处置各类固体废弃物。建设单位须</w:t>
      </w:r>
      <w:r>
        <w:rPr>
          <w:rFonts w:hint="eastAsia" w:ascii="仿宋" w:hAnsi="仿宋" w:eastAsia="仿宋" w:cs="仿宋"/>
          <w:strike w:val="0"/>
          <w:dstrike w:val="0"/>
          <w:color w:val="auto"/>
          <w:kern w:val="0"/>
          <w:sz w:val="32"/>
          <w:szCs w:val="32"/>
          <w:lang w:val="en-US" w:eastAsia="zh-CN" w:bidi="ar-SA"/>
        </w:rPr>
        <w:t>严格按照《一般工业固体废物贮存和填埋污染控制标准》（GB18599-2020）处置一般固废，不得乱弃。危险废物</w:t>
      </w:r>
      <w:r>
        <w:rPr>
          <w:rStyle w:val="16"/>
          <w:rFonts w:hint="eastAsia" w:ascii="仿宋" w:hAnsi="仿宋" w:eastAsia="仿宋" w:cs="Times New Roman"/>
          <w:sz w:val="32"/>
          <w:szCs w:val="32"/>
          <w:lang w:val="en-US" w:eastAsia="zh-CN"/>
        </w:rPr>
        <w:t>暂存于矿井工业场地现有的危废暂存库，执行</w:t>
      </w:r>
      <w:r>
        <w:rPr>
          <w:rStyle w:val="16"/>
          <w:rFonts w:hint="default" w:ascii="仿宋" w:hAnsi="仿宋" w:eastAsia="仿宋" w:cs="Times New Roman"/>
          <w:sz w:val="32"/>
          <w:szCs w:val="32"/>
          <w:lang w:val="en-US" w:eastAsia="zh-CN"/>
        </w:rPr>
        <w:t>《危险废物贮存污染控制标准》（GB18597-20</w:t>
      </w:r>
      <w:r>
        <w:rPr>
          <w:rStyle w:val="16"/>
          <w:rFonts w:hint="eastAsia" w:ascii="仿宋" w:hAnsi="仿宋" w:eastAsia="仿宋" w:cs="Times New Roman"/>
          <w:sz w:val="32"/>
          <w:szCs w:val="32"/>
          <w:lang w:val="en-US" w:eastAsia="zh-CN"/>
        </w:rPr>
        <w:t>23</w:t>
      </w:r>
      <w:r>
        <w:rPr>
          <w:rStyle w:val="16"/>
          <w:rFonts w:hint="default" w:ascii="仿宋" w:hAnsi="仿宋" w:eastAsia="仿宋" w:cs="Times New Roman"/>
          <w:sz w:val="32"/>
          <w:szCs w:val="32"/>
          <w:lang w:val="en-US" w:eastAsia="zh-CN"/>
        </w:rPr>
        <w:t>）。</w:t>
      </w:r>
      <w:r>
        <w:rPr>
          <w:rStyle w:val="16"/>
          <w:rFonts w:hint="eastAsia" w:ascii="仿宋" w:hAnsi="仿宋" w:eastAsia="仿宋" w:cs="Times New Roman"/>
          <w:sz w:val="32"/>
          <w:szCs w:val="32"/>
          <w:lang w:val="en-US" w:eastAsia="zh-CN"/>
        </w:rPr>
        <w:t>危险废物收集和运输等均按照《</w:t>
      </w:r>
      <w:r>
        <w:rPr>
          <w:rFonts w:hint="eastAsia" w:ascii="仿宋" w:hAnsi="仿宋" w:eastAsia="仿宋" w:cs="仿宋"/>
          <w:color w:val="auto"/>
          <w:kern w:val="0"/>
          <w:sz w:val="32"/>
          <w:szCs w:val="32"/>
          <w:lang w:val="en-US" w:eastAsia="zh-CN" w:bidi="ar-SA"/>
        </w:rPr>
        <w:t>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非正常情况下泄露的危险废物及冲洗水进入废液池中，收集后交由有资质单位处置。</w:t>
      </w:r>
    </w:p>
    <w:p w14:paraId="7B4458EB">
      <w:pPr>
        <w:pStyle w:val="3"/>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5、强化环境风险防范，制定突发环境事件应急预案，落实环境风险事故防范措施，提高事故风险防范和污染控制能力。</w:t>
      </w:r>
    </w:p>
    <w:p w14:paraId="5DF4FC6B">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6"/>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14:paraId="6C3A393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3AF968F9">
      <w:pPr>
        <w:pStyle w:val="3"/>
        <w:keepNext w:val="0"/>
        <w:keepLines w:val="0"/>
        <w:pageBreakBefore w:val="0"/>
        <w:widowControl/>
        <w:numPr>
          <w:ilvl w:val="0"/>
          <w:numId w:val="0"/>
        </w:numPr>
        <w:kinsoku/>
        <w:wordWrap/>
        <w:overflowPunct/>
        <w:topLinePunct w:val="0"/>
        <w:autoSpaceDE/>
        <w:autoSpaceDN/>
        <w:bidi w:val="0"/>
        <w:adjustRightInd/>
        <w:snapToGrid/>
        <w:spacing w:line="560" w:lineRule="exact"/>
        <w:ind w:left="17" w:leftChars="8" w:firstLine="617" w:firstLineChars="193"/>
        <w:jc w:val="both"/>
        <w:rPr>
          <w:rStyle w:val="16"/>
          <w:rFonts w:ascii="仿宋" w:hAnsi="仿宋" w:eastAsia="仿宋"/>
          <w:color w:val="auto"/>
          <w:sz w:val="32"/>
          <w:szCs w:val="32"/>
        </w:rPr>
      </w:pPr>
      <w:r>
        <w:rPr>
          <w:rStyle w:val="16"/>
          <w:rFonts w:hint="eastAsia" w:ascii="仿宋" w:hAnsi="仿宋" w:eastAsia="仿宋" w:cs="Times New Roman"/>
          <w:color w:val="auto"/>
          <w:sz w:val="32"/>
          <w:szCs w:val="32"/>
          <w:lang w:val="en-US" w:eastAsia="zh-CN"/>
        </w:rPr>
        <w:t>五、</w:t>
      </w:r>
      <w:r>
        <w:rPr>
          <w:rStyle w:val="16"/>
          <w:rFonts w:hint="eastAsia" w:ascii="仿宋" w:hAnsi="仿宋" w:eastAsia="仿宋" w:cs="Times New Roman"/>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w:t>
      </w:r>
      <w:r>
        <w:rPr>
          <w:rStyle w:val="16"/>
          <w:rFonts w:hint="eastAsia" w:ascii="仿宋" w:hAnsi="仿宋" w:eastAsia="仿宋" w:cs="Times New Roman"/>
          <w:color w:val="auto"/>
          <w:sz w:val="32"/>
          <w:szCs w:val="32"/>
          <w:lang w:eastAsia="zh-CN"/>
        </w:rPr>
        <w:t>。</w:t>
      </w:r>
      <w:r>
        <w:rPr>
          <w:rStyle w:val="16"/>
          <w:rFonts w:hint="eastAsia" w:ascii="仿宋" w:hAnsi="仿宋" w:eastAsia="仿宋"/>
          <w:color w:val="auto"/>
          <w:sz w:val="32"/>
          <w:szCs w:val="32"/>
        </w:rPr>
        <w:t>该项目从批准之日起超过</w:t>
      </w:r>
      <w:r>
        <w:rPr>
          <w:rStyle w:val="16"/>
          <w:rFonts w:ascii="仿宋" w:hAnsi="仿宋" w:eastAsia="仿宋"/>
          <w:color w:val="auto"/>
          <w:sz w:val="32"/>
          <w:szCs w:val="32"/>
        </w:rPr>
        <w:t>5</w:t>
      </w:r>
      <w:r>
        <w:rPr>
          <w:rStyle w:val="16"/>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6"/>
          <w:rFonts w:ascii="仿宋" w:hAnsi="仿宋" w:eastAsia="仿宋"/>
          <w:color w:val="auto"/>
          <w:sz w:val="32"/>
          <w:szCs w:val="32"/>
        </w:rPr>
        <w:t xml:space="preserve">  </w:t>
      </w:r>
    </w:p>
    <w:p w14:paraId="57EBD68E">
      <w:pPr>
        <w:pStyle w:val="3"/>
        <w:keepNext w:val="0"/>
        <w:keepLines w:val="0"/>
        <w:pageBreakBefore w:val="0"/>
        <w:widowControl/>
        <w:numPr>
          <w:ilvl w:val="0"/>
          <w:numId w:val="0"/>
        </w:numPr>
        <w:kinsoku/>
        <w:wordWrap/>
        <w:overflowPunct/>
        <w:topLinePunct w:val="0"/>
        <w:autoSpaceDE/>
        <w:autoSpaceDN/>
        <w:bidi w:val="0"/>
        <w:adjustRightInd/>
        <w:snapToGrid/>
        <w:spacing w:line="560" w:lineRule="exact"/>
        <w:ind w:left="17" w:leftChars="8" w:firstLine="617" w:firstLineChars="193"/>
        <w:jc w:val="both"/>
        <w:rPr>
          <w:rStyle w:val="16"/>
          <w:rFonts w:hint="eastAsia" w:ascii="仿宋" w:hAnsi="仿宋" w:eastAsia="仿宋"/>
          <w:color w:val="auto"/>
          <w:sz w:val="32"/>
          <w:szCs w:val="32"/>
        </w:rPr>
      </w:pPr>
      <w:r>
        <w:rPr>
          <w:rStyle w:val="16"/>
          <w:rFonts w:ascii="仿宋" w:hAnsi="仿宋" w:eastAsia="仿宋"/>
          <w:color w:val="auto"/>
          <w:sz w:val="32"/>
          <w:szCs w:val="32"/>
        </w:rPr>
        <w:t xml:space="preserve">                                                                                              </w:t>
      </w:r>
    </w:p>
    <w:p w14:paraId="639FAFD8">
      <w:pPr>
        <w:pStyle w:val="19"/>
        <w:keepNext w:val="0"/>
        <w:keepLines w:val="0"/>
        <w:pageBreakBefore w:val="0"/>
        <w:kinsoku/>
        <w:overflowPunct/>
        <w:topLinePunct w:val="0"/>
        <w:autoSpaceDE/>
        <w:autoSpaceDN/>
        <w:bidi w:val="0"/>
        <w:spacing w:line="560" w:lineRule="exact"/>
      </w:pPr>
    </w:p>
    <w:p w14:paraId="3F79A853">
      <w:pPr>
        <w:keepNext w:val="0"/>
        <w:keepLines w:val="0"/>
        <w:pageBreakBefore w:val="0"/>
        <w:kinsoku/>
        <w:overflowPunct/>
        <w:topLinePunct w:val="0"/>
        <w:autoSpaceDE/>
        <w:autoSpaceDN/>
        <w:bidi w:val="0"/>
        <w:spacing w:line="560" w:lineRule="exact"/>
        <w:ind w:firstLine="3840" w:firstLineChars="1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鄂尔多斯市生态环境局东胜区分局</w:t>
      </w:r>
    </w:p>
    <w:p w14:paraId="5121C89F">
      <w:pPr>
        <w:keepNext w:val="0"/>
        <w:keepLines w:val="0"/>
        <w:pageBreakBefore w:val="0"/>
        <w:kinsoku/>
        <w:overflowPunct/>
        <w:topLinePunct w:val="0"/>
        <w:autoSpaceDE/>
        <w:autoSpaceDN/>
        <w:bidi w:val="0"/>
        <w:spacing w:line="560" w:lineRule="exact"/>
        <w:ind w:firstLine="640" w:firstLineChars="200"/>
        <w:textAlignment w:val="auto"/>
        <w:rPr>
          <w:rStyle w:val="16"/>
          <w:rFonts w:ascii="仿宋" w:hAnsi="仿宋" w:eastAsia="仿宋"/>
          <w:color w:val="auto"/>
          <w:sz w:val="32"/>
          <w:szCs w:val="32"/>
        </w:rPr>
      </w:pPr>
      <w:r>
        <w:rPr>
          <w:rStyle w:val="16"/>
          <w:rFonts w:ascii="仿宋" w:hAnsi="仿宋" w:eastAsia="仿宋"/>
          <w:color w:val="auto"/>
          <w:sz w:val="32"/>
          <w:szCs w:val="32"/>
        </w:rPr>
        <w:t xml:space="preserve">                           202</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年</w:t>
      </w:r>
      <w:r>
        <w:rPr>
          <w:rStyle w:val="16"/>
          <w:rFonts w:hint="eastAsia" w:ascii="仿宋" w:hAnsi="仿宋" w:eastAsia="仿宋"/>
          <w:color w:val="auto"/>
          <w:sz w:val="32"/>
          <w:szCs w:val="32"/>
          <w:lang w:val="en-US" w:eastAsia="zh-CN"/>
        </w:rPr>
        <w:t>11</w:t>
      </w:r>
      <w:r>
        <w:rPr>
          <w:rStyle w:val="16"/>
          <w:rFonts w:hint="eastAsia" w:ascii="仿宋" w:hAnsi="仿宋" w:eastAsia="仿宋"/>
          <w:color w:val="auto"/>
          <w:sz w:val="32"/>
          <w:szCs w:val="32"/>
        </w:rPr>
        <w:t>月</w:t>
      </w:r>
      <w:r>
        <w:rPr>
          <w:rStyle w:val="16"/>
          <w:rFonts w:hint="eastAsia" w:ascii="仿宋" w:hAnsi="仿宋" w:eastAsia="仿宋"/>
          <w:color w:val="auto"/>
          <w:sz w:val="32"/>
          <w:szCs w:val="32"/>
          <w:lang w:val="en-US" w:eastAsia="zh-CN"/>
        </w:rPr>
        <w:t>11</w:t>
      </w:r>
      <w:r>
        <w:rPr>
          <w:rStyle w:val="16"/>
          <w:rFonts w:hint="eastAsia" w:ascii="仿宋" w:hAnsi="仿宋" w:eastAsia="仿宋"/>
          <w:color w:val="auto"/>
          <w:sz w:val="32"/>
          <w:szCs w:val="32"/>
        </w:rPr>
        <w:t>日</w:t>
      </w:r>
      <w:r>
        <w:rPr>
          <w:rStyle w:val="16"/>
          <w:rFonts w:ascii="仿宋" w:hAnsi="仿宋" w:eastAsia="仿宋"/>
          <w:color w:val="auto"/>
          <w:sz w:val="32"/>
          <w:szCs w:val="32"/>
        </w:rPr>
        <w:t xml:space="preserve">  </w:t>
      </w:r>
    </w:p>
    <w:p w14:paraId="5812DB56">
      <w:pPr>
        <w:pStyle w:val="2"/>
      </w:pPr>
    </w:p>
    <w:p w14:paraId="398890DA">
      <w:pPr>
        <w:pStyle w:val="3"/>
      </w:pPr>
    </w:p>
    <w:p w14:paraId="3A65C1AF">
      <w:pPr>
        <w:pStyle w:val="25"/>
        <w:rPr>
          <w:color w:val="auto"/>
        </w:rPr>
      </w:pPr>
    </w:p>
    <w:p w14:paraId="5120D1AB">
      <w:pPr>
        <w:spacing w:line="560" w:lineRule="exact"/>
        <w:ind w:right="168" w:firstLine="210" w:firstLineChars="100"/>
        <w:rPr>
          <w:rStyle w:val="16"/>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6"/>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6"/>
          <w:rFonts w:ascii="仿宋" w:hAnsi="仿宋" w:eastAsia="仿宋"/>
          <w:color w:val="auto"/>
          <w:sz w:val="28"/>
          <w:szCs w:val="28"/>
        </w:rPr>
        <w:t xml:space="preserve"> </w:t>
      </w:r>
      <w:bookmarkStart w:id="0" w:name="_GoBack"/>
      <w:bookmarkEnd w:id="0"/>
      <w:r>
        <w:rPr>
          <w:rStyle w:val="16"/>
          <w:rFonts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 xml:space="preserve"> 202</w:t>
      </w:r>
      <w:r>
        <w:rPr>
          <w:rStyle w:val="16"/>
          <w:rFonts w:hint="eastAsia" w:ascii="仿宋" w:hAnsi="仿宋" w:eastAsia="仿宋"/>
          <w:color w:val="auto"/>
          <w:sz w:val="28"/>
          <w:szCs w:val="28"/>
          <w:lang w:val="en-US" w:eastAsia="zh-CN"/>
        </w:rPr>
        <w:t>4</w:t>
      </w:r>
      <w:r>
        <w:rPr>
          <w:rStyle w:val="16"/>
          <w:rFonts w:hint="eastAsia" w:ascii="仿宋" w:hAnsi="仿宋" w:eastAsia="仿宋"/>
          <w:color w:val="auto"/>
          <w:sz w:val="28"/>
          <w:szCs w:val="28"/>
        </w:rPr>
        <w:t>年</w:t>
      </w:r>
      <w:r>
        <w:rPr>
          <w:rStyle w:val="16"/>
          <w:rFonts w:hint="eastAsia" w:ascii="仿宋" w:hAnsi="仿宋" w:eastAsia="仿宋"/>
          <w:color w:val="auto"/>
          <w:sz w:val="28"/>
          <w:szCs w:val="28"/>
          <w:lang w:val="en-US" w:eastAsia="zh-CN"/>
        </w:rPr>
        <w:t>11</w:t>
      </w:r>
      <w:r>
        <w:rPr>
          <w:rStyle w:val="16"/>
          <w:rFonts w:hint="eastAsia" w:ascii="仿宋" w:hAnsi="仿宋" w:eastAsia="仿宋"/>
          <w:color w:val="auto"/>
          <w:sz w:val="28"/>
          <w:szCs w:val="28"/>
        </w:rPr>
        <w:t>月</w:t>
      </w:r>
      <w:r>
        <w:rPr>
          <w:rStyle w:val="16"/>
          <w:rFonts w:hint="eastAsia" w:ascii="仿宋" w:hAnsi="仿宋" w:eastAsia="仿宋"/>
          <w:color w:val="auto"/>
          <w:sz w:val="28"/>
          <w:szCs w:val="28"/>
          <w:lang w:val="en-US" w:eastAsia="zh-CN"/>
        </w:rPr>
        <w:t>11</w:t>
      </w:r>
      <w:r>
        <w:rPr>
          <w:rStyle w:val="16"/>
          <w:rFonts w:hint="eastAsia" w:ascii="仿宋" w:hAnsi="仿宋" w:eastAsia="仿宋"/>
          <w:color w:val="auto"/>
          <w:sz w:val="28"/>
          <w:szCs w:val="28"/>
        </w:rPr>
        <w:t>日印发</w:t>
      </w:r>
      <w:r>
        <w:rPr>
          <w:rStyle w:val="16"/>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F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ECBD">
    <w:pPr>
      <w:pStyle w:val="9"/>
      <w:jc w:val="right"/>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3392912">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14:paraId="13392912">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14:paraId="7E5F3BB7">
    <w:pPr>
      <w:snapToGrid w:val="0"/>
      <w:spacing w:line="240" w:lineRule="atLeast"/>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C1728">
    <w:pPr>
      <w:pStyle w:val="9"/>
      <w:ind w:right="72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974BC65">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14:paraId="4974BC65">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14:paraId="1606E851">
    <w:pPr>
      <w:pStyle w:val="9"/>
      <w:rPr>
        <w:rStyle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E597D">
    <w:pPr>
      <w:snapToGrid w:val="0"/>
      <w:spacing w:line="240" w:lineRule="atLeast"/>
      <w:rPr>
        <w:rStyle w:val="16"/>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yN2E2MTRmYjM2NzM2N2YwMzQyOWU3MDQxMjhiZDc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52705"/>
    <w:rsid w:val="01AC556B"/>
    <w:rsid w:val="02DD4C33"/>
    <w:rsid w:val="02DD5B4F"/>
    <w:rsid w:val="02F3233D"/>
    <w:rsid w:val="0358144A"/>
    <w:rsid w:val="03A03DE5"/>
    <w:rsid w:val="03A05D81"/>
    <w:rsid w:val="03A96EC4"/>
    <w:rsid w:val="03C1757D"/>
    <w:rsid w:val="03F37592"/>
    <w:rsid w:val="03F963FB"/>
    <w:rsid w:val="042E1659"/>
    <w:rsid w:val="04363AE8"/>
    <w:rsid w:val="044E4F55"/>
    <w:rsid w:val="0476323E"/>
    <w:rsid w:val="048A4438"/>
    <w:rsid w:val="048A4FCC"/>
    <w:rsid w:val="04916917"/>
    <w:rsid w:val="04F715EE"/>
    <w:rsid w:val="04F72C71"/>
    <w:rsid w:val="05337BE9"/>
    <w:rsid w:val="059A4722"/>
    <w:rsid w:val="05D94866"/>
    <w:rsid w:val="060A1C1B"/>
    <w:rsid w:val="06191689"/>
    <w:rsid w:val="06CA02D1"/>
    <w:rsid w:val="06CC5F39"/>
    <w:rsid w:val="06E35A8B"/>
    <w:rsid w:val="06F42603"/>
    <w:rsid w:val="06F55023"/>
    <w:rsid w:val="071479B9"/>
    <w:rsid w:val="075C516B"/>
    <w:rsid w:val="075E259A"/>
    <w:rsid w:val="075F5B44"/>
    <w:rsid w:val="07E24DC5"/>
    <w:rsid w:val="08660559"/>
    <w:rsid w:val="088554D8"/>
    <w:rsid w:val="08A1120A"/>
    <w:rsid w:val="08AD4A87"/>
    <w:rsid w:val="08B1373D"/>
    <w:rsid w:val="08B51389"/>
    <w:rsid w:val="08CE2C2B"/>
    <w:rsid w:val="08D13872"/>
    <w:rsid w:val="08EA5D86"/>
    <w:rsid w:val="08FE4C90"/>
    <w:rsid w:val="090362EF"/>
    <w:rsid w:val="090866C9"/>
    <w:rsid w:val="097134F8"/>
    <w:rsid w:val="098F5074"/>
    <w:rsid w:val="09B06929"/>
    <w:rsid w:val="0A3D33B0"/>
    <w:rsid w:val="0A5D0D80"/>
    <w:rsid w:val="0A667AEF"/>
    <w:rsid w:val="0A6D53BD"/>
    <w:rsid w:val="0A9A115F"/>
    <w:rsid w:val="0AA477AD"/>
    <w:rsid w:val="0B6446A4"/>
    <w:rsid w:val="0BA55642"/>
    <w:rsid w:val="0BD72E57"/>
    <w:rsid w:val="0BDE1694"/>
    <w:rsid w:val="0C2B3A73"/>
    <w:rsid w:val="0C301322"/>
    <w:rsid w:val="0C5555BE"/>
    <w:rsid w:val="0CAF1FCC"/>
    <w:rsid w:val="0CC65836"/>
    <w:rsid w:val="0CFC12E8"/>
    <w:rsid w:val="0D693F98"/>
    <w:rsid w:val="0D830185"/>
    <w:rsid w:val="0E104AB4"/>
    <w:rsid w:val="0E2F5220"/>
    <w:rsid w:val="0E364873"/>
    <w:rsid w:val="0E385A18"/>
    <w:rsid w:val="0E570138"/>
    <w:rsid w:val="0E9A33FF"/>
    <w:rsid w:val="0EB72A51"/>
    <w:rsid w:val="0EC36AE6"/>
    <w:rsid w:val="0EF75580"/>
    <w:rsid w:val="0F1B51C5"/>
    <w:rsid w:val="0F7E2F3B"/>
    <w:rsid w:val="0F8B77A7"/>
    <w:rsid w:val="0FB279DE"/>
    <w:rsid w:val="0FD03B40"/>
    <w:rsid w:val="0FE8736A"/>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C14EC5"/>
    <w:rsid w:val="12C93B4E"/>
    <w:rsid w:val="12EA255A"/>
    <w:rsid w:val="13283777"/>
    <w:rsid w:val="13464D5E"/>
    <w:rsid w:val="1398649C"/>
    <w:rsid w:val="139A0B1F"/>
    <w:rsid w:val="13BE21AB"/>
    <w:rsid w:val="13C532EF"/>
    <w:rsid w:val="13FF3EF7"/>
    <w:rsid w:val="144C07C7"/>
    <w:rsid w:val="15513EF0"/>
    <w:rsid w:val="1553781D"/>
    <w:rsid w:val="1562595D"/>
    <w:rsid w:val="15652C35"/>
    <w:rsid w:val="156D1455"/>
    <w:rsid w:val="15BF393E"/>
    <w:rsid w:val="15E91737"/>
    <w:rsid w:val="16015C16"/>
    <w:rsid w:val="16041455"/>
    <w:rsid w:val="168C74C9"/>
    <w:rsid w:val="169F094B"/>
    <w:rsid w:val="16FF6904"/>
    <w:rsid w:val="171F5F2F"/>
    <w:rsid w:val="1747459A"/>
    <w:rsid w:val="177644D0"/>
    <w:rsid w:val="178F5508"/>
    <w:rsid w:val="17D90483"/>
    <w:rsid w:val="17E15C23"/>
    <w:rsid w:val="181C5F12"/>
    <w:rsid w:val="18207E93"/>
    <w:rsid w:val="18A37FC9"/>
    <w:rsid w:val="18AE27A5"/>
    <w:rsid w:val="18CC5434"/>
    <w:rsid w:val="18E54146"/>
    <w:rsid w:val="19473B43"/>
    <w:rsid w:val="195E16BF"/>
    <w:rsid w:val="19AC1F9C"/>
    <w:rsid w:val="19AF63CD"/>
    <w:rsid w:val="19EA6791"/>
    <w:rsid w:val="19F825D9"/>
    <w:rsid w:val="1A437161"/>
    <w:rsid w:val="1A6C6995"/>
    <w:rsid w:val="1A805ECF"/>
    <w:rsid w:val="1AFA27E4"/>
    <w:rsid w:val="1BBA357C"/>
    <w:rsid w:val="1BBC5800"/>
    <w:rsid w:val="1BC31CAE"/>
    <w:rsid w:val="1BD34CDC"/>
    <w:rsid w:val="1BDD6112"/>
    <w:rsid w:val="1BF630B5"/>
    <w:rsid w:val="1C0715F0"/>
    <w:rsid w:val="1C5D600F"/>
    <w:rsid w:val="1C5E37FE"/>
    <w:rsid w:val="1C5F17DC"/>
    <w:rsid w:val="1C680F45"/>
    <w:rsid w:val="1C83767C"/>
    <w:rsid w:val="1C866676"/>
    <w:rsid w:val="1CA41BA5"/>
    <w:rsid w:val="1CCD7F32"/>
    <w:rsid w:val="1CE0100C"/>
    <w:rsid w:val="1D062C2C"/>
    <w:rsid w:val="1D0F0766"/>
    <w:rsid w:val="1D806FC0"/>
    <w:rsid w:val="1D8D2573"/>
    <w:rsid w:val="1DD85EE2"/>
    <w:rsid w:val="1E322AFA"/>
    <w:rsid w:val="1E39255D"/>
    <w:rsid w:val="1E565798"/>
    <w:rsid w:val="1E5B4E2F"/>
    <w:rsid w:val="1EB145A4"/>
    <w:rsid w:val="1EB26A2F"/>
    <w:rsid w:val="1EE44415"/>
    <w:rsid w:val="1F197ECC"/>
    <w:rsid w:val="1F9A03FC"/>
    <w:rsid w:val="1F9F4FD0"/>
    <w:rsid w:val="1FB13B43"/>
    <w:rsid w:val="1FFD3A90"/>
    <w:rsid w:val="203E5C2F"/>
    <w:rsid w:val="20723F75"/>
    <w:rsid w:val="208B0C0A"/>
    <w:rsid w:val="209F2E8C"/>
    <w:rsid w:val="20C94FCD"/>
    <w:rsid w:val="20CF0133"/>
    <w:rsid w:val="210D15FE"/>
    <w:rsid w:val="21500F9E"/>
    <w:rsid w:val="217D77E0"/>
    <w:rsid w:val="219B3761"/>
    <w:rsid w:val="21EF70BE"/>
    <w:rsid w:val="220E66BC"/>
    <w:rsid w:val="2265588B"/>
    <w:rsid w:val="228C2292"/>
    <w:rsid w:val="23541649"/>
    <w:rsid w:val="235E3785"/>
    <w:rsid w:val="23921405"/>
    <w:rsid w:val="23C9100A"/>
    <w:rsid w:val="24421E65"/>
    <w:rsid w:val="24855506"/>
    <w:rsid w:val="24AA3A0B"/>
    <w:rsid w:val="24AC7783"/>
    <w:rsid w:val="24C456C6"/>
    <w:rsid w:val="24CB5BE2"/>
    <w:rsid w:val="24F868A6"/>
    <w:rsid w:val="25125EFC"/>
    <w:rsid w:val="25366867"/>
    <w:rsid w:val="2537664C"/>
    <w:rsid w:val="253C64B1"/>
    <w:rsid w:val="25544DEE"/>
    <w:rsid w:val="25733248"/>
    <w:rsid w:val="25777D91"/>
    <w:rsid w:val="259D1040"/>
    <w:rsid w:val="25A00331"/>
    <w:rsid w:val="25AA1BAB"/>
    <w:rsid w:val="25AF47C5"/>
    <w:rsid w:val="25D60BC4"/>
    <w:rsid w:val="25D873ED"/>
    <w:rsid w:val="25F75335"/>
    <w:rsid w:val="260007C3"/>
    <w:rsid w:val="261325BB"/>
    <w:rsid w:val="26151A29"/>
    <w:rsid w:val="261C26E6"/>
    <w:rsid w:val="267000E4"/>
    <w:rsid w:val="267E514F"/>
    <w:rsid w:val="269E1BDF"/>
    <w:rsid w:val="26A81F94"/>
    <w:rsid w:val="26C86AE1"/>
    <w:rsid w:val="27063174"/>
    <w:rsid w:val="2745621A"/>
    <w:rsid w:val="274B306C"/>
    <w:rsid w:val="27D05ACD"/>
    <w:rsid w:val="27FF406E"/>
    <w:rsid w:val="28150F91"/>
    <w:rsid w:val="288E0726"/>
    <w:rsid w:val="289A0EE5"/>
    <w:rsid w:val="28A2177B"/>
    <w:rsid w:val="28DA25CC"/>
    <w:rsid w:val="28E74139"/>
    <w:rsid w:val="28F811E9"/>
    <w:rsid w:val="2956242B"/>
    <w:rsid w:val="29625978"/>
    <w:rsid w:val="29BE7B24"/>
    <w:rsid w:val="29EC1002"/>
    <w:rsid w:val="2A173A82"/>
    <w:rsid w:val="2A27019D"/>
    <w:rsid w:val="2A4A7282"/>
    <w:rsid w:val="2A77431C"/>
    <w:rsid w:val="2AB8571B"/>
    <w:rsid w:val="2ABD6442"/>
    <w:rsid w:val="2ACD268E"/>
    <w:rsid w:val="2AD6555A"/>
    <w:rsid w:val="2AF53CB3"/>
    <w:rsid w:val="2B496FAB"/>
    <w:rsid w:val="2B5F7DC4"/>
    <w:rsid w:val="2BD26C46"/>
    <w:rsid w:val="2BDE5B5E"/>
    <w:rsid w:val="2C245E51"/>
    <w:rsid w:val="2C3F708C"/>
    <w:rsid w:val="2C871D94"/>
    <w:rsid w:val="2CAE4D3A"/>
    <w:rsid w:val="2CE7407F"/>
    <w:rsid w:val="2CFB6C68"/>
    <w:rsid w:val="2D5C4C74"/>
    <w:rsid w:val="2D5F771D"/>
    <w:rsid w:val="2E1A5EC1"/>
    <w:rsid w:val="2E653EAF"/>
    <w:rsid w:val="2E6B1F05"/>
    <w:rsid w:val="2E78505A"/>
    <w:rsid w:val="2EA85B70"/>
    <w:rsid w:val="2EB60EB6"/>
    <w:rsid w:val="2EF21325"/>
    <w:rsid w:val="2F1876BA"/>
    <w:rsid w:val="2F837265"/>
    <w:rsid w:val="2F8C2E25"/>
    <w:rsid w:val="2F8E3C27"/>
    <w:rsid w:val="2FC328DF"/>
    <w:rsid w:val="2FE05822"/>
    <w:rsid w:val="2FEA3599"/>
    <w:rsid w:val="301223CD"/>
    <w:rsid w:val="30134659"/>
    <w:rsid w:val="30276045"/>
    <w:rsid w:val="30552879"/>
    <w:rsid w:val="3071536E"/>
    <w:rsid w:val="30CD0F38"/>
    <w:rsid w:val="30E12605"/>
    <w:rsid w:val="312C0E37"/>
    <w:rsid w:val="31451F91"/>
    <w:rsid w:val="3166710B"/>
    <w:rsid w:val="31B97443"/>
    <w:rsid w:val="31E74361"/>
    <w:rsid w:val="322F75E5"/>
    <w:rsid w:val="3239406E"/>
    <w:rsid w:val="3245462B"/>
    <w:rsid w:val="32862408"/>
    <w:rsid w:val="32A41A78"/>
    <w:rsid w:val="33086177"/>
    <w:rsid w:val="332A6495"/>
    <w:rsid w:val="333016EF"/>
    <w:rsid w:val="33314FCC"/>
    <w:rsid w:val="334F543C"/>
    <w:rsid w:val="336710F2"/>
    <w:rsid w:val="336D70A5"/>
    <w:rsid w:val="33A76983"/>
    <w:rsid w:val="33CD0AF4"/>
    <w:rsid w:val="343D6FC0"/>
    <w:rsid w:val="34445631"/>
    <w:rsid w:val="34525876"/>
    <w:rsid w:val="346C54C4"/>
    <w:rsid w:val="34A6189E"/>
    <w:rsid w:val="3587701E"/>
    <w:rsid w:val="35B91D00"/>
    <w:rsid w:val="361479B3"/>
    <w:rsid w:val="362A341F"/>
    <w:rsid w:val="36C070BE"/>
    <w:rsid w:val="36CB51E2"/>
    <w:rsid w:val="36D33EE3"/>
    <w:rsid w:val="37075CEA"/>
    <w:rsid w:val="371F6C8E"/>
    <w:rsid w:val="372344BA"/>
    <w:rsid w:val="37334EA2"/>
    <w:rsid w:val="375C4DD9"/>
    <w:rsid w:val="375D3876"/>
    <w:rsid w:val="37663248"/>
    <w:rsid w:val="37966A72"/>
    <w:rsid w:val="37E5426D"/>
    <w:rsid w:val="37FF7133"/>
    <w:rsid w:val="38114125"/>
    <w:rsid w:val="38176CB5"/>
    <w:rsid w:val="38252AC8"/>
    <w:rsid w:val="38883C0B"/>
    <w:rsid w:val="389B5401"/>
    <w:rsid w:val="38B32843"/>
    <w:rsid w:val="39625ABB"/>
    <w:rsid w:val="39750C1A"/>
    <w:rsid w:val="39815D3F"/>
    <w:rsid w:val="39C97754"/>
    <w:rsid w:val="39CB16C6"/>
    <w:rsid w:val="39CE6D77"/>
    <w:rsid w:val="39CF3432"/>
    <w:rsid w:val="3A102EB3"/>
    <w:rsid w:val="3A1559AB"/>
    <w:rsid w:val="3A1716A8"/>
    <w:rsid w:val="3A2C25BF"/>
    <w:rsid w:val="3A4100A2"/>
    <w:rsid w:val="3A420ECD"/>
    <w:rsid w:val="3A6F5040"/>
    <w:rsid w:val="3AEA62F0"/>
    <w:rsid w:val="3B164E12"/>
    <w:rsid w:val="3B433FA0"/>
    <w:rsid w:val="3B8024AE"/>
    <w:rsid w:val="3BCA2CB8"/>
    <w:rsid w:val="3C201861"/>
    <w:rsid w:val="3C335C3C"/>
    <w:rsid w:val="3C351081"/>
    <w:rsid w:val="3C4F7E8A"/>
    <w:rsid w:val="3C545991"/>
    <w:rsid w:val="3C795E81"/>
    <w:rsid w:val="3C9C06C9"/>
    <w:rsid w:val="3CF212C3"/>
    <w:rsid w:val="3D0F5AAD"/>
    <w:rsid w:val="3D4E0D02"/>
    <w:rsid w:val="3D615C4A"/>
    <w:rsid w:val="3D9D29AC"/>
    <w:rsid w:val="3DD06792"/>
    <w:rsid w:val="3E6216DB"/>
    <w:rsid w:val="3E6D2368"/>
    <w:rsid w:val="3E8C50F6"/>
    <w:rsid w:val="3E9E6EFC"/>
    <w:rsid w:val="3EA147B7"/>
    <w:rsid w:val="3EAA1A98"/>
    <w:rsid w:val="3ED64314"/>
    <w:rsid w:val="3EDA3818"/>
    <w:rsid w:val="3EEF2E69"/>
    <w:rsid w:val="3F267EF6"/>
    <w:rsid w:val="3F544D41"/>
    <w:rsid w:val="3F7635AF"/>
    <w:rsid w:val="3FEA64CB"/>
    <w:rsid w:val="3FF57D0C"/>
    <w:rsid w:val="3FFB782D"/>
    <w:rsid w:val="401A75E2"/>
    <w:rsid w:val="40333ECA"/>
    <w:rsid w:val="40A601F0"/>
    <w:rsid w:val="40B345F0"/>
    <w:rsid w:val="40BF08B4"/>
    <w:rsid w:val="411D0018"/>
    <w:rsid w:val="4120781B"/>
    <w:rsid w:val="413328ED"/>
    <w:rsid w:val="41392B4A"/>
    <w:rsid w:val="413F1DCA"/>
    <w:rsid w:val="41BA73FE"/>
    <w:rsid w:val="41C31E09"/>
    <w:rsid w:val="41D47B54"/>
    <w:rsid w:val="42096DA4"/>
    <w:rsid w:val="42220C2D"/>
    <w:rsid w:val="42427E61"/>
    <w:rsid w:val="42571ED3"/>
    <w:rsid w:val="42A12AD7"/>
    <w:rsid w:val="42B31FAB"/>
    <w:rsid w:val="42C15BDB"/>
    <w:rsid w:val="431B4412"/>
    <w:rsid w:val="4331043E"/>
    <w:rsid w:val="4331172A"/>
    <w:rsid w:val="433E53DA"/>
    <w:rsid w:val="43452E25"/>
    <w:rsid w:val="439E58A0"/>
    <w:rsid w:val="43B31C0B"/>
    <w:rsid w:val="43DA60A1"/>
    <w:rsid w:val="43E35A87"/>
    <w:rsid w:val="43EC55F4"/>
    <w:rsid w:val="4477148F"/>
    <w:rsid w:val="44947B97"/>
    <w:rsid w:val="44A75A3C"/>
    <w:rsid w:val="44B519AF"/>
    <w:rsid w:val="4502587E"/>
    <w:rsid w:val="45390767"/>
    <w:rsid w:val="458429FA"/>
    <w:rsid w:val="46150F00"/>
    <w:rsid w:val="463C0677"/>
    <w:rsid w:val="46773189"/>
    <w:rsid w:val="467C4988"/>
    <w:rsid w:val="468D35B1"/>
    <w:rsid w:val="46C060ED"/>
    <w:rsid w:val="46CD3069"/>
    <w:rsid w:val="46DC7BF5"/>
    <w:rsid w:val="46EF6089"/>
    <w:rsid w:val="46F85ECC"/>
    <w:rsid w:val="47187FE4"/>
    <w:rsid w:val="4719630E"/>
    <w:rsid w:val="47310F34"/>
    <w:rsid w:val="47352FEC"/>
    <w:rsid w:val="47413DCB"/>
    <w:rsid w:val="47463708"/>
    <w:rsid w:val="477C5B9E"/>
    <w:rsid w:val="4780431E"/>
    <w:rsid w:val="479235C6"/>
    <w:rsid w:val="47A153A1"/>
    <w:rsid w:val="481E12C4"/>
    <w:rsid w:val="482F22FC"/>
    <w:rsid w:val="483A153F"/>
    <w:rsid w:val="48714DBB"/>
    <w:rsid w:val="4910358D"/>
    <w:rsid w:val="49114E70"/>
    <w:rsid w:val="49540677"/>
    <w:rsid w:val="49926C6C"/>
    <w:rsid w:val="49AA4FB0"/>
    <w:rsid w:val="49DB78B5"/>
    <w:rsid w:val="49E97A04"/>
    <w:rsid w:val="49EA569C"/>
    <w:rsid w:val="49F05E94"/>
    <w:rsid w:val="49F31649"/>
    <w:rsid w:val="4A494A22"/>
    <w:rsid w:val="4A7C6CC7"/>
    <w:rsid w:val="4A911B79"/>
    <w:rsid w:val="4ADF223E"/>
    <w:rsid w:val="4AF07DCC"/>
    <w:rsid w:val="4B257F2E"/>
    <w:rsid w:val="4B620F05"/>
    <w:rsid w:val="4BA42C32"/>
    <w:rsid w:val="4BAD0F90"/>
    <w:rsid w:val="4BDB440C"/>
    <w:rsid w:val="4C2274BE"/>
    <w:rsid w:val="4CD95DD7"/>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5F24B0"/>
    <w:rsid w:val="50681DDC"/>
    <w:rsid w:val="507026E4"/>
    <w:rsid w:val="50A15512"/>
    <w:rsid w:val="50C61171"/>
    <w:rsid w:val="51167CDE"/>
    <w:rsid w:val="51324DA9"/>
    <w:rsid w:val="513D358E"/>
    <w:rsid w:val="51873803"/>
    <w:rsid w:val="51AD2147"/>
    <w:rsid w:val="51D501ED"/>
    <w:rsid w:val="522D7F16"/>
    <w:rsid w:val="523952D8"/>
    <w:rsid w:val="523B2FBD"/>
    <w:rsid w:val="52400F9E"/>
    <w:rsid w:val="52473BB8"/>
    <w:rsid w:val="5288313B"/>
    <w:rsid w:val="52D27DE3"/>
    <w:rsid w:val="52F33045"/>
    <w:rsid w:val="531F408E"/>
    <w:rsid w:val="53406525"/>
    <w:rsid w:val="534B5C0F"/>
    <w:rsid w:val="53E44017"/>
    <w:rsid w:val="5432323D"/>
    <w:rsid w:val="54331B24"/>
    <w:rsid w:val="54501629"/>
    <w:rsid w:val="54583460"/>
    <w:rsid w:val="54686A39"/>
    <w:rsid w:val="54E641C3"/>
    <w:rsid w:val="54EC6DF6"/>
    <w:rsid w:val="54F16F78"/>
    <w:rsid w:val="55215714"/>
    <w:rsid w:val="554D7806"/>
    <w:rsid w:val="55515659"/>
    <w:rsid w:val="557B4977"/>
    <w:rsid w:val="55876BE5"/>
    <w:rsid w:val="55991C39"/>
    <w:rsid w:val="559A5ACA"/>
    <w:rsid w:val="55A94050"/>
    <w:rsid w:val="55C20305"/>
    <w:rsid w:val="55CA36B6"/>
    <w:rsid w:val="56653C93"/>
    <w:rsid w:val="567F5F3C"/>
    <w:rsid w:val="56CE6410"/>
    <w:rsid w:val="56DB6AC7"/>
    <w:rsid w:val="56DF16DC"/>
    <w:rsid w:val="57146010"/>
    <w:rsid w:val="57184CF1"/>
    <w:rsid w:val="57780B5F"/>
    <w:rsid w:val="57792C45"/>
    <w:rsid w:val="57B96494"/>
    <w:rsid w:val="57DD76E9"/>
    <w:rsid w:val="57FC658A"/>
    <w:rsid w:val="57FD5624"/>
    <w:rsid w:val="57FE5FE5"/>
    <w:rsid w:val="586A1F97"/>
    <w:rsid w:val="589C6ECF"/>
    <w:rsid w:val="595639C1"/>
    <w:rsid w:val="59597413"/>
    <w:rsid w:val="59BA4CD4"/>
    <w:rsid w:val="59EE5797"/>
    <w:rsid w:val="5A4968FF"/>
    <w:rsid w:val="5AC272A3"/>
    <w:rsid w:val="5B0A7672"/>
    <w:rsid w:val="5B224350"/>
    <w:rsid w:val="5B307B0A"/>
    <w:rsid w:val="5B557E8F"/>
    <w:rsid w:val="5BB1110B"/>
    <w:rsid w:val="5C2B7BE1"/>
    <w:rsid w:val="5C621337"/>
    <w:rsid w:val="5C7F01BD"/>
    <w:rsid w:val="5D6C33D5"/>
    <w:rsid w:val="5DA25547"/>
    <w:rsid w:val="5DC5227C"/>
    <w:rsid w:val="5DD32B36"/>
    <w:rsid w:val="5DEC6C8E"/>
    <w:rsid w:val="5DF951D1"/>
    <w:rsid w:val="5DFA4819"/>
    <w:rsid w:val="5EFB79A1"/>
    <w:rsid w:val="5F160B36"/>
    <w:rsid w:val="5F2142EE"/>
    <w:rsid w:val="5F2A616C"/>
    <w:rsid w:val="5F3C052E"/>
    <w:rsid w:val="5F6C71D0"/>
    <w:rsid w:val="5F785148"/>
    <w:rsid w:val="5FA8049F"/>
    <w:rsid w:val="5FC04A97"/>
    <w:rsid w:val="5FE94B7D"/>
    <w:rsid w:val="5FF2718E"/>
    <w:rsid w:val="5FFF4EA8"/>
    <w:rsid w:val="602B2726"/>
    <w:rsid w:val="60417BB4"/>
    <w:rsid w:val="60B2650C"/>
    <w:rsid w:val="611D40E2"/>
    <w:rsid w:val="614462DE"/>
    <w:rsid w:val="61970898"/>
    <w:rsid w:val="61B516C4"/>
    <w:rsid w:val="61DE1268"/>
    <w:rsid w:val="61EF4764"/>
    <w:rsid w:val="625904A9"/>
    <w:rsid w:val="62A64AED"/>
    <w:rsid w:val="62BE2B8C"/>
    <w:rsid w:val="63100901"/>
    <w:rsid w:val="632D32DF"/>
    <w:rsid w:val="636B778B"/>
    <w:rsid w:val="63713FBD"/>
    <w:rsid w:val="63950102"/>
    <w:rsid w:val="641D5FD9"/>
    <w:rsid w:val="643E149E"/>
    <w:rsid w:val="64566E62"/>
    <w:rsid w:val="647677D7"/>
    <w:rsid w:val="64770209"/>
    <w:rsid w:val="65042865"/>
    <w:rsid w:val="651360F5"/>
    <w:rsid w:val="651B024D"/>
    <w:rsid w:val="65571260"/>
    <w:rsid w:val="65620EA6"/>
    <w:rsid w:val="65AB3C61"/>
    <w:rsid w:val="65B25CB4"/>
    <w:rsid w:val="65CE2481"/>
    <w:rsid w:val="65FB616C"/>
    <w:rsid w:val="661125F2"/>
    <w:rsid w:val="6611695D"/>
    <w:rsid w:val="66194DC3"/>
    <w:rsid w:val="66267FAE"/>
    <w:rsid w:val="665E7BD6"/>
    <w:rsid w:val="668D09A2"/>
    <w:rsid w:val="669764AC"/>
    <w:rsid w:val="66D55C0F"/>
    <w:rsid w:val="672A40B7"/>
    <w:rsid w:val="673F6454"/>
    <w:rsid w:val="6746660F"/>
    <w:rsid w:val="6749451C"/>
    <w:rsid w:val="674A4227"/>
    <w:rsid w:val="679300D6"/>
    <w:rsid w:val="67F03BF2"/>
    <w:rsid w:val="684478D1"/>
    <w:rsid w:val="686109FC"/>
    <w:rsid w:val="686801CC"/>
    <w:rsid w:val="688C32E6"/>
    <w:rsid w:val="68D84C26"/>
    <w:rsid w:val="69127129"/>
    <w:rsid w:val="691D5B26"/>
    <w:rsid w:val="694A3F4B"/>
    <w:rsid w:val="694D466A"/>
    <w:rsid w:val="695143FB"/>
    <w:rsid w:val="698A3A01"/>
    <w:rsid w:val="698D0D6B"/>
    <w:rsid w:val="699E02E9"/>
    <w:rsid w:val="69E6116E"/>
    <w:rsid w:val="6A051C1C"/>
    <w:rsid w:val="6A461941"/>
    <w:rsid w:val="6AA33CF1"/>
    <w:rsid w:val="6AAE5669"/>
    <w:rsid w:val="6ABD1719"/>
    <w:rsid w:val="6ACC25CE"/>
    <w:rsid w:val="6B275374"/>
    <w:rsid w:val="6BEB28AD"/>
    <w:rsid w:val="6C1D1BAE"/>
    <w:rsid w:val="6C32108A"/>
    <w:rsid w:val="6C495CD7"/>
    <w:rsid w:val="6C6C7186"/>
    <w:rsid w:val="6C71153E"/>
    <w:rsid w:val="6CA67BC0"/>
    <w:rsid w:val="6CE10EDA"/>
    <w:rsid w:val="6D4F01B3"/>
    <w:rsid w:val="6D9B0E92"/>
    <w:rsid w:val="6DC319FF"/>
    <w:rsid w:val="6E1844B8"/>
    <w:rsid w:val="6E541954"/>
    <w:rsid w:val="6E6D5C0E"/>
    <w:rsid w:val="6E7C3113"/>
    <w:rsid w:val="6EA67FA2"/>
    <w:rsid w:val="6F957251"/>
    <w:rsid w:val="70484BFD"/>
    <w:rsid w:val="70921C55"/>
    <w:rsid w:val="71283ECD"/>
    <w:rsid w:val="713D11CB"/>
    <w:rsid w:val="7147364E"/>
    <w:rsid w:val="71502437"/>
    <w:rsid w:val="71E362C3"/>
    <w:rsid w:val="7219039A"/>
    <w:rsid w:val="731775B6"/>
    <w:rsid w:val="73BA11B9"/>
    <w:rsid w:val="73D60472"/>
    <w:rsid w:val="73F53D48"/>
    <w:rsid w:val="7496752E"/>
    <w:rsid w:val="755B54D7"/>
    <w:rsid w:val="75765328"/>
    <w:rsid w:val="75A177EE"/>
    <w:rsid w:val="75D86CD4"/>
    <w:rsid w:val="760E7139"/>
    <w:rsid w:val="76420C5D"/>
    <w:rsid w:val="76496AA8"/>
    <w:rsid w:val="76745CA5"/>
    <w:rsid w:val="768559AF"/>
    <w:rsid w:val="76A05F87"/>
    <w:rsid w:val="76A730E4"/>
    <w:rsid w:val="76E77774"/>
    <w:rsid w:val="76F33AE6"/>
    <w:rsid w:val="76F41191"/>
    <w:rsid w:val="779352B4"/>
    <w:rsid w:val="77A411C1"/>
    <w:rsid w:val="77C011B5"/>
    <w:rsid w:val="77DF2692"/>
    <w:rsid w:val="77E65FB7"/>
    <w:rsid w:val="77EC1D59"/>
    <w:rsid w:val="781F64BC"/>
    <w:rsid w:val="783E6571"/>
    <w:rsid w:val="78502F65"/>
    <w:rsid w:val="786E6C4A"/>
    <w:rsid w:val="789D2BB8"/>
    <w:rsid w:val="78DB6555"/>
    <w:rsid w:val="78E415BF"/>
    <w:rsid w:val="78FD20DF"/>
    <w:rsid w:val="794D77BB"/>
    <w:rsid w:val="795654B4"/>
    <w:rsid w:val="798B42E3"/>
    <w:rsid w:val="79C70F30"/>
    <w:rsid w:val="79C97495"/>
    <w:rsid w:val="79E24199"/>
    <w:rsid w:val="7A281851"/>
    <w:rsid w:val="7A550F13"/>
    <w:rsid w:val="7A773BB5"/>
    <w:rsid w:val="7AD20151"/>
    <w:rsid w:val="7B345817"/>
    <w:rsid w:val="7B5D3DBD"/>
    <w:rsid w:val="7B62786A"/>
    <w:rsid w:val="7BAD7F79"/>
    <w:rsid w:val="7BE82E7A"/>
    <w:rsid w:val="7C047330"/>
    <w:rsid w:val="7C1A0DC0"/>
    <w:rsid w:val="7C614B37"/>
    <w:rsid w:val="7CE039CF"/>
    <w:rsid w:val="7CE24C65"/>
    <w:rsid w:val="7D54267F"/>
    <w:rsid w:val="7D7C739E"/>
    <w:rsid w:val="7DBD5F66"/>
    <w:rsid w:val="7DC17EA6"/>
    <w:rsid w:val="7E0D5B2C"/>
    <w:rsid w:val="7E2115B9"/>
    <w:rsid w:val="7E7F66A4"/>
    <w:rsid w:val="7EA72D17"/>
    <w:rsid w:val="7EE04C7B"/>
    <w:rsid w:val="7F277A16"/>
    <w:rsid w:val="7F2F2002"/>
    <w:rsid w:val="7F930498"/>
    <w:rsid w:val="7F9B72B8"/>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ind w:firstLine="420"/>
    </w:pPr>
  </w:style>
  <w:style w:type="paragraph" w:styleId="3">
    <w:name w:val="Body Text First Indent 2"/>
    <w:basedOn w:val="4"/>
    <w:next w:val="1"/>
    <w:qFormat/>
    <w:uiPriority w:val="99"/>
    <w:pPr>
      <w:spacing w:line="240" w:lineRule="auto"/>
      <w:ind w:firstLine="420"/>
    </w:pPr>
  </w:style>
  <w:style w:type="paragraph" w:styleId="4">
    <w:name w:val="Body Text Indent"/>
    <w:basedOn w:val="1"/>
    <w:next w:val="1"/>
    <w:qFormat/>
    <w:uiPriority w:val="99"/>
    <w:pPr>
      <w:ind w:left="420" w:leftChars="200"/>
    </w:pPr>
  </w:style>
  <w:style w:type="paragraph" w:styleId="5">
    <w:name w:val="annotation text"/>
    <w:basedOn w:val="1"/>
    <w:qFormat/>
    <w:uiPriority w:val="0"/>
    <w:pPr>
      <w:jc w:val="left"/>
    </w:pPr>
  </w:style>
  <w:style w:type="paragraph" w:styleId="6">
    <w:name w:val="Body Text"/>
    <w:basedOn w:val="1"/>
    <w:link w:val="21"/>
    <w:qFormat/>
    <w:uiPriority w:val="99"/>
    <w:pPr>
      <w:spacing w:after="120"/>
    </w:pPr>
    <w:rPr>
      <w:rFonts w:ascii="Calibri" w:hAnsi="Calibri"/>
      <w:szCs w:val="22"/>
    </w:rPr>
  </w:style>
  <w:style w:type="paragraph" w:styleId="7">
    <w:name w:val="Date"/>
    <w:basedOn w:val="1"/>
    <w:next w:val="1"/>
    <w:link w:val="22"/>
    <w:qFormat/>
    <w:uiPriority w:val="99"/>
    <w:pPr>
      <w:ind w:left="100" w:leftChars="2500"/>
    </w:pPr>
  </w:style>
  <w:style w:type="paragraph" w:styleId="8">
    <w:name w:val="Body Text Indent 2"/>
    <w:basedOn w:val="1"/>
    <w:qFormat/>
    <w:uiPriority w:val="0"/>
    <w:pPr>
      <w:spacing w:after="120" w:line="480" w:lineRule="auto"/>
      <w:ind w:left="420" w:leftChars="200"/>
    </w:pPr>
    <w:rPr>
      <w:rFonts w:ascii="宋体" w:hAnsi="宋体"/>
      <w:color w:val="000000"/>
      <w:sz w:val="28"/>
      <w:szCs w:val="28"/>
    </w:rPr>
  </w:style>
  <w:style w:type="paragraph" w:styleId="9">
    <w:name w:val="footer"/>
    <w:basedOn w:val="1"/>
    <w:link w:val="23"/>
    <w:qFormat/>
    <w:uiPriority w:val="99"/>
    <w:pPr>
      <w:tabs>
        <w:tab w:val="center" w:pos="4153"/>
        <w:tab w:val="right" w:pos="8306"/>
      </w:tabs>
      <w:snapToGrid w:val="0"/>
      <w:jc w:val="left"/>
    </w:pPr>
    <w:rPr>
      <w:sz w:val="18"/>
    </w:rPr>
  </w:style>
  <w:style w:type="paragraph" w:styleId="10">
    <w:name w:val="header"/>
    <w:basedOn w:val="1"/>
    <w:link w:val="24"/>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qFormat/>
    <w:uiPriority w:val="0"/>
    <w:rPr>
      <w:sz w:val="24"/>
      <w:szCs w:val="22"/>
    </w:rPr>
  </w:style>
  <w:style w:type="paragraph" w:styleId="12">
    <w:name w:val="Body Text First Indent"/>
    <w:basedOn w:val="6"/>
    <w:next w:val="1"/>
    <w:qFormat/>
    <w:uiPriority w:val="0"/>
    <w:pPr>
      <w:spacing w:after="120"/>
      <w:ind w:firstLine="420" w:firstLineChars="100"/>
    </w:pPr>
  </w:style>
  <w:style w:type="character" w:styleId="15">
    <w:name w:val="Strong"/>
    <w:basedOn w:val="16"/>
    <w:qFormat/>
    <w:uiPriority w:val="99"/>
    <w:rPr>
      <w:rFonts w:cs="Times New Roman"/>
      <w:b/>
    </w:rPr>
  </w:style>
  <w:style w:type="character" w:customStyle="1" w:styleId="16">
    <w:name w:val="NormalCharacter"/>
    <w:semiHidden/>
    <w:qFormat/>
    <w:uiPriority w:val="99"/>
  </w:style>
  <w:style w:type="character" w:styleId="17">
    <w:name w:val="annotation reference"/>
    <w:qFormat/>
    <w:uiPriority w:val="0"/>
    <w:rPr>
      <w:sz w:val="21"/>
      <w:szCs w:val="21"/>
    </w:rPr>
  </w:style>
  <w:style w:type="paragraph" w:customStyle="1" w:styleId="18">
    <w:name w:val="正文首行缩进 21"/>
    <w:basedOn w:val="4"/>
    <w:next w:val="1"/>
    <w:qFormat/>
    <w:uiPriority w:val="0"/>
    <w:pPr>
      <w:spacing w:afterLines="0"/>
      <w:ind w:left="420" w:firstLine="420" w:firstLineChars="200"/>
    </w:pPr>
    <w:rPr>
      <w:lang w:eastAsia="zh-CN" w:bidi="ar-SA"/>
    </w:rPr>
  </w:style>
  <w:style w:type="paragraph" w:customStyle="1" w:styleId="19">
    <w:name w:val="样式 正文缩进正文缩进2正文缩进 Char Char正文缩进 Char Char Char Char正文缩进 Char ..."/>
    <w:basedOn w:val="2"/>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0">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正文文本 Char"/>
    <w:basedOn w:val="14"/>
    <w:link w:val="6"/>
    <w:semiHidden/>
    <w:qFormat/>
    <w:uiPriority w:val="99"/>
    <w:rPr>
      <w:color w:val="000000"/>
      <w:kern w:val="0"/>
      <w:szCs w:val="20"/>
    </w:rPr>
  </w:style>
  <w:style w:type="character" w:customStyle="1" w:styleId="22">
    <w:name w:val="日期 Char"/>
    <w:basedOn w:val="14"/>
    <w:link w:val="7"/>
    <w:semiHidden/>
    <w:qFormat/>
    <w:uiPriority w:val="99"/>
    <w:rPr>
      <w:color w:val="000000"/>
      <w:kern w:val="0"/>
      <w:szCs w:val="20"/>
    </w:rPr>
  </w:style>
  <w:style w:type="character" w:customStyle="1" w:styleId="23">
    <w:name w:val="页脚 Char"/>
    <w:basedOn w:val="16"/>
    <w:link w:val="9"/>
    <w:qFormat/>
    <w:locked/>
    <w:uiPriority w:val="99"/>
    <w:rPr>
      <w:rFonts w:cs="Times New Roman"/>
      <w:color w:val="000000"/>
      <w:sz w:val="18"/>
    </w:rPr>
  </w:style>
  <w:style w:type="character" w:customStyle="1" w:styleId="24">
    <w:name w:val="页眉 Char"/>
    <w:basedOn w:val="16"/>
    <w:link w:val="10"/>
    <w:qFormat/>
    <w:locked/>
    <w:uiPriority w:val="99"/>
    <w:rPr>
      <w:rFonts w:cs="Times New Roman"/>
      <w:color w:val="000000"/>
      <w:sz w:val="18"/>
      <w:szCs w:val="18"/>
    </w:rPr>
  </w:style>
  <w:style w:type="paragraph" w:customStyle="1" w:styleId="25">
    <w:name w:val="BodyText"/>
    <w:basedOn w:val="1"/>
    <w:qFormat/>
    <w:uiPriority w:val="99"/>
    <w:pPr>
      <w:spacing w:after="120"/>
    </w:pPr>
    <w:rPr>
      <w:rFonts w:ascii="Calibri" w:hAnsi="Calibri"/>
      <w:szCs w:val="22"/>
    </w:rPr>
  </w:style>
  <w:style w:type="table" w:customStyle="1" w:styleId="26">
    <w:name w:val="TableNormal"/>
    <w:semiHidden/>
    <w:qFormat/>
    <w:uiPriority w:val="99"/>
    <w:tblPr>
      <w:tblCellMar>
        <w:top w:w="0" w:type="dxa"/>
        <w:left w:w="0" w:type="dxa"/>
        <w:bottom w:w="0" w:type="dxa"/>
        <w:right w:w="0" w:type="dxa"/>
      </w:tblCellMar>
    </w:tblPr>
  </w:style>
  <w:style w:type="character" w:customStyle="1" w:styleId="27">
    <w:name w:val="UserStyle_0"/>
    <w:basedOn w:val="16"/>
    <w:qFormat/>
    <w:uiPriority w:val="99"/>
    <w:rPr>
      <w:rFonts w:ascii="Times New Roman" w:eastAsia="宋体" w:cs="Times New Roman"/>
      <w:color w:val="0000FF"/>
      <w:sz w:val="21"/>
      <w:u w:val="single"/>
      <w:lang w:val="en-US" w:eastAsia="zh-CN"/>
    </w:rPr>
  </w:style>
  <w:style w:type="character" w:customStyle="1" w:styleId="28">
    <w:name w:val="AnnotationReference"/>
    <w:qFormat/>
    <w:uiPriority w:val="99"/>
    <w:rPr>
      <w:sz w:val="21"/>
    </w:rPr>
  </w:style>
  <w:style w:type="character" w:customStyle="1" w:styleId="29">
    <w:name w:val="UserStyle_2"/>
    <w:basedOn w:val="16"/>
    <w:qFormat/>
    <w:uiPriority w:val="99"/>
    <w:rPr>
      <w:rFonts w:ascii="Times New Roman" w:eastAsia="宋体" w:cs="Times New Roman"/>
      <w:color w:val="0000FF"/>
      <w:sz w:val="21"/>
      <w:u w:val="single"/>
      <w:lang w:val="en-US" w:eastAsia="zh-CN"/>
    </w:rPr>
  </w:style>
  <w:style w:type="character" w:customStyle="1" w:styleId="30">
    <w:name w:val="UserStyle_3"/>
    <w:semiHidden/>
    <w:qFormat/>
    <w:uiPriority w:val="99"/>
    <w:rPr>
      <w:rFonts w:ascii="Times New Roman" w:hAnsi="Times New Roman" w:eastAsia="宋体"/>
      <w:kern w:val="2"/>
      <w:sz w:val="21"/>
      <w:lang w:val="en-US" w:eastAsia="zh-CN"/>
    </w:rPr>
  </w:style>
  <w:style w:type="paragraph" w:customStyle="1" w:styleId="31">
    <w:name w:val="UserStyle_5"/>
    <w:basedOn w:val="1"/>
    <w:next w:val="32"/>
    <w:qFormat/>
    <w:uiPriority w:val="99"/>
    <w:pPr>
      <w:spacing w:before="566" w:after="544" w:line="566" w:lineRule="atLeast"/>
      <w:jc w:val="center"/>
    </w:pPr>
    <w:rPr>
      <w:rFonts w:ascii="Arial" w:eastAsia="黑体"/>
      <w:sz w:val="54"/>
    </w:rPr>
  </w:style>
  <w:style w:type="paragraph" w:customStyle="1" w:styleId="32">
    <w:name w:val="UserStyle_6"/>
    <w:basedOn w:val="1"/>
    <w:next w:val="33"/>
    <w:qFormat/>
    <w:uiPriority w:val="99"/>
    <w:pPr>
      <w:spacing w:before="187" w:after="175" w:line="374" w:lineRule="atLeast"/>
      <w:jc w:val="center"/>
    </w:pPr>
    <w:rPr>
      <w:sz w:val="36"/>
    </w:rPr>
  </w:style>
  <w:style w:type="paragraph" w:customStyle="1" w:styleId="33">
    <w:name w:val="UserStyle_16"/>
    <w:basedOn w:val="1"/>
    <w:next w:val="34"/>
    <w:qFormat/>
    <w:uiPriority w:val="99"/>
    <w:pPr>
      <w:spacing w:before="158" w:after="153" w:line="323" w:lineRule="atLeast"/>
      <w:jc w:val="center"/>
    </w:pPr>
    <w:rPr>
      <w:rFonts w:ascii="Arial" w:eastAsia="黑体"/>
      <w:sz w:val="31"/>
    </w:rPr>
  </w:style>
  <w:style w:type="paragraph" w:customStyle="1" w:styleId="34">
    <w:name w:val="UserStyle_10"/>
    <w:basedOn w:val="1"/>
    <w:next w:val="35"/>
    <w:qFormat/>
    <w:uiPriority w:val="99"/>
    <w:pPr>
      <w:spacing w:line="289" w:lineRule="atLeast"/>
      <w:jc w:val="center"/>
    </w:pPr>
    <w:rPr>
      <w:sz w:val="28"/>
    </w:rPr>
  </w:style>
  <w:style w:type="paragraph" w:customStyle="1" w:styleId="35">
    <w:name w:val="UserStyle_11"/>
    <w:basedOn w:val="1"/>
    <w:next w:val="1"/>
    <w:qFormat/>
    <w:uiPriority w:val="99"/>
    <w:pPr>
      <w:spacing w:before="175" w:after="102" w:line="351" w:lineRule="atLeast"/>
    </w:pPr>
    <w:rPr>
      <w:rFonts w:eastAsia="黑体"/>
    </w:rPr>
  </w:style>
  <w:style w:type="paragraph" w:customStyle="1" w:styleId="36">
    <w:name w:val="UserStyle_7"/>
    <w:basedOn w:val="1"/>
    <w:next w:val="1"/>
    <w:qFormat/>
    <w:uiPriority w:val="99"/>
    <w:pPr>
      <w:tabs>
        <w:tab w:val="left" w:leader="dot" w:pos="8503"/>
      </w:tabs>
      <w:spacing w:line="317" w:lineRule="atLeast"/>
      <w:ind w:firstLine="629"/>
    </w:pPr>
  </w:style>
  <w:style w:type="paragraph" w:customStyle="1" w:styleId="37">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8">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9">
    <w:name w:val="UserStyle_9"/>
    <w:basedOn w:val="1"/>
    <w:next w:val="1"/>
    <w:qFormat/>
    <w:uiPriority w:val="99"/>
    <w:pPr>
      <w:tabs>
        <w:tab w:val="left" w:leader="dot" w:pos="8503"/>
      </w:tabs>
      <w:spacing w:line="317" w:lineRule="atLeast"/>
      <w:ind w:firstLine="419"/>
    </w:pPr>
  </w:style>
  <w:style w:type="paragraph" w:customStyle="1" w:styleId="40">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1">
    <w:name w:val="UserStyle_13"/>
    <w:basedOn w:val="1"/>
    <w:qFormat/>
    <w:uiPriority w:val="99"/>
    <w:pPr>
      <w:spacing w:line="240" w:lineRule="auto"/>
      <w:textAlignment w:val="auto"/>
    </w:pPr>
    <w:rPr>
      <w:sz w:val="32"/>
      <w:szCs w:val="32"/>
    </w:rPr>
  </w:style>
  <w:style w:type="paragraph" w:customStyle="1" w:styleId="42">
    <w:name w:val="UserStyle_14"/>
    <w:basedOn w:val="1"/>
    <w:qFormat/>
    <w:uiPriority w:val="99"/>
    <w:pPr>
      <w:spacing w:line="600" w:lineRule="atLeast"/>
      <w:jc w:val="center"/>
      <w:textAlignment w:val="auto"/>
    </w:pPr>
    <w:rPr>
      <w:rFonts w:ascii="Arial" w:hAnsi="Arial"/>
      <w:sz w:val="24"/>
      <w:szCs w:val="24"/>
    </w:rPr>
  </w:style>
  <w:style w:type="paragraph" w:customStyle="1" w:styleId="43">
    <w:name w:val="UserStyle_15"/>
    <w:basedOn w:val="1"/>
    <w:next w:val="1"/>
    <w:qFormat/>
    <w:uiPriority w:val="99"/>
    <w:pPr>
      <w:tabs>
        <w:tab w:val="left" w:leader="dot" w:pos="8503"/>
      </w:tabs>
      <w:spacing w:line="317" w:lineRule="atLeast"/>
      <w:ind w:firstLine="209"/>
    </w:pPr>
  </w:style>
  <w:style w:type="paragraph" w:customStyle="1" w:styleId="44">
    <w:name w:val="UserStyle_17"/>
    <w:basedOn w:val="1"/>
    <w:qFormat/>
    <w:uiPriority w:val="99"/>
    <w:pPr>
      <w:spacing w:line="480" w:lineRule="exact"/>
      <w:ind w:firstLine="420" w:firstLineChars="200"/>
      <w:textAlignment w:val="auto"/>
    </w:pPr>
    <w:rPr>
      <w:kern w:val="2"/>
      <w:sz w:val="24"/>
      <w:szCs w:val="24"/>
    </w:rPr>
  </w:style>
  <w:style w:type="table" w:customStyle="1" w:styleId="45">
    <w:name w:val="TableGrid"/>
    <w:basedOn w:val="26"/>
    <w:qFormat/>
    <w:uiPriority w:val="99"/>
    <w:tblPr>
      <w:tblCellMar>
        <w:top w:w="0" w:type="dxa"/>
        <w:left w:w="0" w:type="dxa"/>
        <w:bottom w:w="0" w:type="dxa"/>
        <w:right w:w="0" w:type="dxa"/>
      </w:tblCellMar>
    </w:tblPr>
  </w:style>
  <w:style w:type="paragraph" w:customStyle="1" w:styleId="46">
    <w:name w:val="BodyTextIndent"/>
    <w:basedOn w:val="1"/>
    <w:qFormat/>
    <w:uiPriority w:val="99"/>
    <w:pPr>
      <w:spacing w:after="120"/>
      <w:ind w:left="420" w:leftChars="200"/>
    </w:pPr>
  </w:style>
  <w:style w:type="paragraph" w:customStyle="1" w:styleId="47">
    <w:name w:val="BodyText1I2"/>
    <w:basedOn w:val="46"/>
    <w:qFormat/>
    <w:uiPriority w:val="99"/>
    <w:pPr>
      <w:ind w:firstLine="420" w:firstLineChars="200"/>
    </w:pPr>
  </w:style>
  <w:style w:type="paragraph" w:customStyle="1" w:styleId="48">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9">
    <w:name w:val="Table Paragraph"/>
    <w:basedOn w:val="1"/>
    <w:qFormat/>
    <w:uiPriority w:val="1"/>
  </w:style>
  <w:style w:type="table" w:customStyle="1" w:styleId="50">
    <w:name w:val="Table Normal"/>
    <w:autoRedefine/>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1737</Words>
  <Characters>1850</Characters>
  <Lines>10</Lines>
  <Paragraphs>3</Paragraphs>
  <TotalTime>6</TotalTime>
  <ScaleCrop>false</ScaleCrop>
  <LinksUpToDate>false</LinksUpToDate>
  <CharactersWithSpaces>1992</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2020-09-03T08:09:00Z</cp:lastPrinted>
  <dcterms:modified xsi:type="dcterms:W3CDTF">2024-11-04T01:27:43Z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4B223CA2B5B24F0BBC3925F45DAE3489</vt:lpwstr>
  </property>
</Properties>
</file>