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0"/>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719E98D6">
            <w:pPr>
              <w:spacing w:line="600" w:lineRule="exact"/>
              <w:jc w:val="center"/>
              <w:rPr>
                <w:rFonts w:eastAsia="仿宋"/>
                <w:color w:val="000000"/>
              </w:rPr>
            </w:pPr>
            <w:r>
              <w:rPr>
                <w:rFonts w:hint="eastAsia" w:ascii="Times New Roman" w:hAnsi="Times New Roman" w:eastAsia="宋体" w:cs="Times New Roman"/>
                <w:szCs w:val="22"/>
              </w:rPr>
              <w:t>国能包头能源有限责任公司万利一矿中部回风立井建设项目</w:t>
            </w:r>
          </w:p>
        </w:tc>
        <w:tc>
          <w:tcPr>
            <w:tcW w:w="397" w:type="dxa"/>
            <w:vAlign w:val="center"/>
          </w:tcPr>
          <w:p w14:paraId="53D2BE93">
            <w:pPr>
              <w:spacing w:line="600" w:lineRule="exact"/>
              <w:jc w:val="center"/>
              <w:rPr>
                <w:color w:val="000000"/>
                <w:szCs w:val="21"/>
              </w:rPr>
            </w:pPr>
            <w:r>
              <w:rPr>
                <w:rFonts w:hint="eastAsia"/>
                <w:color w:val="000000"/>
                <w:szCs w:val="21"/>
              </w:rPr>
              <w:t>内蒙古自治区鄂尔多斯市东胜区铜川镇万利一矿井田</w:t>
            </w:r>
            <w:r>
              <w:rPr>
                <w:rFonts w:hint="eastAsia"/>
                <w:color w:val="000000"/>
                <w:szCs w:val="21"/>
                <w:lang w:val="en-US" w:eastAsia="zh-CN"/>
              </w:rPr>
              <w:t>内</w:t>
            </w:r>
          </w:p>
        </w:tc>
        <w:tc>
          <w:tcPr>
            <w:tcW w:w="465" w:type="dxa"/>
            <w:vAlign w:val="center"/>
          </w:tcPr>
          <w:p w14:paraId="25BCC080">
            <w:pPr>
              <w:spacing w:line="600" w:lineRule="exact"/>
              <w:jc w:val="center"/>
              <w:rPr>
                <w:color w:val="000000"/>
                <w:szCs w:val="21"/>
              </w:rPr>
            </w:pPr>
            <w:r>
              <w:rPr>
                <w:rFonts w:hint="eastAsia"/>
                <w:color w:val="000000"/>
                <w:szCs w:val="21"/>
                <w:lang w:eastAsia="zh-CN"/>
              </w:rPr>
              <w:t>国能包头能源有限责任公司万利一矿</w:t>
            </w:r>
          </w:p>
        </w:tc>
        <w:tc>
          <w:tcPr>
            <w:tcW w:w="675" w:type="dxa"/>
            <w:vAlign w:val="center"/>
          </w:tcPr>
          <w:p w14:paraId="5D04F640">
            <w:pPr>
              <w:spacing w:line="600" w:lineRule="exact"/>
              <w:jc w:val="center"/>
              <w:rPr>
                <w:color w:val="000000"/>
                <w:szCs w:val="21"/>
              </w:rPr>
            </w:pPr>
            <w:r>
              <w:rPr>
                <w:rFonts w:hint="eastAsia" w:ascii="Times New Roman" w:hAnsi="Times New Roman" w:eastAsia="宋体" w:cs="Times New Roman"/>
                <w:szCs w:val="22"/>
              </w:rPr>
              <w:t>内蒙古信德工程技术咨询服务有限公司</w:t>
            </w:r>
          </w:p>
        </w:tc>
        <w:tc>
          <w:tcPr>
            <w:tcW w:w="2555" w:type="dxa"/>
            <w:vAlign w:val="center"/>
          </w:tcPr>
          <w:p w14:paraId="3F3E6796">
            <w:pPr>
              <w:spacing w:line="360" w:lineRule="auto"/>
              <w:ind w:firstLine="420" w:firstLineChars="200"/>
              <w:rPr>
                <w:color w:val="000000"/>
                <w:szCs w:val="21"/>
              </w:rPr>
            </w:pPr>
            <w:r>
              <w:rPr>
                <w:rFonts w:hint="eastAsia"/>
                <w:color w:val="000000"/>
                <w:szCs w:val="21"/>
                <w:lang w:val="en-US" w:eastAsia="zh-CN"/>
              </w:rPr>
              <w:t>一、该项目属于扩建项目，位于东胜区铜川镇万利一矿井田内。项目总占地面积17355平方米，总投资9922.22万元，其中环保投资107万元。主要建设内容及规模：新建1座中部回风立井,井筒净直径6.5米，净断面16.59平方米，井筒深度245米，建成后用于矿井回风兼做安全出口，配套建设公辅工程、储运工程和环保工程。</w:t>
            </w:r>
          </w:p>
        </w:tc>
        <w:tc>
          <w:tcPr>
            <w:tcW w:w="4877" w:type="dxa"/>
            <w:vAlign w:val="center"/>
          </w:tcPr>
          <w:p w14:paraId="34E228A1">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2D356C0C">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14:paraId="7B363181">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14:paraId="7EC90F2F">
            <w:pPr>
              <w:spacing w:line="360" w:lineRule="auto"/>
              <w:jc w:val="left"/>
              <w:rPr>
                <w:rFonts w:hint="eastAsia"/>
                <w:color w:val="000000"/>
                <w:szCs w:val="21"/>
              </w:rPr>
            </w:pPr>
            <w:r>
              <w:rPr>
                <w:rFonts w:hint="eastAsia"/>
                <w:color w:val="000000"/>
                <w:szCs w:val="21"/>
                <w:lang w:val="en-US" w:eastAsia="zh-CN"/>
              </w:rPr>
              <w:t>1、</w:t>
            </w:r>
            <w:r>
              <w:rPr>
                <w:rFonts w:hint="eastAsia"/>
                <w:color w:val="000000"/>
                <w:szCs w:val="21"/>
              </w:rPr>
              <w:t>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14:paraId="15504C0F">
            <w:pPr>
              <w:spacing w:line="360" w:lineRule="auto"/>
              <w:jc w:val="left"/>
              <w:rPr>
                <w:rFonts w:hint="eastAsia"/>
                <w:color w:val="000000"/>
                <w:szCs w:val="21"/>
              </w:rPr>
            </w:pPr>
            <w:r>
              <w:rPr>
                <w:rFonts w:hint="eastAsia"/>
                <w:color w:val="000000"/>
                <w:szCs w:val="21"/>
                <w:lang w:val="en-US" w:eastAsia="zh-CN"/>
              </w:rPr>
              <w:t>2、施工人员生活污水</w:t>
            </w:r>
            <w:r>
              <w:rPr>
                <w:rFonts w:hint="eastAsia"/>
                <w:color w:val="000000"/>
                <w:szCs w:val="21"/>
              </w:rPr>
              <w:t>采用临时化粪池收集处理，</w:t>
            </w:r>
            <w:r>
              <w:rPr>
                <w:rFonts w:hint="eastAsia"/>
                <w:color w:val="000000"/>
                <w:szCs w:val="21"/>
                <w:lang w:val="en-US" w:eastAsia="zh-CN"/>
              </w:rPr>
              <w:t>定期清掏，用罐装汽车运至</w:t>
            </w:r>
            <w:r>
              <w:rPr>
                <w:rFonts w:hint="eastAsia"/>
                <w:color w:val="000000"/>
                <w:szCs w:val="21"/>
                <w:lang w:val="zh-CN" w:eastAsia="zh-CN"/>
              </w:rPr>
              <w:t>万利一矿</w:t>
            </w:r>
            <w:r>
              <w:rPr>
                <w:rFonts w:hint="eastAsia"/>
                <w:color w:val="000000"/>
                <w:szCs w:val="21"/>
                <w:lang w:val="en-US" w:eastAsia="zh-CN"/>
              </w:rPr>
              <w:t>生活污水处理站处理，</w:t>
            </w:r>
            <w:r>
              <w:rPr>
                <w:rFonts w:hint="eastAsia"/>
                <w:color w:val="000000"/>
                <w:szCs w:val="21"/>
              </w:rPr>
              <w:t>不外排</w:t>
            </w:r>
            <w:r>
              <w:rPr>
                <w:rFonts w:hint="eastAsia"/>
                <w:color w:val="000000"/>
                <w:szCs w:val="21"/>
                <w:lang w:eastAsia="zh-CN"/>
              </w:rPr>
              <w:t>；</w:t>
            </w:r>
            <w:r>
              <w:rPr>
                <w:rFonts w:hint="eastAsia"/>
                <w:color w:val="000000"/>
                <w:szCs w:val="21"/>
                <w:lang w:val="en-US" w:eastAsia="zh-CN"/>
              </w:rPr>
              <w:t>施工涌水用罐车拉运至矿井水处理站处理，不外排</w:t>
            </w:r>
            <w:r>
              <w:rPr>
                <w:rFonts w:hint="eastAsia"/>
                <w:color w:val="000000"/>
                <w:szCs w:val="21"/>
              </w:rPr>
              <w:t>。</w:t>
            </w:r>
          </w:p>
          <w:p w14:paraId="21067637">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3、选用低噪声施工设备，合理安排作业时间，避免夜间施工，控制车辆时速。施工期噪声执行《建筑施工场界环境噪声排放标准》（GB12523-2011）。</w:t>
            </w:r>
          </w:p>
          <w:p w14:paraId="337018DF">
            <w:pPr>
              <w:spacing w:line="360" w:lineRule="auto"/>
              <w:jc w:val="left"/>
              <w:rPr>
                <w:rFonts w:hint="eastAsia"/>
                <w:color w:val="000000"/>
                <w:szCs w:val="21"/>
                <w:lang w:val="en-US" w:eastAsia="zh-CN"/>
              </w:rPr>
            </w:pPr>
            <w:r>
              <w:rPr>
                <w:rFonts w:hint="eastAsia"/>
                <w:color w:val="000000"/>
                <w:szCs w:val="21"/>
                <w:lang w:val="en-US" w:eastAsia="zh-CN"/>
              </w:rPr>
              <w:t>4、生活垃圾集中收集在垃圾箱，定期交由环卫部门统一处置。</w:t>
            </w:r>
          </w:p>
          <w:p w14:paraId="65C51D2B">
            <w:pPr>
              <w:spacing w:line="360" w:lineRule="auto"/>
              <w:jc w:val="left"/>
              <w:rPr>
                <w:rFonts w:hint="eastAsia"/>
                <w:color w:val="000000"/>
                <w:szCs w:val="21"/>
              </w:rPr>
            </w:pPr>
            <w:r>
              <w:rPr>
                <w:rFonts w:hint="eastAsia"/>
                <w:color w:val="000000"/>
                <w:szCs w:val="21"/>
                <w:lang w:val="en-US" w:eastAsia="zh-CN"/>
              </w:rPr>
              <w:t>5、</w:t>
            </w:r>
            <w:r>
              <w:rPr>
                <w:rFonts w:hint="eastAsia"/>
                <w:color w:val="000000"/>
                <w:szCs w:val="21"/>
              </w:rPr>
              <w:t>土石</w:t>
            </w:r>
            <w:r>
              <w:rPr>
                <w:rFonts w:hint="eastAsia"/>
                <w:color w:val="000000"/>
                <w:szCs w:val="21"/>
                <w:lang w:val="en-US" w:eastAsia="zh-CN"/>
              </w:rPr>
              <w:t>方开挖过程中应严格按照设计要求施工，尽可能缩小施工活动范围，减少裸露土地面积和扬尘。挖方过程中表土方与弃土方分开放置，弃土用于场地平整回填，表土用于绿化覆土；掘井过程中产生的矸石部分用于场地回填，剩余部分由鄂尔多斯市东胜区水务投资建设集团有限公司运离出场至东胜区北部添尔漫梁村固废综合利用项目进行处理；掘井过程中产生的原煤运至万利一矿洗煤厂。施工结</w:t>
            </w:r>
            <w:r>
              <w:rPr>
                <w:rFonts w:hint="eastAsia"/>
                <w:color w:val="000000"/>
                <w:szCs w:val="21"/>
                <w:lang w:eastAsia="zh-CN"/>
              </w:rPr>
              <w:t>束后须尽快对临时占地和周边区域进行生态植被恢复，防止水土流失。</w:t>
            </w:r>
            <w:r>
              <w:rPr>
                <w:rFonts w:hint="eastAsia"/>
                <w:color w:val="000000"/>
                <w:szCs w:val="21"/>
                <w:lang w:val="en-US" w:eastAsia="zh-CN"/>
              </w:rPr>
              <w:t xml:space="preserve">    </w:t>
            </w:r>
          </w:p>
          <w:p w14:paraId="1EFE9B7A">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14:paraId="2470E70B">
            <w:pPr>
              <w:spacing w:line="360" w:lineRule="auto"/>
              <w:jc w:val="left"/>
              <w:rPr>
                <w:rFonts w:hint="eastAsia"/>
                <w:color w:val="000000"/>
                <w:szCs w:val="21"/>
                <w:lang w:val="en-US" w:eastAsia="zh-CN"/>
              </w:rPr>
            </w:pPr>
            <w:r>
              <w:rPr>
                <w:rFonts w:hint="eastAsia"/>
                <w:color w:val="000000"/>
                <w:szCs w:val="21"/>
                <w:lang w:val="en-US" w:eastAsia="zh-CN"/>
              </w:rPr>
              <w:t>1、运营期废气排放执行《煤炭工业污染物排放标准》（GB20426-2006）表5煤炭工业无组织排放限值。</w:t>
            </w:r>
          </w:p>
          <w:p w14:paraId="3C957A6F">
            <w:pPr>
              <w:spacing w:line="360" w:lineRule="auto"/>
              <w:jc w:val="left"/>
              <w:rPr>
                <w:rFonts w:hint="eastAsia"/>
                <w:color w:val="000000"/>
                <w:szCs w:val="21"/>
                <w:lang w:val="en-US" w:eastAsia="zh-CN"/>
              </w:rPr>
            </w:pPr>
            <w:r>
              <w:rPr>
                <w:rFonts w:hint="eastAsia"/>
                <w:color w:val="000000"/>
                <w:szCs w:val="21"/>
                <w:lang w:val="en-US" w:eastAsia="zh-CN"/>
              </w:rPr>
              <w:t>2、运营期不产生生产废水；生活污水暂存在临时化粪池内，定期清掏，用罐装汽车运至</w:t>
            </w:r>
            <w:r>
              <w:rPr>
                <w:rFonts w:hint="eastAsia"/>
                <w:color w:val="000000"/>
                <w:szCs w:val="21"/>
                <w:lang w:val="zh-CN" w:eastAsia="zh-CN"/>
              </w:rPr>
              <w:t>万利一矿</w:t>
            </w:r>
            <w:r>
              <w:rPr>
                <w:rFonts w:hint="eastAsia"/>
                <w:color w:val="000000"/>
                <w:szCs w:val="21"/>
                <w:lang w:val="en-US" w:eastAsia="zh-CN"/>
              </w:rPr>
              <w:t>生活污水处理站处理。</w:t>
            </w:r>
          </w:p>
          <w:p w14:paraId="79B69E14">
            <w:pPr>
              <w:spacing w:line="360" w:lineRule="auto"/>
              <w:jc w:val="left"/>
              <w:rPr>
                <w:rFonts w:hint="eastAsia"/>
                <w:color w:val="000000"/>
                <w:szCs w:val="21"/>
                <w:lang w:val="en-US" w:eastAsia="zh-CN"/>
              </w:rPr>
            </w:pPr>
            <w:r>
              <w:rPr>
                <w:rFonts w:hint="eastAsia"/>
                <w:color w:val="000000"/>
                <w:szCs w:val="21"/>
                <w:lang w:val="en-US" w:eastAsia="zh-CN"/>
              </w:rPr>
              <w:t>3、运营期厂界噪声执行《工业企业厂界环境噪声排放标准》（GB12348-2008）中3类标准。</w:t>
            </w:r>
          </w:p>
          <w:p w14:paraId="0426661D">
            <w:pPr>
              <w:spacing w:line="360" w:lineRule="auto"/>
              <w:jc w:val="left"/>
              <w:rPr>
                <w:rFonts w:hint="eastAsia"/>
                <w:color w:val="000000"/>
                <w:szCs w:val="21"/>
              </w:rPr>
            </w:pPr>
            <w:r>
              <w:rPr>
                <w:rFonts w:hint="eastAsia"/>
                <w:color w:val="000000"/>
                <w:szCs w:val="21"/>
                <w:lang w:val="en-US" w:eastAsia="zh-CN"/>
              </w:rPr>
              <w:t>4、妥善处置各类固体废弃物。建设单位须严格按照《一般工业固体废物贮存和填埋污染控制标准》（GB18599-2020）处置一般固废，不得乱弃。危险废物暂存于矿井工业场地现有的危废暂存库，执行《危险废物贮存污染控制标准》（GB18597-2023）。危险废物收集和运输等均按照《危险废物收集 贮存 运输技术规范》(HJ2025-2012)要求执行。</w:t>
            </w:r>
            <w:r>
              <w:rPr>
                <w:rFonts w:hint="eastAsia"/>
                <w:color w:val="000000"/>
                <w:szCs w:val="21"/>
              </w:rPr>
              <w:t>危废必须由有资质单位处置。</w:t>
            </w:r>
            <w:r>
              <w:rPr>
                <w:rFonts w:hint="eastAsia"/>
                <w:color w:val="000000"/>
                <w:szCs w:val="21"/>
                <w:lang w:val="en-US" w:eastAsia="zh-CN"/>
              </w:rPr>
              <w:t>非正常情况下泄露的危险废物及冲洗水进入废液池中，收集后交由有资质单位处置。</w:t>
            </w:r>
          </w:p>
          <w:p w14:paraId="79914F46">
            <w:pPr>
              <w:spacing w:line="360" w:lineRule="auto"/>
              <w:jc w:val="left"/>
              <w:rPr>
                <w:rFonts w:hint="eastAsia"/>
                <w:color w:val="000000"/>
                <w:szCs w:val="21"/>
                <w:lang w:val="en-US" w:eastAsia="zh-CN"/>
              </w:rPr>
            </w:pPr>
            <w:r>
              <w:rPr>
                <w:rFonts w:hint="eastAsia"/>
                <w:color w:val="000000"/>
                <w:szCs w:val="21"/>
                <w:lang w:val="en-US" w:eastAsia="zh-CN"/>
              </w:rPr>
              <w:t>5、强化环境风险防范，制定突发环境事件应急预案，落实环境风险事故防范措施，提高事故风险防范和污染控制能力。</w:t>
            </w:r>
          </w:p>
          <w:p w14:paraId="7E088810">
            <w:pPr>
              <w:spacing w:line="360" w:lineRule="auto"/>
              <w:jc w:val="left"/>
              <w:rPr>
                <w:rFonts w:hint="eastAsia"/>
                <w:color w:val="000000"/>
                <w:szCs w:val="21"/>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14:paraId="203609BB">
            <w:pPr>
              <w:spacing w:line="360" w:lineRule="auto"/>
              <w:jc w:val="left"/>
              <w:rPr>
                <w:rFonts w:hint="eastAsia"/>
                <w:color w:val="000000"/>
                <w:szCs w:val="21"/>
              </w:rPr>
            </w:pPr>
            <w:r>
              <w:rPr>
                <w:rFonts w:hint="eastAsia"/>
                <w:color w:val="000000"/>
                <w:szCs w:val="21"/>
                <w:lang w:val="en-US" w:eastAsia="zh-CN"/>
              </w:rPr>
              <w:t>四、</w:t>
            </w:r>
            <w:bookmarkStart w:id="0" w:name="_GoBack"/>
            <w:bookmarkEnd w:id="0"/>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31D66976">
            <w:pPr>
              <w:spacing w:line="360" w:lineRule="auto"/>
              <w:jc w:val="left"/>
              <w:rPr>
                <w:color w:val="000000"/>
                <w:szCs w:val="21"/>
              </w:rPr>
            </w:pPr>
            <w:r>
              <w:rPr>
                <w:rFonts w:hint="eastAsia"/>
                <w:color w:val="000000"/>
                <w:szCs w:val="21"/>
                <w:lang w:val="en-US" w:eastAsia="zh-CN"/>
              </w:rPr>
              <w:t>五、</w:t>
            </w:r>
            <w:r>
              <w:rPr>
                <w:rFonts w:hint="eastAsia"/>
                <w:color w:val="000000"/>
                <w:szCs w:val="21"/>
              </w:rPr>
              <w:t>你单位应在收到本批复20日内，将《报告表》（报批版）及批复文件送至鄂尔多斯市生态环境综合行政执法支队东胜区大队，由鄂尔多斯市生态环境综合行政执法支队东胜区大队负责该项目的事中事后监管</w:t>
            </w:r>
            <w:r>
              <w:rPr>
                <w:rFonts w:hint="eastAsia"/>
                <w:color w:val="000000"/>
                <w:szCs w:val="21"/>
                <w:lang w:eastAsia="zh-CN"/>
              </w:rPr>
              <w:t>。</w:t>
            </w:r>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F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MyN2E2MTRmYjM2NzM2N2YwMzQyOWU3MDQxMjhiZDcifQ=="/>
  </w:docVars>
  <w:rsids>
    <w:rsidRoot w:val="007E3F49"/>
    <w:rsid w:val="00655DD2"/>
    <w:rsid w:val="007E3F49"/>
    <w:rsid w:val="008B4FF3"/>
    <w:rsid w:val="00A14109"/>
    <w:rsid w:val="00AC4964"/>
    <w:rsid w:val="00D56621"/>
    <w:rsid w:val="00ED3C94"/>
    <w:rsid w:val="00FE0A91"/>
    <w:rsid w:val="049F3351"/>
    <w:rsid w:val="15947A84"/>
    <w:rsid w:val="3E062DA7"/>
    <w:rsid w:val="497150DD"/>
    <w:rsid w:val="4AD11E12"/>
    <w:rsid w:val="4DE41872"/>
    <w:rsid w:val="54973A8B"/>
    <w:rsid w:val="5E371149"/>
    <w:rsid w:val="641136E8"/>
    <w:rsid w:val="6CA24960"/>
    <w:rsid w:val="7F061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1">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3"/>
    <w:autoRedefine/>
    <w:semiHidden/>
    <w:unhideWhenUsed/>
    <w:qFormat/>
    <w:uiPriority w:val="99"/>
    <w:pPr>
      <w:ind w:firstLine="420" w:firstLineChars="200"/>
    </w:pPr>
  </w:style>
  <w:style w:type="paragraph" w:styleId="3">
    <w:name w:val="Body Text First Indent 2"/>
    <w:basedOn w:val="4"/>
    <w:next w:val="1"/>
    <w:qFormat/>
    <w:uiPriority w:val="99"/>
    <w:pPr>
      <w:spacing w:line="240" w:lineRule="auto"/>
      <w:ind w:firstLine="420"/>
    </w:pPr>
  </w:style>
  <w:style w:type="paragraph" w:styleId="4">
    <w:name w:val="Body Text Indent"/>
    <w:basedOn w:val="1"/>
    <w:next w:val="1"/>
    <w:qFormat/>
    <w:uiPriority w:val="99"/>
    <w:pPr>
      <w:ind w:left="420" w:leftChars="200"/>
    </w:pPr>
  </w:style>
  <w:style w:type="paragraph" w:styleId="5">
    <w:name w:val="Body Text"/>
    <w:basedOn w:val="1"/>
    <w:qFormat/>
    <w:uiPriority w:val="99"/>
    <w:pPr>
      <w:spacing w:after="120"/>
    </w:pPr>
    <w:rPr>
      <w:rFonts w:ascii="Calibri" w:hAnsi="Calibri"/>
      <w:szCs w:val="22"/>
    </w:rPr>
  </w:style>
  <w:style w:type="paragraph" w:styleId="6">
    <w:name w:val="footer"/>
    <w:basedOn w:val="1"/>
    <w:link w:val="13"/>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2"/>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toc 2"/>
    <w:basedOn w:val="1"/>
    <w:next w:val="1"/>
    <w:unhideWhenUsed/>
    <w:qFormat/>
    <w:uiPriority w:val="39"/>
    <w:pPr>
      <w:ind w:left="420" w:leftChars="200"/>
    </w:pPr>
  </w:style>
  <w:style w:type="paragraph" w:styleId="9">
    <w:name w:val="Body Text 2"/>
    <w:basedOn w:val="1"/>
    <w:next w:val="1"/>
    <w:qFormat/>
    <w:uiPriority w:val="0"/>
    <w:pPr>
      <w:spacing w:after="120" w:line="480" w:lineRule="auto"/>
    </w:pPr>
  </w:style>
  <w:style w:type="character" w:customStyle="1" w:styleId="12">
    <w:name w:val="页眉 字符"/>
    <w:basedOn w:val="11"/>
    <w:link w:val="7"/>
    <w:autoRedefine/>
    <w:qFormat/>
    <w:uiPriority w:val="99"/>
    <w:rPr>
      <w:sz w:val="18"/>
      <w:szCs w:val="18"/>
    </w:rPr>
  </w:style>
  <w:style w:type="character" w:customStyle="1" w:styleId="13">
    <w:name w:val="页脚 字符"/>
    <w:basedOn w:val="11"/>
    <w:link w:val="6"/>
    <w:autoRedefine/>
    <w:qFormat/>
    <w:uiPriority w:val="99"/>
    <w:rPr>
      <w:sz w:val="18"/>
      <w:szCs w:val="18"/>
    </w:rPr>
  </w:style>
  <w:style w:type="character" w:customStyle="1" w:styleId="14">
    <w:name w:val="NormalCharacter"/>
    <w:autoRedefine/>
    <w:semiHidden/>
    <w:qFormat/>
    <w:uiPriority w:val="99"/>
  </w:style>
  <w:style w:type="paragraph" w:customStyle="1" w:styleId="15">
    <w:name w:val="图表"/>
    <w:basedOn w:val="4"/>
    <w:autoRedefine/>
    <w:qFormat/>
    <w:uiPriority w:val="0"/>
    <w:pPr>
      <w:widowControl/>
      <w:autoSpaceDE w:val="0"/>
      <w:autoSpaceDN w:val="0"/>
      <w:adjustRightInd w:val="0"/>
      <w:snapToGrid w:val="0"/>
      <w:spacing w:after="0" w:line="360" w:lineRule="auto"/>
      <w:ind w:left="0" w:leftChars="0"/>
      <w:jc w:val="center"/>
    </w:pPr>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1878</Words>
  <Characters>2042</Characters>
  <Lines>11</Lines>
  <Paragraphs>3</Paragraphs>
  <TotalTime>0</TotalTime>
  <ScaleCrop>false</ScaleCrop>
  <LinksUpToDate>false</LinksUpToDate>
  <CharactersWithSpaces>2099</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2024-11-04T08:25:04Z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8A8837DC28804F048B97D671515894C8_12</vt:lpwstr>
  </property>
</Properties>
</file>