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eastAsia="仿宋"/>
                <w:color w:val="000000"/>
              </w:rPr>
              <w:t>鄂尔多斯市琛丰水泥制品有限公司干粉砂浆搅拌站项目</w:t>
            </w:r>
          </w:p>
        </w:tc>
        <w:tc>
          <w:tcPr>
            <w:tcW w:w="397" w:type="dxa"/>
            <w:vAlign w:val="center"/>
          </w:tcPr>
          <w:p w14:paraId="53D2BE93">
            <w:pPr>
              <w:spacing w:line="600" w:lineRule="exact"/>
              <w:jc w:val="center"/>
              <w:rPr>
                <w:color w:val="000000"/>
                <w:szCs w:val="21"/>
              </w:rPr>
            </w:pPr>
            <w:r>
              <w:rPr>
                <w:rFonts w:hint="eastAsia" w:ascii="Times New Roman" w:hAnsi="Times New Roman" w:eastAsia="宋体" w:cs="Times New Roman"/>
                <w:szCs w:val="22"/>
              </w:rPr>
              <w:t>内蒙古自治区鄂尔多斯市东胜区罕台镇商砼</w:t>
            </w:r>
            <w:r>
              <w:rPr>
                <w:rFonts w:hint="eastAsia" w:ascii="Times New Roman" w:hAnsi="Times New Roman" w:eastAsia="宋体" w:cs="Times New Roman"/>
                <w:szCs w:val="22"/>
                <w:lang w:val="en-US" w:eastAsia="zh-CN"/>
              </w:rPr>
              <w:t>工业</w:t>
            </w:r>
            <w:r>
              <w:rPr>
                <w:rFonts w:hint="eastAsia" w:ascii="Times New Roman" w:hAnsi="Times New Roman" w:eastAsia="宋体" w:cs="Times New Roman"/>
                <w:szCs w:val="22"/>
              </w:rPr>
              <w:t>园区</w:t>
            </w:r>
          </w:p>
        </w:tc>
        <w:tc>
          <w:tcPr>
            <w:tcW w:w="465" w:type="dxa"/>
            <w:vAlign w:val="center"/>
          </w:tcPr>
          <w:p w14:paraId="25BCC080">
            <w:pPr>
              <w:spacing w:line="600" w:lineRule="exact"/>
              <w:jc w:val="center"/>
              <w:rPr>
                <w:color w:val="000000"/>
                <w:szCs w:val="21"/>
              </w:rPr>
            </w:pPr>
            <w:r>
              <w:rPr>
                <w:rFonts w:hint="eastAsia"/>
                <w:color w:val="000000"/>
                <w:szCs w:val="21"/>
                <w:lang w:val="en-US" w:eastAsia="zh-CN"/>
              </w:rPr>
              <w:t>鄂尔多斯市琛丰水泥制品有限公司</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szCs w:val="22"/>
              </w:rPr>
              <w:fldChar w:fldCharType="begin"/>
            </w:r>
            <w:r>
              <w:rPr>
                <w:rFonts w:hint="eastAsia" w:ascii="Times New Roman" w:hAnsi="Times New Roman" w:eastAsia="宋体" w:cs="Times New Roman"/>
                <w:szCs w:val="22"/>
              </w:rPr>
              <w:instrText xml:space="preserve"> HYPERLINK "javascript:viewHomeCompanyInfoView('1909141086517862916')" </w:instrText>
            </w:r>
            <w:r>
              <w:rPr>
                <w:rFonts w:hint="eastAsia" w:ascii="Times New Roman" w:hAnsi="Times New Roman" w:eastAsia="宋体" w:cs="Times New Roman"/>
                <w:szCs w:val="22"/>
              </w:rPr>
              <w:fldChar w:fldCharType="separate"/>
            </w:r>
            <w:r>
              <w:rPr>
                <w:rFonts w:hint="eastAsia" w:ascii="Times New Roman" w:hAnsi="Times New Roman" w:eastAsia="宋体" w:cs="Times New Roman"/>
                <w:szCs w:val="22"/>
              </w:rPr>
              <w:t>内蒙古永鑫环保服务有限公司</w:t>
            </w:r>
            <w:r>
              <w:rPr>
                <w:rFonts w:hint="eastAsia" w:ascii="Times New Roman" w:hAnsi="Times New Roman" w:eastAsia="宋体" w:cs="Times New Roman"/>
                <w:szCs w:val="22"/>
              </w:rPr>
              <w:fldChar w:fldCharType="end"/>
            </w:r>
          </w:p>
        </w:tc>
        <w:tc>
          <w:tcPr>
            <w:tcW w:w="2555" w:type="dxa"/>
            <w:vAlign w:val="center"/>
          </w:tcPr>
          <w:p w14:paraId="0CDA0302">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该项目属于新建项目，</w:t>
            </w:r>
            <w:r>
              <w:rPr>
                <w:rFonts w:hint="eastAsia"/>
                <w:color w:val="000000"/>
                <w:szCs w:val="21"/>
                <w:lang w:eastAsia="zh-CN"/>
              </w:rPr>
              <w:t>位于</w:t>
            </w:r>
            <w:r>
              <w:rPr>
                <w:rFonts w:hint="default"/>
                <w:color w:val="000000"/>
                <w:szCs w:val="21"/>
              </w:rPr>
              <w:t>东胜区罕台镇商砼</w:t>
            </w:r>
            <w:r>
              <w:rPr>
                <w:rFonts w:hint="default"/>
                <w:color w:val="000000"/>
                <w:szCs w:val="21"/>
                <w:lang w:val="en-US" w:eastAsia="zh-CN"/>
              </w:rPr>
              <w:t>工业</w:t>
            </w:r>
            <w:r>
              <w:rPr>
                <w:rFonts w:hint="default"/>
                <w:color w:val="000000"/>
                <w:szCs w:val="21"/>
              </w:rPr>
              <w:t>园区</w:t>
            </w:r>
            <w:r>
              <w:rPr>
                <w:rFonts w:hint="eastAsia"/>
                <w:color w:val="000000"/>
                <w:szCs w:val="21"/>
                <w:lang w:val="en-US" w:eastAsia="zh-CN"/>
              </w:rPr>
              <w:t>。项目总</w:t>
            </w:r>
            <w:r>
              <w:rPr>
                <w:rFonts w:hint="eastAsia"/>
                <w:color w:val="000000"/>
                <w:szCs w:val="21"/>
                <w:lang w:eastAsia="zh-CN"/>
              </w:rPr>
              <w:t>占地</w:t>
            </w:r>
            <w:r>
              <w:rPr>
                <w:rFonts w:hint="eastAsia"/>
                <w:color w:val="000000"/>
                <w:szCs w:val="21"/>
                <w:lang w:val="en-US" w:eastAsia="zh-CN"/>
              </w:rPr>
              <w:t>面积16000平</w:t>
            </w:r>
            <w:r>
              <w:rPr>
                <w:rFonts w:hint="eastAsia"/>
                <w:color w:val="000000"/>
                <w:szCs w:val="21"/>
                <w:lang w:eastAsia="zh-CN"/>
              </w:rPr>
              <w:t>方米，</w:t>
            </w:r>
            <w:r>
              <w:rPr>
                <w:rFonts w:hint="default"/>
                <w:color w:val="000000"/>
                <w:szCs w:val="21"/>
                <w:lang w:eastAsia="zh-CN"/>
              </w:rPr>
              <w:t>总投资</w:t>
            </w:r>
            <w:r>
              <w:rPr>
                <w:rFonts w:hint="eastAsia"/>
                <w:color w:val="000000"/>
                <w:szCs w:val="21"/>
                <w:lang w:val="en-US" w:eastAsia="zh-CN"/>
              </w:rPr>
              <w:t>400万</w:t>
            </w:r>
            <w:r>
              <w:rPr>
                <w:rFonts w:hint="default"/>
                <w:color w:val="000000"/>
                <w:szCs w:val="21"/>
              </w:rPr>
              <w:t>元，</w:t>
            </w:r>
            <w:r>
              <w:rPr>
                <w:rFonts w:hint="eastAsia"/>
                <w:color w:val="000000"/>
                <w:szCs w:val="21"/>
                <w:lang w:eastAsia="zh-CN"/>
              </w:rPr>
              <w:t>其中</w:t>
            </w:r>
            <w:r>
              <w:rPr>
                <w:rFonts w:hint="default"/>
                <w:color w:val="000000"/>
                <w:szCs w:val="21"/>
              </w:rPr>
              <w:t>环保投资</w:t>
            </w:r>
            <w:r>
              <w:rPr>
                <w:rFonts w:hint="eastAsia"/>
                <w:color w:val="000000"/>
                <w:szCs w:val="21"/>
                <w:lang w:val="en-US" w:eastAsia="zh-CN"/>
              </w:rPr>
              <w:t>169.5万元</w:t>
            </w:r>
            <w:r>
              <w:rPr>
                <w:rFonts w:hint="eastAsia"/>
                <w:color w:val="000000"/>
                <w:szCs w:val="21"/>
              </w:rPr>
              <w:t>。</w:t>
            </w:r>
            <w:r>
              <w:rPr>
                <w:rFonts w:hint="eastAsia"/>
                <w:color w:val="000000"/>
                <w:szCs w:val="21"/>
                <w:lang w:eastAsia="zh-CN"/>
              </w:rPr>
              <w:t>主要建设内容及规模：</w:t>
            </w:r>
            <w:r>
              <w:rPr>
                <w:rFonts w:hint="default"/>
                <w:color w:val="000000"/>
                <w:szCs w:val="21"/>
              </w:rPr>
              <w:t>本项目</w:t>
            </w:r>
            <w:r>
              <w:rPr>
                <w:rFonts w:hint="default"/>
                <w:color w:val="000000"/>
                <w:szCs w:val="21"/>
                <w:lang w:val="en-US" w:eastAsia="zh-CN"/>
              </w:rPr>
              <w:t>租赁鄂尔多斯市</w:t>
            </w:r>
            <w:r>
              <w:rPr>
                <w:rFonts w:hint="eastAsia"/>
                <w:color w:val="000000"/>
                <w:szCs w:val="21"/>
                <w:lang w:val="en-US" w:eastAsia="zh-CN"/>
              </w:rPr>
              <w:t>华勋商砼</w:t>
            </w:r>
            <w:r>
              <w:rPr>
                <w:rFonts w:hint="default"/>
                <w:color w:val="000000"/>
                <w:szCs w:val="21"/>
                <w:lang w:val="en-US" w:eastAsia="zh-CN"/>
              </w:rPr>
              <w:t>有限</w:t>
            </w:r>
            <w:r>
              <w:rPr>
                <w:rFonts w:hint="eastAsia"/>
                <w:color w:val="000000"/>
                <w:szCs w:val="21"/>
                <w:lang w:val="en-US" w:eastAsia="zh-CN"/>
              </w:rPr>
              <w:t>责任</w:t>
            </w:r>
            <w:r>
              <w:rPr>
                <w:rFonts w:hint="default"/>
                <w:color w:val="000000"/>
                <w:szCs w:val="21"/>
                <w:lang w:val="en-US" w:eastAsia="zh-CN"/>
              </w:rPr>
              <w:t>公司南院墙以外场地，</w:t>
            </w:r>
            <w:r>
              <w:rPr>
                <w:rFonts w:hint="eastAsia"/>
                <w:color w:val="000000"/>
                <w:szCs w:val="21"/>
                <w:lang w:val="en-US" w:eastAsia="zh-CN"/>
              </w:rPr>
              <w:t>建设1</w:t>
            </w:r>
            <w:r>
              <w:rPr>
                <w:rFonts w:hint="default"/>
                <w:color w:val="000000"/>
                <w:szCs w:val="21"/>
                <w:lang w:val="en-US" w:eastAsia="zh-CN"/>
              </w:rPr>
              <w:t>条机制砂石生产线</w:t>
            </w:r>
            <w:r>
              <w:rPr>
                <w:rFonts w:hint="eastAsia"/>
                <w:color w:val="000000"/>
                <w:szCs w:val="21"/>
                <w:lang w:val="en-US" w:eastAsia="zh-CN"/>
              </w:rPr>
              <w:t>、1条</w:t>
            </w:r>
            <w:r>
              <w:rPr>
                <w:rFonts w:hint="default"/>
                <w:color w:val="000000"/>
                <w:szCs w:val="21"/>
                <w:lang w:val="en-US" w:eastAsia="zh-CN"/>
              </w:rPr>
              <w:t>混凝土生产线</w:t>
            </w:r>
            <w:r>
              <w:rPr>
                <w:rFonts w:hint="eastAsia"/>
                <w:color w:val="000000"/>
                <w:szCs w:val="21"/>
                <w:lang w:val="en-US" w:eastAsia="zh-CN"/>
              </w:rPr>
              <w:t>、1条</w:t>
            </w:r>
            <w:r>
              <w:rPr>
                <w:rFonts w:hint="default"/>
                <w:color w:val="000000"/>
                <w:szCs w:val="21"/>
                <w:lang w:val="en-US" w:eastAsia="zh-CN"/>
              </w:rPr>
              <w:t>砂浆生产线</w:t>
            </w:r>
            <w:r>
              <w:rPr>
                <w:rFonts w:hint="eastAsia"/>
                <w:color w:val="000000"/>
                <w:szCs w:val="21"/>
                <w:lang w:val="en-US" w:eastAsia="zh-CN"/>
              </w:rPr>
              <w:t>，</w:t>
            </w:r>
            <w:r>
              <w:rPr>
                <w:rFonts w:hint="default"/>
                <w:color w:val="000000"/>
                <w:szCs w:val="21"/>
                <w:lang w:val="en-US" w:eastAsia="zh-CN"/>
              </w:rPr>
              <w:t>新建1座10平方米</w:t>
            </w:r>
            <w:r>
              <w:rPr>
                <w:rFonts w:hint="eastAsia"/>
                <w:color w:val="000000"/>
                <w:szCs w:val="21"/>
                <w:lang w:val="en-US" w:eastAsia="zh-CN"/>
              </w:rPr>
              <w:t>危险废物暂存间</w:t>
            </w:r>
            <w:r>
              <w:rPr>
                <w:rFonts w:hint="default"/>
                <w:color w:val="000000"/>
                <w:szCs w:val="21"/>
                <w:lang w:val="en-US" w:eastAsia="zh-CN"/>
              </w:rPr>
              <w:t>，并配套建设相关公辅工程</w:t>
            </w:r>
            <w:r>
              <w:rPr>
                <w:rFonts w:hint="eastAsia"/>
                <w:color w:val="000000"/>
                <w:szCs w:val="21"/>
                <w:lang w:val="en-US" w:eastAsia="zh-CN"/>
              </w:rPr>
              <w:t>、储运工程</w:t>
            </w:r>
            <w:r>
              <w:rPr>
                <w:rFonts w:hint="default"/>
                <w:color w:val="000000"/>
                <w:szCs w:val="21"/>
                <w:lang w:val="en-US" w:eastAsia="zh-CN"/>
              </w:rPr>
              <w:t>和环保工程。</w:t>
            </w:r>
            <w:r>
              <w:rPr>
                <w:rFonts w:hint="eastAsia"/>
                <w:color w:val="000000"/>
                <w:szCs w:val="21"/>
                <w:lang w:val="en-US" w:eastAsia="zh-CN"/>
              </w:rPr>
              <w:t>项目建成后，年生产机制砂石20</w:t>
            </w:r>
            <w:r>
              <w:rPr>
                <w:rFonts w:hint="default"/>
                <w:color w:val="000000"/>
                <w:szCs w:val="21"/>
                <w:lang w:val="en-US" w:eastAsia="zh-CN"/>
              </w:rPr>
              <w:t>万</w:t>
            </w:r>
            <w:r>
              <w:rPr>
                <w:rFonts w:hint="eastAsia"/>
                <w:color w:val="000000"/>
                <w:szCs w:val="21"/>
                <w:lang w:val="en-US" w:eastAsia="zh-CN"/>
              </w:rPr>
              <w:t>立方米、混凝土20</w:t>
            </w:r>
            <w:r>
              <w:rPr>
                <w:rFonts w:hint="default"/>
                <w:color w:val="000000"/>
                <w:szCs w:val="21"/>
                <w:lang w:val="en-US" w:eastAsia="zh-CN"/>
              </w:rPr>
              <w:t>万</w:t>
            </w:r>
            <w:r>
              <w:rPr>
                <w:rFonts w:hint="eastAsia"/>
                <w:color w:val="000000"/>
                <w:szCs w:val="21"/>
                <w:lang w:val="en-US" w:eastAsia="zh-CN"/>
              </w:rPr>
              <w:t>立方米、砂浆20</w:t>
            </w:r>
            <w:r>
              <w:rPr>
                <w:rFonts w:hint="default"/>
                <w:color w:val="000000"/>
                <w:szCs w:val="21"/>
                <w:lang w:val="en-US" w:eastAsia="zh-CN"/>
              </w:rPr>
              <w:t>万</w:t>
            </w:r>
            <w:r>
              <w:rPr>
                <w:rFonts w:hint="eastAsia"/>
                <w:color w:val="000000"/>
                <w:szCs w:val="21"/>
                <w:lang w:val="en-US" w:eastAsia="zh-CN"/>
              </w:rPr>
              <w:t>立方米。</w:t>
            </w:r>
          </w:p>
        </w:tc>
        <w:tc>
          <w:tcPr>
            <w:tcW w:w="4877" w:type="dxa"/>
            <w:vAlign w:val="center"/>
          </w:tcPr>
          <w:p w14:paraId="4B38932A">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2510C5F">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40B1E854">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65E6AF2B">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w:t>
            </w:r>
            <w:r>
              <w:rPr>
                <w:rFonts w:hint="eastAsia"/>
                <w:color w:val="000000"/>
                <w:szCs w:val="21"/>
                <w:lang w:val="en-US" w:eastAsia="zh-CN"/>
              </w:rPr>
              <w:t xml:space="preserve"> </w:t>
            </w:r>
            <w:r>
              <w:rPr>
                <w:rFonts w:hint="eastAsia"/>
                <w:color w:val="000000"/>
                <w:szCs w:val="21"/>
              </w:rPr>
              <w:t>16297-1996）表2中无组织排放监控浓度限值。</w:t>
            </w:r>
          </w:p>
          <w:p w14:paraId="705D4BF8">
            <w:pPr>
              <w:spacing w:line="360" w:lineRule="auto"/>
              <w:jc w:val="left"/>
              <w:rPr>
                <w:rFonts w:hint="eastAsia"/>
                <w:color w:val="000000"/>
                <w:szCs w:val="21"/>
                <w:lang w:val="en-US" w:eastAsia="zh-CN"/>
              </w:rPr>
            </w:pPr>
            <w:r>
              <w:rPr>
                <w:rFonts w:hint="eastAsia"/>
                <w:color w:val="000000"/>
                <w:szCs w:val="21"/>
                <w:lang w:val="en-US" w:eastAsia="zh-CN"/>
              </w:rPr>
              <w:t>2、施工人员生活污水经厂区原有化粪池沉淀后由环卫部门定期清运。</w:t>
            </w:r>
          </w:p>
          <w:p w14:paraId="2C3B28CF">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 12523-2011）。</w:t>
            </w:r>
          </w:p>
          <w:p w14:paraId="7CB6DDDE">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584F4B01">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0E5B0600">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破碎筛分粉尘、搅拌粉尘经收集处理后分别由各自15米高排气筒排放，筒仓呼吸粉尘经布袋除尘器处理后由18米高仓顶排放，均执行《水泥工业大气污染物排放标准》（GB 4915-2013）表1水泥仓及其他通风生产设备限值。项目无组织废气排放执行《水泥工业大气污染物排放标准》（GB 4915-2013）表3大气污染物无组织排放限值。</w:t>
            </w:r>
          </w:p>
          <w:p w14:paraId="2A044DBF">
            <w:pPr>
              <w:spacing w:line="360" w:lineRule="auto"/>
              <w:jc w:val="left"/>
              <w:rPr>
                <w:rFonts w:hint="eastAsia"/>
                <w:color w:val="000000"/>
                <w:szCs w:val="21"/>
                <w:lang w:val="en-US" w:eastAsia="zh-CN"/>
              </w:rPr>
            </w:pPr>
            <w:r>
              <w:rPr>
                <w:rFonts w:hint="eastAsia"/>
                <w:color w:val="000000"/>
                <w:szCs w:val="21"/>
                <w:lang w:val="en-US" w:eastAsia="zh-CN"/>
              </w:rPr>
              <w:t>2、运营期生产废水经沉淀池沉淀后全部回用于生产，不外排。生活污水经厂区原有化粪池沉淀后由环卫部门定期清运。</w:t>
            </w:r>
          </w:p>
          <w:p w14:paraId="6A692E23">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w:t>
            </w:r>
            <w:r>
              <w:rPr>
                <w:rFonts w:hint="eastAsia"/>
                <w:color w:val="000000"/>
                <w:szCs w:val="21"/>
                <w:lang w:val="en-US" w:eastAsia="zh-CN"/>
              </w:rPr>
              <w:t xml:space="preserve"> </w:t>
            </w:r>
            <w:r>
              <w:rPr>
                <w:rFonts w:hint="eastAsia"/>
                <w:color w:val="000000"/>
                <w:szCs w:val="21"/>
              </w:rPr>
              <w:t>12348-2008）中</w:t>
            </w:r>
            <w:r>
              <w:rPr>
                <w:rFonts w:hint="eastAsia"/>
                <w:color w:val="000000"/>
                <w:szCs w:val="21"/>
                <w:lang w:val="en-US" w:eastAsia="zh-CN"/>
              </w:rPr>
              <w:t>2</w:t>
            </w:r>
            <w:r>
              <w:rPr>
                <w:rFonts w:hint="eastAsia"/>
                <w:color w:val="000000"/>
                <w:szCs w:val="21"/>
              </w:rPr>
              <w:t>类标准。</w:t>
            </w:r>
          </w:p>
          <w:p w14:paraId="11129BF2">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 18599-2020）处置一般固废，不得乱弃。</w:t>
            </w:r>
            <w:r>
              <w:rPr>
                <w:rFonts w:hint="eastAsia"/>
                <w:color w:val="000000"/>
                <w:szCs w:val="21"/>
                <w:lang w:val="en-US"/>
              </w:rPr>
              <w:t>危废暂存</w:t>
            </w:r>
            <w:r>
              <w:rPr>
                <w:rFonts w:hint="eastAsia"/>
                <w:color w:val="000000"/>
                <w:szCs w:val="21"/>
                <w:lang w:val="en-US" w:eastAsia="zh-CN"/>
              </w:rPr>
              <w:t>间</w:t>
            </w:r>
            <w:r>
              <w:rPr>
                <w:rFonts w:hint="eastAsia"/>
                <w:color w:val="000000"/>
                <w:szCs w:val="21"/>
                <w:lang w:val="en-US"/>
              </w:rPr>
              <w:t>须严格按照《危险废物贮存污染控制标准》（GB</w:t>
            </w:r>
            <w:r>
              <w:rPr>
                <w:rFonts w:hint="eastAsia"/>
                <w:color w:val="000000"/>
                <w:szCs w:val="21"/>
                <w:lang w:val="en-US" w:eastAsia="zh-CN"/>
              </w:rPr>
              <w:t xml:space="preserve"> </w:t>
            </w:r>
            <w:r>
              <w:rPr>
                <w:rFonts w:hint="eastAsia"/>
                <w:color w:val="000000"/>
                <w:szCs w:val="21"/>
                <w:lang w:val="en-US"/>
              </w:rPr>
              <w:t>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 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14:paraId="2FA619DC">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14:paraId="38301245">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14:paraId="52423FF6">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14:paraId="0024074F">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29B01BCA">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bookmarkStart w:id="0" w:name="_GoBack"/>
            <w:bookmarkEnd w:id="0"/>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U4MDU2YWQ1NjA4ZDU0MzJjZmM5N2MwNWQ5Zjg1OWQifQ=="/>
  </w:docVars>
  <w:rsids>
    <w:rsidRoot w:val="007E3F49"/>
    <w:rsid w:val="00655DD2"/>
    <w:rsid w:val="007E3F49"/>
    <w:rsid w:val="008B4FF3"/>
    <w:rsid w:val="00A14109"/>
    <w:rsid w:val="00AC4964"/>
    <w:rsid w:val="00D56621"/>
    <w:rsid w:val="00ED3C94"/>
    <w:rsid w:val="00FE0A91"/>
    <w:rsid w:val="049F3351"/>
    <w:rsid w:val="15947A84"/>
    <w:rsid w:val="22A00A67"/>
    <w:rsid w:val="3E062DA7"/>
    <w:rsid w:val="497150DD"/>
    <w:rsid w:val="4DE41872"/>
    <w:rsid w:val="54973A8B"/>
    <w:rsid w:val="5B1B528E"/>
    <w:rsid w:val="5E371149"/>
    <w:rsid w:val="641136E8"/>
    <w:rsid w:val="784D0BDC"/>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autoRedefine/>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NormalCharacter"/>
    <w:autoRedefine/>
    <w:semiHidden/>
    <w:qFormat/>
    <w:uiPriority w:val="99"/>
  </w:style>
  <w:style w:type="paragraph" w:customStyle="1" w:styleId="15">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1609</Words>
  <Characters>1719</Characters>
  <Lines>11</Lines>
  <Paragraphs>3</Paragraphs>
  <TotalTime>2</TotalTime>
  <ScaleCrop>false</ScaleCrop>
  <LinksUpToDate>false</LinksUpToDate>
  <CharactersWithSpaces>1780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2024-10-25T01:42:01Z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8A8837DC28804F048B97D671515894C8_12</vt:lpwstr>
  </property>
</Properties>
</file>