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5F535">
      <w:pPr>
        <w:ind w:firstLine="480" w:firstLineChars="200"/>
        <w:rPr>
          <w:color w:val="000000"/>
          <w:sz w:val="24"/>
          <w:szCs w:val="24"/>
        </w:rPr>
      </w:pPr>
      <w:r>
        <w:rPr>
          <w:rFonts w:hint="eastAsia"/>
          <w:color w:val="000000"/>
          <w:sz w:val="24"/>
          <w:szCs w:val="24"/>
        </w:rPr>
        <w:t>项目情况表</w:t>
      </w:r>
    </w:p>
    <w:tbl>
      <w:tblPr>
        <w:tblStyle w:val="10"/>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14:paraId="4D0A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14:paraId="0A270147">
            <w:pPr>
              <w:spacing w:line="240" w:lineRule="atLeast"/>
              <w:jc w:val="center"/>
              <w:rPr>
                <w:color w:val="000000"/>
                <w:szCs w:val="21"/>
              </w:rPr>
            </w:pPr>
            <w:r>
              <w:rPr>
                <w:color w:val="000000"/>
                <w:szCs w:val="21"/>
              </w:rPr>
              <w:t>编号</w:t>
            </w:r>
          </w:p>
        </w:tc>
        <w:tc>
          <w:tcPr>
            <w:tcW w:w="473" w:type="dxa"/>
            <w:vAlign w:val="center"/>
          </w:tcPr>
          <w:p w14:paraId="6EA36EB0">
            <w:pPr>
              <w:spacing w:line="240" w:lineRule="atLeast"/>
              <w:jc w:val="center"/>
              <w:rPr>
                <w:color w:val="000000"/>
                <w:szCs w:val="21"/>
              </w:rPr>
            </w:pPr>
            <w:r>
              <w:rPr>
                <w:color w:val="000000"/>
                <w:szCs w:val="21"/>
              </w:rPr>
              <w:t>项目名称</w:t>
            </w:r>
          </w:p>
        </w:tc>
        <w:tc>
          <w:tcPr>
            <w:tcW w:w="397" w:type="dxa"/>
            <w:vAlign w:val="center"/>
          </w:tcPr>
          <w:p w14:paraId="0388DA99">
            <w:pPr>
              <w:spacing w:line="240" w:lineRule="atLeast"/>
              <w:jc w:val="center"/>
              <w:rPr>
                <w:color w:val="000000"/>
                <w:szCs w:val="21"/>
              </w:rPr>
            </w:pPr>
            <w:r>
              <w:rPr>
                <w:color w:val="000000"/>
                <w:szCs w:val="21"/>
              </w:rPr>
              <w:t>建设地点</w:t>
            </w:r>
          </w:p>
        </w:tc>
        <w:tc>
          <w:tcPr>
            <w:tcW w:w="465" w:type="dxa"/>
            <w:vAlign w:val="center"/>
          </w:tcPr>
          <w:p w14:paraId="77CC4EBF">
            <w:pPr>
              <w:spacing w:line="240" w:lineRule="atLeast"/>
              <w:jc w:val="center"/>
              <w:rPr>
                <w:color w:val="000000"/>
                <w:szCs w:val="21"/>
              </w:rPr>
            </w:pPr>
            <w:r>
              <w:rPr>
                <w:color w:val="000000"/>
                <w:szCs w:val="21"/>
              </w:rPr>
              <w:t>建设单位</w:t>
            </w:r>
          </w:p>
        </w:tc>
        <w:tc>
          <w:tcPr>
            <w:tcW w:w="675" w:type="dxa"/>
            <w:vAlign w:val="center"/>
          </w:tcPr>
          <w:p w14:paraId="4B87B643">
            <w:pPr>
              <w:spacing w:line="240" w:lineRule="atLeast"/>
              <w:jc w:val="center"/>
              <w:rPr>
                <w:color w:val="000000"/>
                <w:szCs w:val="21"/>
              </w:rPr>
            </w:pPr>
            <w:r>
              <w:rPr>
                <w:color w:val="000000"/>
                <w:szCs w:val="21"/>
              </w:rPr>
              <w:t>环境影响评价机构</w:t>
            </w:r>
          </w:p>
        </w:tc>
        <w:tc>
          <w:tcPr>
            <w:tcW w:w="2555" w:type="dxa"/>
            <w:vAlign w:val="center"/>
          </w:tcPr>
          <w:p w14:paraId="20A0AE52">
            <w:pPr>
              <w:spacing w:line="240" w:lineRule="atLeast"/>
              <w:jc w:val="center"/>
              <w:rPr>
                <w:color w:val="000000"/>
                <w:szCs w:val="21"/>
              </w:rPr>
            </w:pPr>
            <w:r>
              <w:rPr>
                <w:color w:val="000000"/>
                <w:szCs w:val="21"/>
              </w:rPr>
              <w:t>项目概况</w:t>
            </w:r>
          </w:p>
        </w:tc>
        <w:tc>
          <w:tcPr>
            <w:tcW w:w="4877" w:type="dxa"/>
            <w:vAlign w:val="center"/>
          </w:tcPr>
          <w:p w14:paraId="500A511E">
            <w:pPr>
              <w:spacing w:line="240" w:lineRule="atLeast"/>
              <w:jc w:val="center"/>
              <w:rPr>
                <w:color w:val="000000"/>
                <w:szCs w:val="21"/>
              </w:rPr>
            </w:pPr>
            <w:r>
              <w:rPr>
                <w:color w:val="000000"/>
                <w:szCs w:val="21"/>
              </w:rPr>
              <w:t>主要环境影响及预防或者减轻不良环境影响的对策和措施</w:t>
            </w:r>
          </w:p>
        </w:tc>
      </w:tr>
      <w:tr w14:paraId="7E55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14:paraId="5AA6E65F">
            <w:pPr>
              <w:spacing w:line="240" w:lineRule="atLeast"/>
              <w:jc w:val="center"/>
              <w:rPr>
                <w:color w:val="000000"/>
                <w:szCs w:val="21"/>
              </w:rPr>
            </w:pPr>
            <w:r>
              <w:rPr>
                <w:color w:val="000000"/>
                <w:szCs w:val="21"/>
              </w:rPr>
              <w:t>1</w:t>
            </w:r>
          </w:p>
        </w:tc>
        <w:tc>
          <w:tcPr>
            <w:tcW w:w="473" w:type="dxa"/>
            <w:vAlign w:val="center"/>
          </w:tcPr>
          <w:p w14:paraId="719E98D6">
            <w:pPr>
              <w:spacing w:line="600" w:lineRule="exact"/>
              <w:jc w:val="center"/>
              <w:rPr>
                <w:rFonts w:eastAsia="仿宋"/>
                <w:color w:val="000000"/>
              </w:rPr>
            </w:pPr>
            <w:r>
              <w:rPr>
                <w:rFonts w:hint="eastAsia" w:ascii="Times New Roman" w:hAnsi="Times New Roman" w:eastAsia="宋体" w:cs="Times New Roman"/>
                <w:szCs w:val="22"/>
                <w:lang w:eastAsia="zh-CN"/>
              </w:rPr>
              <w:t>内蒙古跃欣水泥制品有限公司二车间水泥制品项目</w:t>
            </w:r>
          </w:p>
        </w:tc>
        <w:tc>
          <w:tcPr>
            <w:tcW w:w="397" w:type="dxa"/>
            <w:vAlign w:val="center"/>
          </w:tcPr>
          <w:p w14:paraId="53D2BE93">
            <w:pPr>
              <w:spacing w:line="600" w:lineRule="exact"/>
              <w:jc w:val="center"/>
              <w:rPr>
                <w:color w:val="000000"/>
                <w:szCs w:val="21"/>
              </w:rPr>
            </w:pPr>
            <w:r>
              <w:rPr>
                <w:rFonts w:hint="eastAsia" w:ascii="Times New Roman" w:hAnsi="Times New Roman" w:eastAsia="宋体" w:cs="Times New Roman"/>
                <w:szCs w:val="22"/>
              </w:rPr>
              <w:t>鄂尔多斯市东胜区铜川镇枳机塔碾房渠社商砼园区鄂尔多斯市振鹏环境工程有限公司</w:t>
            </w:r>
            <w:r>
              <w:rPr>
                <w:rFonts w:hint="eastAsia" w:ascii="Times New Roman" w:hAnsi="Times New Roman" w:eastAsia="宋体" w:cs="Times New Roman"/>
                <w:szCs w:val="22"/>
                <w:lang w:val="en-US" w:eastAsia="zh-CN"/>
              </w:rPr>
              <w:t>厂区内</w:t>
            </w:r>
          </w:p>
        </w:tc>
        <w:tc>
          <w:tcPr>
            <w:tcW w:w="465" w:type="dxa"/>
            <w:vAlign w:val="center"/>
          </w:tcPr>
          <w:p w14:paraId="25BCC080">
            <w:pPr>
              <w:spacing w:line="600" w:lineRule="exact"/>
              <w:jc w:val="center"/>
              <w:rPr>
                <w:color w:val="000000"/>
                <w:szCs w:val="21"/>
              </w:rPr>
            </w:pPr>
            <w:r>
              <w:rPr>
                <w:rFonts w:hint="eastAsia"/>
                <w:color w:val="000000"/>
                <w:szCs w:val="21"/>
                <w:lang w:eastAsia="zh-CN"/>
              </w:rPr>
              <w:t>内蒙古跃欣水泥制品有限公司</w:t>
            </w:r>
          </w:p>
        </w:tc>
        <w:tc>
          <w:tcPr>
            <w:tcW w:w="675" w:type="dxa"/>
            <w:vAlign w:val="center"/>
          </w:tcPr>
          <w:p w14:paraId="5D04F640">
            <w:pPr>
              <w:spacing w:line="600" w:lineRule="exact"/>
              <w:jc w:val="center"/>
              <w:rPr>
                <w:color w:val="000000"/>
                <w:szCs w:val="21"/>
              </w:rPr>
            </w:pPr>
            <w:r>
              <w:rPr>
                <w:rFonts w:hint="eastAsia" w:ascii="Times New Roman" w:hAnsi="Times New Roman" w:eastAsia="宋体" w:cs="Times New Roman"/>
                <w:szCs w:val="22"/>
              </w:rPr>
              <w:fldChar w:fldCharType="begin"/>
            </w:r>
            <w:r>
              <w:rPr>
                <w:rFonts w:hint="eastAsia" w:ascii="Times New Roman" w:hAnsi="Times New Roman" w:eastAsia="宋体" w:cs="Times New Roman"/>
                <w:szCs w:val="22"/>
              </w:rPr>
              <w:instrText xml:space="preserve"> HYPERLINK "javascript:viewHomeCompanyInfoView('1909141086517862916')" </w:instrText>
            </w:r>
            <w:r>
              <w:rPr>
                <w:rFonts w:hint="eastAsia" w:ascii="Times New Roman" w:hAnsi="Times New Roman" w:eastAsia="宋体" w:cs="Times New Roman"/>
                <w:szCs w:val="22"/>
              </w:rPr>
              <w:fldChar w:fldCharType="separate"/>
            </w:r>
            <w:r>
              <w:rPr>
                <w:rFonts w:hint="eastAsia" w:ascii="Times New Roman" w:hAnsi="Times New Roman" w:eastAsia="宋体" w:cs="Times New Roman"/>
                <w:szCs w:val="22"/>
              </w:rPr>
              <w:t>内蒙古永鑫环保服务有限公司</w:t>
            </w:r>
            <w:r>
              <w:rPr>
                <w:rFonts w:hint="eastAsia" w:ascii="Times New Roman" w:hAnsi="Times New Roman" w:eastAsia="宋体" w:cs="Times New Roman"/>
                <w:szCs w:val="22"/>
              </w:rPr>
              <w:fldChar w:fldCharType="end"/>
            </w:r>
          </w:p>
        </w:tc>
        <w:tc>
          <w:tcPr>
            <w:tcW w:w="2555" w:type="dxa"/>
            <w:vAlign w:val="center"/>
          </w:tcPr>
          <w:p w14:paraId="0CDA0302">
            <w:pPr>
              <w:spacing w:line="360" w:lineRule="auto"/>
              <w:ind w:firstLine="420" w:firstLineChars="200"/>
              <w:rPr>
                <w:color w:val="000000"/>
                <w:szCs w:val="21"/>
              </w:rPr>
            </w:pPr>
            <w:r>
              <w:rPr>
                <w:rFonts w:hint="eastAsia"/>
                <w:color w:val="000000"/>
                <w:szCs w:val="21"/>
                <w:lang w:eastAsia="zh-CN"/>
              </w:rPr>
              <w:t>一、</w:t>
            </w:r>
            <w:r>
              <w:rPr>
                <w:rFonts w:hint="eastAsia"/>
                <w:color w:val="000000"/>
                <w:szCs w:val="21"/>
              </w:rPr>
              <w:t>该项目属于新建项目，</w:t>
            </w:r>
            <w:r>
              <w:rPr>
                <w:rFonts w:hint="eastAsia"/>
                <w:color w:val="000000"/>
                <w:szCs w:val="21"/>
                <w:lang w:eastAsia="zh-CN"/>
              </w:rPr>
              <w:t>位于东胜区铜川镇枳机塔碾房渠社商砼园区鄂尔多斯市振鹏环境工程有限公司</w:t>
            </w:r>
            <w:r>
              <w:rPr>
                <w:rFonts w:hint="eastAsia"/>
                <w:color w:val="000000"/>
                <w:szCs w:val="21"/>
                <w:lang w:val="en-US" w:eastAsia="zh-CN"/>
              </w:rPr>
              <w:t>厂区内。项目总</w:t>
            </w:r>
            <w:r>
              <w:rPr>
                <w:rFonts w:hint="eastAsia"/>
                <w:color w:val="000000"/>
                <w:szCs w:val="21"/>
                <w:lang w:eastAsia="zh-CN"/>
              </w:rPr>
              <w:t>占地</w:t>
            </w:r>
            <w:r>
              <w:rPr>
                <w:rFonts w:hint="eastAsia"/>
                <w:color w:val="000000"/>
                <w:szCs w:val="21"/>
                <w:lang w:val="en-US" w:eastAsia="zh-CN"/>
              </w:rPr>
              <w:t>面积8000平</w:t>
            </w:r>
            <w:r>
              <w:rPr>
                <w:rFonts w:hint="eastAsia"/>
                <w:color w:val="000000"/>
                <w:szCs w:val="21"/>
                <w:lang w:eastAsia="zh-CN"/>
              </w:rPr>
              <w:t>方米，</w:t>
            </w:r>
            <w:r>
              <w:rPr>
                <w:rFonts w:hint="default"/>
                <w:color w:val="000000"/>
                <w:szCs w:val="21"/>
                <w:lang w:eastAsia="zh-CN"/>
              </w:rPr>
              <w:t>总投资</w:t>
            </w:r>
            <w:r>
              <w:rPr>
                <w:rFonts w:hint="eastAsia"/>
                <w:color w:val="000000"/>
                <w:szCs w:val="21"/>
                <w:lang w:val="en-US" w:eastAsia="zh-CN"/>
              </w:rPr>
              <w:t>100万</w:t>
            </w:r>
            <w:r>
              <w:rPr>
                <w:rFonts w:hint="default"/>
                <w:color w:val="000000"/>
                <w:szCs w:val="21"/>
              </w:rPr>
              <w:t>元，</w:t>
            </w:r>
            <w:r>
              <w:rPr>
                <w:rFonts w:hint="eastAsia"/>
                <w:color w:val="000000"/>
                <w:szCs w:val="21"/>
                <w:lang w:eastAsia="zh-CN"/>
              </w:rPr>
              <w:t>其中</w:t>
            </w:r>
            <w:r>
              <w:rPr>
                <w:rFonts w:hint="default"/>
                <w:color w:val="000000"/>
                <w:szCs w:val="21"/>
              </w:rPr>
              <w:t>环保投资</w:t>
            </w:r>
            <w:r>
              <w:rPr>
                <w:rFonts w:hint="eastAsia"/>
                <w:color w:val="000000"/>
                <w:szCs w:val="21"/>
                <w:lang w:val="en-US" w:eastAsia="zh-CN"/>
              </w:rPr>
              <w:t>13.7万元</w:t>
            </w:r>
            <w:r>
              <w:rPr>
                <w:rFonts w:hint="eastAsia"/>
                <w:color w:val="000000"/>
                <w:szCs w:val="21"/>
              </w:rPr>
              <w:t>。</w:t>
            </w:r>
            <w:r>
              <w:rPr>
                <w:rFonts w:hint="eastAsia"/>
                <w:color w:val="000000"/>
                <w:szCs w:val="21"/>
                <w:lang w:eastAsia="zh-CN"/>
              </w:rPr>
              <w:t>主要建设内容及规模：</w:t>
            </w:r>
            <w:r>
              <w:rPr>
                <w:rFonts w:hint="eastAsia"/>
                <w:color w:val="000000"/>
                <w:szCs w:val="21"/>
                <w:lang w:val="en-US" w:eastAsia="zh-CN"/>
              </w:rPr>
              <w:t>本项目</w:t>
            </w:r>
            <w:r>
              <w:rPr>
                <w:rFonts w:hint="eastAsia"/>
                <w:color w:val="000000"/>
                <w:szCs w:val="21"/>
              </w:rPr>
              <w:t>租赁</w:t>
            </w:r>
            <w:r>
              <w:rPr>
                <w:rFonts w:hint="eastAsia"/>
                <w:color w:val="000000"/>
                <w:szCs w:val="21"/>
                <w:lang w:eastAsia="zh-CN"/>
              </w:rPr>
              <w:t>鄂尔多斯市振鹏环境工程有限公司厂房及空地，</w:t>
            </w:r>
            <w:r>
              <w:rPr>
                <w:rFonts w:hint="eastAsia"/>
                <w:color w:val="000000"/>
                <w:szCs w:val="21"/>
                <w:lang w:val="en-US" w:eastAsia="zh-CN"/>
              </w:rPr>
              <w:t>建设</w:t>
            </w:r>
            <w:r>
              <w:rPr>
                <w:rFonts w:hint="eastAsia"/>
                <w:color w:val="000000"/>
                <w:szCs w:val="21"/>
              </w:rPr>
              <w:t>全封闭</w:t>
            </w:r>
            <w:r>
              <w:rPr>
                <w:rFonts w:hint="eastAsia"/>
                <w:color w:val="000000"/>
                <w:szCs w:val="21"/>
                <w:lang w:val="en-US" w:eastAsia="zh-CN"/>
              </w:rPr>
              <w:t>生产</w:t>
            </w:r>
            <w:r>
              <w:rPr>
                <w:rFonts w:hint="eastAsia"/>
                <w:color w:val="000000"/>
                <w:szCs w:val="21"/>
              </w:rPr>
              <w:t>车间</w:t>
            </w:r>
            <w:r>
              <w:rPr>
                <w:rFonts w:hint="eastAsia"/>
                <w:color w:val="000000"/>
                <w:szCs w:val="21"/>
                <w:lang w:eastAsia="zh-CN"/>
              </w:rPr>
              <w:t>，</w:t>
            </w:r>
            <w:r>
              <w:rPr>
                <w:rFonts w:hint="eastAsia"/>
                <w:color w:val="000000"/>
                <w:szCs w:val="21"/>
                <w:lang w:val="en-US" w:eastAsia="zh-CN"/>
              </w:rPr>
              <w:t>内</w:t>
            </w:r>
            <w:r>
              <w:rPr>
                <w:rFonts w:hint="eastAsia"/>
                <w:color w:val="000000"/>
                <w:szCs w:val="21"/>
              </w:rPr>
              <w:t>设1条环保砖生产线，新建1座10平方米危废库，并配套建设相关公辅工程和环保工程</w:t>
            </w:r>
            <w:r>
              <w:rPr>
                <w:rFonts w:hint="eastAsia"/>
                <w:color w:val="000000"/>
                <w:szCs w:val="21"/>
                <w:lang w:eastAsia="zh-CN"/>
              </w:rPr>
              <w:t>。</w:t>
            </w:r>
          </w:p>
        </w:tc>
        <w:tc>
          <w:tcPr>
            <w:tcW w:w="4877" w:type="dxa"/>
            <w:vAlign w:val="center"/>
          </w:tcPr>
          <w:p w14:paraId="037B61DC">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0F1F11A8">
            <w:pPr>
              <w:spacing w:line="360" w:lineRule="auto"/>
              <w:jc w:val="left"/>
              <w:rPr>
                <w:rFonts w:hint="eastAsia"/>
                <w:color w:val="000000"/>
                <w:szCs w:val="21"/>
                <w:lang w:val="en-US"/>
              </w:rPr>
            </w:pPr>
            <w:r>
              <w:rPr>
                <w:rFonts w:hint="eastAsia"/>
                <w:color w:val="000000"/>
                <w:szCs w:val="21"/>
                <w:lang w:val="en-US" w:eastAsia="zh-CN"/>
              </w:rPr>
              <w:t>二、在项目工程设计、建设和环境管理中，你单位必须严格落实</w:t>
            </w:r>
            <w:r>
              <w:rPr>
                <w:rFonts w:hint="eastAsia"/>
                <w:color w:val="000000"/>
                <w:szCs w:val="21"/>
              </w:rPr>
              <w:t>《报告表》</w:t>
            </w:r>
            <w:r>
              <w:rPr>
                <w:rFonts w:hint="eastAsia"/>
                <w:color w:val="000000"/>
                <w:szCs w:val="21"/>
                <w:lang w:val="en-US" w:eastAsia="zh-CN"/>
              </w:rPr>
              <w:t>中提出的各项环保措施和要求，确保各项污染物稳定达标排放，并须着重做好以下工作：</w:t>
            </w:r>
          </w:p>
          <w:p w14:paraId="66055F54">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14:paraId="782F8277">
            <w:pPr>
              <w:spacing w:line="360" w:lineRule="auto"/>
              <w:jc w:val="left"/>
              <w:rPr>
                <w:rFonts w:hint="eastAsia"/>
                <w:color w:val="000000"/>
                <w:szCs w:val="21"/>
                <w:lang w:val="en-US" w:eastAsia="zh-CN"/>
              </w:rPr>
            </w:pPr>
            <w:r>
              <w:rPr>
                <w:rFonts w:hint="eastAsia"/>
                <w:color w:val="000000"/>
                <w:szCs w:val="21"/>
                <w:lang w:val="en-US" w:eastAsia="zh-CN"/>
              </w:rPr>
              <w:t>1、</w:t>
            </w:r>
            <w:r>
              <w:rPr>
                <w:rFonts w:hint="eastAsia"/>
                <w:color w:val="000000"/>
                <w:szCs w:val="21"/>
              </w:rPr>
              <w:t>加强施工期环境管理，配备足够的洒水车、篷布等防尘设备，有效控制施工期挖土、物料装卸、物料运输过程中产生的扬尘污染</w:t>
            </w:r>
            <w:bookmarkStart w:id="0" w:name="_GoBack"/>
            <w:bookmarkEnd w:id="0"/>
            <w:r>
              <w:rPr>
                <w:rFonts w:hint="eastAsia"/>
                <w:color w:val="000000"/>
                <w:szCs w:val="21"/>
              </w:rPr>
              <w:t>。施工期大气污染物排放执行《大气污染物综合排放标准》（GB</w:t>
            </w:r>
            <w:r>
              <w:rPr>
                <w:rFonts w:hint="eastAsia"/>
                <w:color w:val="000000"/>
                <w:szCs w:val="21"/>
                <w:lang w:val="en-US" w:eastAsia="zh-CN"/>
              </w:rPr>
              <w:t xml:space="preserve"> </w:t>
            </w:r>
            <w:r>
              <w:rPr>
                <w:rFonts w:hint="eastAsia"/>
                <w:color w:val="000000"/>
                <w:szCs w:val="21"/>
              </w:rPr>
              <w:t>16297-1996）表2中无组织排放监控浓度限值。</w:t>
            </w:r>
          </w:p>
          <w:p w14:paraId="02F2B3AB">
            <w:pPr>
              <w:spacing w:line="360" w:lineRule="auto"/>
              <w:jc w:val="left"/>
              <w:rPr>
                <w:rFonts w:hint="eastAsia"/>
                <w:color w:val="000000"/>
                <w:szCs w:val="21"/>
                <w:lang w:val="en-US" w:eastAsia="zh-CN"/>
              </w:rPr>
            </w:pPr>
            <w:r>
              <w:rPr>
                <w:rFonts w:hint="eastAsia"/>
                <w:color w:val="000000"/>
                <w:szCs w:val="21"/>
                <w:lang w:val="en-US" w:eastAsia="zh-CN"/>
              </w:rPr>
              <w:t>2、施工人员生活污水</w:t>
            </w:r>
            <w:r>
              <w:rPr>
                <w:rFonts w:hint="eastAsia"/>
                <w:color w:val="000000"/>
                <w:szCs w:val="21"/>
                <w:lang w:eastAsia="zh-CN"/>
              </w:rPr>
              <w:t>排入厂区原有化粪池</w:t>
            </w:r>
            <w:r>
              <w:rPr>
                <w:rFonts w:hint="eastAsia"/>
                <w:color w:val="000000"/>
                <w:szCs w:val="21"/>
              </w:rPr>
              <w:t>。</w:t>
            </w:r>
          </w:p>
          <w:p w14:paraId="3D9EA423">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3、选用低噪声施工设备，合理安排作业时间，避免夜间施工，控制车辆时速。施工期噪声执行《建筑施工场界环境噪声排放标准》（GB 12523-2011）。</w:t>
            </w:r>
          </w:p>
          <w:p w14:paraId="3E5A3DB0">
            <w:pPr>
              <w:spacing w:line="360" w:lineRule="auto"/>
              <w:jc w:val="left"/>
              <w:rPr>
                <w:rFonts w:hint="eastAsia"/>
                <w:color w:val="000000"/>
                <w:szCs w:val="21"/>
                <w:lang w:val="en-US" w:eastAsia="zh-CN"/>
              </w:rPr>
            </w:pPr>
            <w:r>
              <w:rPr>
                <w:rFonts w:hint="eastAsia"/>
                <w:color w:val="000000"/>
                <w:szCs w:val="21"/>
                <w:lang w:val="en-US" w:eastAsia="zh-CN"/>
              </w:rPr>
              <w:t>4、固体废物集中堆放及时清运，交有关部门进行处理。</w:t>
            </w:r>
          </w:p>
          <w:p w14:paraId="514E9456">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14:paraId="767BFEC4">
            <w:pPr>
              <w:spacing w:line="360" w:lineRule="auto"/>
              <w:jc w:val="left"/>
              <w:rPr>
                <w:rFonts w:hint="eastAsia"/>
                <w:color w:val="000000"/>
                <w:szCs w:val="21"/>
                <w:lang w:val="en-US" w:eastAsia="zh-CN"/>
              </w:rPr>
            </w:pPr>
            <w:r>
              <w:rPr>
                <w:rFonts w:hint="eastAsia"/>
                <w:color w:val="000000"/>
                <w:szCs w:val="21"/>
                <w:lang w:val="en-US" w:eastAsia="zh-CN"/>
              </w:rPr>
              <w:t>1、运营期物料储存、装卸、输送、生产过程全封闭。搅拌粉尘经收集处理后由1根15米高排气筒排放，执行《砖瓦工业大气污染物排放标准》(GB 29620-2013)表2新建企业大气污染物排放限值；水泥筒仓呼吸废气有组织排放执行《水泥工业大气污染物排放标准》（GB 4915-2013）表1中水泥仓及其他通风生产设备限值。项目无组织废气排放执行《砖瓦工业大气污染物排放标准》(GB 29620-2013)表3中排放浓度限值。</w:t>
            </w:r>
          </w:p>
          <w:p w14:paraId="673B9A4A">
            <w:pPr>
              <w:spacing w:line="360" w:lineRule="auto"/>
              <w:jc w:val="left"/>
              <w:rPr>
                <w:rFonts w:hint="eastAsia"/>
                <w:color w:val="000000"/>
                <w:szCs w:val="21"/>
                <w:lang w:val="en-US" w:eastAsia="zh-CN"/>
              </w:rPr>
            </w:pPr>
            <w:r>
              <w:rPr>
                <w:rFonts w:hint="eastAsia"/>
                <w:color w:val="000000"/>
                <w:szCs w:val="21"/>
                <w:lang w:val="en-US" w:eastAsia="zh-CN"/>
              </w:rPr>
              <w:t>2、运营期不产生生产废水。生活污水经厂区原有化粪池沉淀后由环卫部门定期清运。</w:t>
            </w:r>
          </w:p>
          <w:p w14:paraId="00B7638E">
            <w:pPr>
              <w:spacing w:line="360" w:lineRule="auto"/>
              <w:jc w:val="left"/>
              <w:rPr>
                <w:rFonts w:hint="eastAsia"/>
                <w:color w:val="000000"/>
                <w:szCs w:val="21"/>
              </w:rPr>
            </w:pPr>
            <w:r>
              <w:rPr>
                <w:rFonts w:hint="eastAsia"/>
                <w:color w:val="000000"/>
                <w:szCs w:val="21"/>
                <w:lang w:val="en-US" w:eastAsia="zh-CN"/>
              </w:rPr>
              <w:t>3、</w:t>
            </w:r>
            <w:r>
              <w:rPr>
                <w:rFonts w:hint="eastAsia"/>
                <w:color w:val="000000"/>
                <w:szCs w:val="21"/>
              </w:rPr>
              <w:t>运营期厂界噪声执行《工业企业厂界环境噪声排放</w:t>
            </w:r>
            <w:r>
              <w:rPr>
                <w:rFonts w:hint="eastAsia"/>
                <w:color w:val="000000"/>
                <w:szCs w:val="21"/>
                <w:lang w:val="en-US" w:eastAsia="zh-CN"/>
              </w:rPr>
              <w:t>标</w:t>
            </w:r>
            <w:r>
              <w:rPr>
                <w:rFonts w:hint="eastAsia"/>
                <w:color w:val="000000"/>
                <w:szCs w:val="21"/>
              </w:rPr>
              <w:t>准》（GB</w:t>
            </w:r>
            <w:r>
              <w:rPr>
                <w:rFonts w:hint="eastAsia"/>
                <w:color w:val="000000"/>
                <w:szCs w:val="21"/>
                <w:lang w:val="en-US" w:eastAsia="zh-CN"/>
              </w:rPr>
              <w:t xml:space="preserve"> </w:t>
            </w:r>
            <w:r>
              <w:rPr>
                <w:rFonts w:hint="eastAsia"/>
                <w:color w:val="000000"/>
                <w:szCs w:val="21"/>
              </w:rPr>
              <w:t>12348-2008）中</w:t>
            </w:r>
            <w:r>
              <w:rPr>
                <w:rFonts w:hint="eastAsia"/>
                <w:color w:val="000000"/>
                <w:szCs w:val="21"/>
                <w:lang w:val="en-US" w:eastAsia="zh-CN"/>
              </w:rPr>
              <w:t>3</w:t>
            </w:r>
            <w:r>
              <w:rPr>
                <w:rFonts w:hint="eastAsia"/>
                <w:color w:val="000000"/>
                <w:szCs w:val="21"/>
              </w:rPr>
              <w:t>类标准。</w:t>
            </w:r>
          </w:p>
          <w:p w14:paraId="4E6F0D4F">
            <w:pPr>
              <w:spacing w:line="360" w:lineRule="auto"/>
              <w:jc w:val="left"/>
              <w:rPr>
                <w:rFonts w:hint="eastAsia"/>
                <w:color w:val="000000"/>
                <w:szCs w:val="21"/>
              </w:rPr>
            </w:pPr>
            <w:r>
              <w:rPr>
                <w:rFonts w:hint="eastAsia"/>
                <w:color w:val="000000"/>
                <w:szCs w:val="21"/>
                <w:lang w:val="en-US" w:eastAsia="zh-CN"/>
              </w:rPr>
              <w:t>4、妥善处置各类固体废弃物。建设单位须严格按照《一般工业固体废物贮存和填埋污染控制标准》（GB 18599-2020）处置一般固废，不得乱弃。</w:t>
            </w:r>
            <w:r>
              <w:rPr>
                <w:rFonts w:hint="eastAsia"/>
                <w:color w:val="000000"/>
                <w:szCs w:val="21"/>
                <w:lang w:val="en-US"/>
              </w:rPr>
              <w:t>危废暂存</w:t>
            </w:r>
            <w:r>
              <w:rPr>
                <w:rFonts w:hint="eastAsia"/>
                <w:color w:val="000000"/>
                <w:szCs w:val="21"/>
                <w:lang w:val="en-US" w:eastAsia="zh-CN"/>
              </w:rPr>
              <w:t>间</w:t>
            </w:r>
            <w:r>
              <w:rPr>
                <w:rFonts w:hint="eastAsia"/>
                <w:color w:val="000000"/>
                <w:szCs w:val="21"/>
                <w:lang w:val="en-US"/>
              </w:rPr>
              <w:t>须严格按照《危险废物贮存污染控制标准》（GB</w:t>
            </w:r>
            <w:r>
              <w:rPr>
                <w:rFonts w:hint="eastAsia"/>
                <w:color w:val="000000"/>
                <w:szCs w:val="21"/>
                <w:lang w:val="en-US" w:eastAsia="zh-CN"/>
              </w:rPr>
              <w:t xml:space="preserve"> </w:t>
            </w:r>
            <w:r>
              <w:rPr>
                <w:rFonts w:hint="eastAsia"/>
                <w:color w:val="000000"/>
                <w:szCs w:val="21"/>
                <w:lang w:val="en-US"/>
              </w:rPr>
              <w:t>18597-20</w:t>
            </w:r>
            <w:r>
              <w:rPr>
                <w:rFonts w:hint="eastAsia"/>
                <w:color w:val="000000"/>
                <w:szCs w:val="21"/>
                <w:lang w:val="en-US" w:eastAsia="zh-CN"/>
              </w:rPr>
              <w:t>23</w:t>
            </w:r>
            <w:r>
              <w:rPr>
                <w:rFonts w:hint="eastAsia"/>
                <w:color w:val="000000"/>
                <w:szCs w:val="21"/>
                <w:lang w:val="en-US"/>
              </w:rPr>
              <w:t>）进行设计、建设和管理。</w:t>
            </w:r>
            <w:r>
              <w:rPr>
                <w:rFonts w:hint="eastAsia"/>
                <w:color w:val="000000"/>
                <w:szCs w:val="21"/>
                <w:lang w:val="en-US" w:eastAsia="zh-CN"/>
              </w:rPr>
              <w:t>危险废物收集和运输等均按照《危险废物收集 贮存 运输技术规范》(HJ 2025-2012)要求执行。</w:t>
            </w:r>
            <w:r>
              <w:rPr>
                <w:rFonts w:hint="eastAsia"/>
                <w:color w:val="000000"/>
                <w:szCs w:val="21"/>
              </w:rPr>
              <w:t>危废必须由有资质单位处置。</w:t>
            </w:r>
            <w:r>
              <w:rPr>
                <w:rFonts w:hint="eastAsia"/>
                <w:color w:val="000000"/>
                <w:szCs w:val="21"/>
                <w:lang w:val="en-US" w:eastAsia="zh-CN"/>
              </w:rPr>
              <w:t>非正常情况下泄露的危险废物及冲洗水进入应急事故池中，收集后交由有资质单位处置。</w:t>
            </w:r>
          </w:p>
          <w:p w14:paraId="06861CC9">
            <w:pPr>
              <w:spacing w:line="360" w:lineRule="auto"/>
              <w:jc w:val="left"/>
              <w:rPr>
                <w:rFonts w:hint="eastAsia"/>
                <w:color w:val="000000"/>
                <w:szCs w:val="21"/>
              </w:rPr>
            </w:pPr>
            <w:r>
              <w:rPr>
                <w:rFonts w:hint="eastAsia"/>
                <w:color w:val="000000"/>
                <w:szCs w:val="21"/>
                <w:lang w:val="en-US" w:eastAsia="zh-CN"/>
              </w:rPr>
              <w:t>5、地面须按相关要求做好防渗措施，确保不会对地下水造成影响。</w:t>
            </w:r>
          </w:p>
          <w:p w14:paraId="1A2DBBF8">
            <w:pPr>
              <w:spacing w:line="360" w:lineRule="auto"/>
              <w:jc w:val="left"/>
              <w:rPr>
                <w:rFonts w:hint="eastAsia"/>
                <w:color w:val="000000"/>
                <w:szCs w:val="21"/>
              </w:rPr>
            </w:pPr>
            <w:r>
              <w:rPr>
                <w:rFonts w:hint="eastAsia"/>
                <w:color w:val="000000"/>
                <w:szCs w:val="21"/>
                <w:lang w:val="en-US" w:eastAsia="zh-CN"/>
              </w:rPr>
              <w:t>6、强化环境风险防范，制定突发环境事件应急预案，落实环境风险事故防范措施，提高事故风险防范和污染控制能力。</w:t>
            </w:r>
          </w:p>
          <w:p w14:paraId="3F88BE76">
            <w:pPr>
              <w:spacing w:line="360" w:lineRule="auto"/>
              <w:jc w:val="left"/>
              <w:rPr>
                <w:rFonts w:hint="eastAsia"/>
                <w:color w:val="000000"/>
                <w:szCs w:val="21"/>
                <w:lang w:val="en-US" w:eastAsia="zh-CN"/>
              </w:rPr>
            </w:pPr>
            <w:r>
              <w:rPr>
                <w:rFonts w:hint="eastAsia"/>
                <w:color w:val="000000"/>
                <w:szCs w:val="21"/>
                <w:lang w:val="en-US" w:eastAsia="zh-CN"/>
              </w:rPr>
              <w:t>7、按照《排污口规范化整治技术要求》（环监〔1996〕470号）规范设置排污口。</w:t>
            </w:r>
          </w:p>
          <w:p w14:paraId="3610418F">
            <w:pPr>
              <w:spacing w:line="360" w:lineRule="auto"/>
              <w:jc w:val="left"/>
              <w:rPr>
                <w:rFonts w:hint="eastAsia"/>
                <w:color w:val="000000"/>
                <w:szCs w:val="21"/>
              </w:rPr>
            </w:pPr>
            <w:r>
              <w:rPr>
                <w:rFonts w:hint="eastAsia"/>
                <w:color w:val="000000"/>
                <w:szCs w:val="21"/>
                <w:lang w:val="en-US" w:eastAsia="zh-CN"/>
              </w:rPr>
              <w:t>三、你单位应委托有相应资质的设计单位对建设项目重点环保设施进行设计，并在项目施工及运行过程中严格落实环保设施安全生产工作要求。</w:t>
            </w:r>
          </w:p>
          <w:p w14:paraId="3B78582F">
            <w:pPr>
              <w:spacing w:line="360" w:lineRule="auto"/>
              <w:jc w:val="left"/>
              <w:rPr>
                <w:rFonts w:hint="eastAsia"/>
                <w:color w:val="000000"/>
                <w:szCs w:val="21"/>
              </w:rPr>
            </w:pPr>
            <w:r>
              <w:rPr>
                <w:rFonts w:hint="eastAsia"/>
                <w:color w:val="000000"/>
                <w:szCs w:val="21"/>
                <w:lang w:val="en-US" w:eastAsia="zh-CN"/>
              </w:rPr>
              <w:t>四、</w:t>
            </w:r>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31D66976">
            <w:pPr>
              <w:spacing w:line="360" w:lineRule="auto"/>
              <w:jc w:val="left"/>
              <w:rPr>
                <w:color w:val="000000"/>
                <w:szCs w:val="21"/>
              </w:rPr>
            </w:pPr>
            <w:r>
              <w:rPr>
                <w:rFonts w:hint="eastAsia"/>
                <w:color w:val="000000"/>
                <w:szCs w:val="21"/>
                <w:lang w:val="en-US" w:eastAsia="zh-CN"/>
              </w:rPr>
              <w:t>五、</w:t>
            </w:r>
            <w:r>
              <w:rPr>
                <w:rFonts w:hint="eastAsia"/>
                <w:color w:val="000000"/>
                <w:szCs w:val="21"/>
              </w:rPr>
              <w:t>你单位应在收到本批复20日内，将《报告表》（报批版）及批复文件送至鄂尔多斯市生态环境综合行政执法支队东胜区大队，由鄂尔多斯市生态环境综合行政执法支队东胜区大队负责该项目的事中事后监管</w:t>
            </w:r>
            <w:r>
              <w:rPr>
                <w:rFonts w:hint="eastAsia"/>
                <w:color w:val="000000"/>
                <w:szCs w:val="21"/>
                <w:lang w:eastAsia="zh-CN"/>
              </w:rPr>
              <w:t>。</w:t>
            </w:r>
            <w:r>
              <w:rPr>
                <w:rFonts w:hint="eastAsia"/>
                <w:color w:val="000000"/>
                <w:szCs w:val="21"/>
              </w:rPr>
              <w:t xml:space="preserve">该项目从批准之日起超过5年方决定开工建设，其环评文件应重新审核。如果建设地点、规模、防治污染和防止生态破坏的措施等发生重大变化时，需重新报批环评文件。                                                  </w:t>
            </w:r>
          </w:p>
        </w:tc>
      </w:tr>
    </w:tbl>
    <w:p w14:paraId="1BBE2646"/>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049F3351"/>
    <w:rsid w:val="15947A84"/>
    <w:rsid w:val="22A00A67"/>
    <w:rsid w:val="3E062DA7"/>
    <w:rsid w:val="497150DD"/>
    <w:rsid w:val="4DE41872"/>
    <w:rsid w:val="54973A8B"/>
    <w:rsid w:val="5E371149"/>
    <w:rsid w:val="641136E8"/>
    <w:rsid w:val="784D0BDC"/>
    <w:rsid w:val="7F061C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1">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qFormat/>
    <w:uiPriority w:val="99"/>
    <w:pPr>
      <w:ind w:left="420" w:leftChars="200"/>
    </w:pPr>
  </w:style>
  <w:style w:type="paragraph" w:styleId="4">
    <w:name w:val="Normal Indent"/>
    <w:basedOn w:val="1"/>
    <w:next w:val="2"/>
    <w:autoRedefine/>
    <w:semiHidden/>
    <w:unhideWhenUsed/>
    <w:qFormat/>
    <w:uiPriority w:val="99"/>
    <w:pPr>
      <w:ind w:firstLine="420" w:firstLineChars="200"/>
    </w:pPr>
  </w:style>
  <w:style w:type="paragraph" w:styleId="5">
    <w:name w:val="Body Text"/>
    <w:basedOn w:val="1"/>
    <w:qFormat/>
    <w:uiPriority w:val="99"/>
    <w:pPr>
      <w:spacing w:after="120"/>
    </w:pPr>
    <w:rPr>
      <w:rFonts w:ascii="Calibri" w:hAnsi="Calibri"/>
      <w:szCs w:val="22"/>
    </w:rPr>
  </w:style>
  <w:style w:type="paragraph" w:styleId="6">
    <w:name w:val="footer"/>
    <w:basedOn w:val="1"/>
    <w:link w:val="13"/>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2"/>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toc 2"/>
    <w:basedOn w:val="1"/>
    <w:next w:val="1"/>
    <w:unhideWhenUsed/>
    <w:qFormat/>
    <w:uiPriority w:val="39"/>
    <w:pPr>
      <w:ind w:left="420" w:leftChars="200"/>
    </w:pPr>
  </w:style>
  <w:style w:type="paragraph" w:styleId="9">
    <w:name w:val="Body Text 2"/>
    <w:basedOn w:val="1"/>
    <w:next w:val="1"/>
    <w:qFormat/>
    <w:uiPriority w:val="0"/>
    <w:pPr>
      <w:spacing w:after="120" w:line="480" w:lineRule="auto"/>
    </w:pPr>
  </w:style>
  <w:style w:type="character" w:customStyle="1" w:styleId="12">
    <w:name w:val="页眉 字符"/>
    <w:basedOn w:val="11"/>
    <w:link w:val="7"/>
    <w:autoRedefine/>
    <w:qFormat/>
    <w:uiPriority w:val="99"/>
    <w:rPr>
      <w:sz w:val="18"/>
      <w:szCs w:val="18"/>
    </w:rPr>
  </w:style>
  <w:style w:type="character" w:customStyle="1" w:styleId="13">
    <w:name w:val="页脚 字符"/>
    <w:basedOn w:val="11"/>
    <w:link w:val="6"/>
    <w:autoRedefine/>
    <w:qFormat/>
    <w:uiPriority w:val="99"/>
    <w:rPr>
      <w:sz w:val="18"/>
      <w:szCs w:val="18"/>
    </w:rPr>
  </w:style>
  <w:style w:type="character" w:customStyle="1" w:styleId="14">
    <w:name w:val="NormalCharacter"/>
    <w:autoRedefine/>
    <w:semiHidden/>
    <w:qFormat/>
    <w:uiPriority w:val="99"/>
  </w:style>
  <w:style w:type="paragraph" w:customStyle="1" w:styleId="15">
    <w:name w:val="图表"/>
    <w:basedOn w:val="3"/>
    <w:autoRedefine/>
    <w:qFormat/>
    <w:uiPriority w:val="0"/>
    <w:pPr>
      <w:widowControl/>
      <w:autoSpaceDE w:val="0"/>
      <w:autoSpaceDN w:val="0"/>
      <w:adjustRightInd w:val="0"/>
      <w:snapToGrid w:val="0"/>
      <w:spacing w:after="0" w:line="360" w:lineRule="auto"/>
      <w:ind w:left="0" w:leftChars="0"/>
      <w:jc w:val="center"/>
    </w:pPr>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1444</Words>
  <Characters>1524</Characters>
  <Lines>11</Lines>
  <Paragraphs>3</Paragraphs>
  <TotalTime>2</TotalTime>
  <ScaleCrop>false</ScaleCrop>
  <LinksUpToDate>false</LinksUpToDate>
  <CharactersWithSpaces>1577</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瑄儿妈妈(亲子阅读推广)</cp:lastModifiedBy>
  <dcterms:modified xsi:type="dcterms:W3CDTF">2024-10-11T03:23:01Z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8A8837DC28804F048B97D671515894C8_12</vt:lpwstr>
  </property>
</Properties>
</file>