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2"/>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rPr>
              <w:t>鄂尔多斯市东胜区民达生态农业有限责任公司供暖改造工程</w:t>
            </w:r>
          </w:p>
        </w:tc>
        <w:tc>
          <w:tcPr>
            <w:tcW w:w="397" w:type="dxa"/>
            <w:vAlign w:val="center"/>
          </w:tcPr>
          <w:p w14:paraId="53D2BE93">
            <w:pPr>
              <w:spacing w:line="600" w:lineRule="exact"/>
              <w:jc w:val="center"/>
              <w:rPr>
                <w:color w:val="000000"/>
                <w:szCs w:val="21"/>
              </w:rPr>
            </w:pPr>
            <w:r>
              <w:rPr>
                <w:rFonts w:hint="eastAsia"/>
                <w:color w:val="000000"/>
                <w:szCs w:val="21"/>
              </w:rPr>
              <w:t>东胜区铜川镇民达生态农业有限责任公司场地内</w:t>
            </w:r>
          </w:p>
        </w:tc>
        <w:tc>
          <w:tcPr>
            <w:tcW w:w="465" w:type="dxa"/>
            <w:vAlign w:val="center"/>
          </w:tcPr>
          <w:p w14:paraId="25BCC080">
            <w:pPr>
              <w:spacing w:line="600" w:lineRule="exact"/>
              <w:jc w:val="center"/>
              <w:rPr>
                <w:color w:val="000000"/>
                <w:szCs w:val="21"/>
              </w:rPr>
            </w:pPr>
            <w:r>
              <w:rPr>
                <w:rFonts w:hint="eastAsia"/>
                <w:color w:val="000000"/>
                <w:szCs w:val="21"/>
              </w:rPr>
              <w:t>鄂尔多斯市东胜区民达生态农业有限责任公司</w:t>
            </w:r>
          </w:p>
        </w:tc>
        <w:tc>
          <w:tcPr>
            <w:tcW w:w="675" w:type="dxa"/>
            <w:vAlign w:val="center"/>
          </w:tcPr>
          <w:p w14:paraId="5D04F640">
            <w:pPr>
              <w:spacing w:line="600" w:lineRule="exact"/>
              <w:jc w:val="center"/>
              <w:rPr>
                <w:color w:val="000000"/>
                <w:szCs w:val="21"/>
              </w:rPr>
            </w:pPr>
            <w:r>
              <w:rPr>
                <w:rFonts w:hint="eastAsia" w:ascii="Times New Roman" w:hAnsi="Times New Roman" w:eastAsia="宋体" w:cs="Times New Roman"/>
                <w:szCs w:val="22"/>
              </w:rPr>
              <w:fldChar w:fldCharType="begin"/>
            </w:r>
            <w:r>
              <w:rPr>
                <w:rFonts w:hint="eastAsia" w:ascii="Times New Roman" w:hAnsi="Times New Roman" w:eastAsia="宋体" w:cs="Times New Roman"/>
                <w:szCs w:val="22"/>
              </w:rPr>
              <w:instrText xml:space="preserve"> HYPERLINK "javascript:viewHomeCompanyInfoView('1278652497489051611')" </w:instrText>
            </w:r>
            <w:r>
              <w:rPr>
                <w:rFonts w:hint="eastAsia" w:ascii="Times New Roman" w:hAnsi="Times New Roman" w:eastAsia="宋体" w:cs="Times New Roman"/>
                <w:szCs w:val="22"/>
              </w:rPr>
              <w:fldChar w:fldCharType="separate"/>
            </w:r>
            <w:r>
              <w:rPr>
                <w:rFonts w:hint="eastAsia" w:ascii="Times New Roman" w:hAnsi="Times New Roman" w:eastAsia="宋体" w:cs="Times New Roman"/>
                <w:szCs w:val="22"/>
              </w:rPr>
              <w:t>鄂尔多斯市嘉鑫环保科技有限责任公司</w:t>
            </w:r>
            <w:r>
              <w:rPr>
                <w:rFonts w:hint="eastAsia" w:ascii="Times New Roman" w:hAnsi="Times New Roman" w:eastAsia="宋体" w:cs="Times New Roman"/>
                <w:szCs w:val="22"/>
              </w:rPr>
              <w:fldChar w:fldCharType="end"/>
            </w:r>
          </w:p>
        </w:tc>
        <w:tc>
          <w:tcPr>
            <w:tcW w:w="2555" w:type="dxa"/>
            <w:vAlign w:val="center"/>
          </w:tcPr>
          <w:p w14:paraId="76F24A7E">
            <w:pPr>
              <w:spacing w:line="360" w:lineRule="auto"/>
              <w:ind w:firstLine="420" w:firstLineChars="200"/>
              <w:rPr>
                <w:rFonts w:hint="eastAsia"/>
                <w:color w:val="000000"/>
                <w:szCs w:val="21"/>
                <w:lang w:val="en-US" w:eastAsia="zh-CN"/>
              </w:rPr>
            </w:pPr>
            <w:r>
              <w:rPr>
                <w:rFonts w:hint="eastAsia"/>
                <w:color w:val="000000"/>
                <w:szCs w:val="21"/>
                <w:lang w:val="en-US" w:eastAsia="zh-CN"/>
              </w:rPr>
              <w:t>一、该项目属于改扩建项目，位于鄂尔多斯市东胜区铜川镇民达生态农业有限责任公司场地内。项目总占地面积186.28平方米，总投资238万元，其中环保投资93万元。主要建设内容及规模：拟拆除1台0.35MW锅炉、1台1.4MW锅炉和140台散烧小土炉，新增1台8.4MW燃煤热水锅炉及相关配套设施。</w:t>
            </w:r>
          </w:p>
          <w:p w14:paraId="3F3E6796">
            <w:pPr>
              <w:spacing w:line="360" w:lineRule="auto"/>
              <w:ind w:firstLine="420" w:firstLineChars="200"/>
              <w:rPr>
                <w:color w:val="000000"/>
                <w:szCs w:val="21"/>
              </w:rPr>
            </w:pPr>
          </w:p>
        </w:tc>
        <w:tc>
          <w:tcPr>
            <w:tcW w:w="4877" w:type="dxa"/>
            <w:vAlign w:val="center"/>
          </w:tcPr>
          <w:p w14:paraId="70A76880">
            <w:pPr>
              <w:spacing w:line="360" w:lineRule="auto"/>
              <w:jc w:val="left"/>
              <w:rPr>
                <w:rFonts w:hint="eastAsia"/>
                <w:color w:val="000000"/>
                <w:szCs w:val="21"/>
                <w:lang w:val="en-US" w:eastAsia="zh-CN"/>
              </w:rPr>
            </w:pPr>
            <w:r>
              <w:rPr>
                <w:rFonts w:hint="eastAsia"/>
                <w:color w:val="000000"/>
                <w:szCs w:val="21"/>
                <w:lang w:val="en-US" w:eastAsia="zh-CN"/>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28E8644">
            <w:pPr>
              <w:spacing w:line="360" w:lineRule="auto"/>
              <w:jc w:val="left"/>
              <w:rPr>
                <w:rFonts w:hint="eastAsia"/>
                <w:color w:val="000000"/>
                <w:szCs w:val="21"/>
                <w:lang w:val="en-US" w:eastAsia="zh-CN"/>
              </w:rPr>
            </w:pPr>
            <w:r>
              <w:rPr>
                <w:rFonts w:hint="eastAsia"/>
                <w:color w:val="000000"/>
                <w:szCs w:val="21"/>
                <w:lang w:val="en-US" w:eastAsia="zh-CN"/>
              </w:rPr>
              <w:t>二、在项目工程设计、建设和环境管理中，你单位必须严格落实《报告表》中提出的各项环保措施和要求，确保各项污染物稳定达标排放，并须着重做好以下工作：</w:t>
            </w:r>
          </w:p>
          <w:p w14:paraId="430F96E8">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5D16BF87">
            <w:pPr>
              <w:spacing w:line="360" w:lineRule="auto"/>
              <w:jc w:val="left"/>
              <w:rPr>
                <w:rFonts w:hint="eastAsia"/>
                <w:color w:val="000000"/>
                <w:szCs w:val="21"/>
                <w:lang w:val="en-US" w:eastAsia="zh-CN"/>
              </w:rPr>
            </w:pPr>
            <w:r>
              <w:rPr>
                <w:rFonts w:hint="eastAsia"/>
                <w:color w:val="000000"/>
                <w:szCs w:val="21"/>
                <w:lang w:val="en-US" w:eastAsia="zh-CN"/>
              </w:rPr>
              <w:t>1、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4F84D6B4">
            <w:pPr>
              <w:spacing w:line="360" w:lineRule="auto"/>
              <w:jc w:val="left"/>
              <w:rPr>
                <w:rFonts w:hint="eastAsia"/>
                <w:color w:val="000000"/>
                <w:szCs w:val="21"/>
                <w:lang w:val="en-US" w:eastAsia="zh-CN"/>
              </w:rPr>
            </w:pPr>
            <w:r>
              <w:rPr>
                <w:rFonts w:hint="eastAsia"/>
                <w:color w:val="000000"/>
                <w:szCs w:val="21"/>
                <w:lang w:val="en-US" w:eastAsia="zh-CN"/>
              </w:rPr>
              <w:t>2、生活污水依托民达煤矿矿区生活污水处理设施处理。</w:t>
            </w:r>
          </w:p>
          <w:p w14:paraId="62BB94E8">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33E4A9F8">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658F26F5">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3C568507">
            <w:pPr>
              <w:spacing w:line="360" w:lineRule="auto"/>
              <w:jc w:val="left"/>
              <w:rPr>
                <w:rFonts w:hint="eastAsia"/>
                <w:color w:val="000000"/>
                <w:szCs w:val="21"/>
                <w:lang w:val="en-US" w:eastAsia="zh-CN"/>
              </w:rPr>
            </w:pPr>
            <w:r>
              <w:rPr>
                <w:rFonts w:hint="eastAsia"/>
                <w:color w:val="000000"/>
                <w:szCs w:val="21"/>
                <w:lang w:val="en-US" w:eastAsia="zh-CN"/>
              </w:rPr>
              <w:t>1、运营期储煤棚、灰渣库和料仓全封闭。锅炉烟气经收集处理后由一根40米高排气筒排放，执行《锅炉大气污染物排放标准》（GB13271-2014）表2新建锅炉大气污染物排放浓度限值。氨逃逸废气执行《恶臭污染物排放标准》（GB14554-93）表2恶臭污染物排放标准值。脱硝系统尿素配料废气执行《恶臭污染物排放标准》（GB14554-93）表1中二级新扩改建标准限值。运营期大</w:t>
            </w:r>
            <w:r>
              <w:rPr>
                <w:rFonts w:hint="eastAsia"/>
                <w:color w:val="000000"/>
                <w:szCs w:val="21"/>
                <w:lang w:eastAsia="zh-CN"/>
              </w:rPr>
              <w:t>气污染物</w:t>
            </w:r>
            <w:r>
              <w:rPr>
                <w:rFonts w:hint="eastAsia"/>
                <w:color w:val="000000"/>
                <w:szCs w:val="21"/>
              </w:rPr>
              <w:t>无组织</w:t>
            </w:r>
            <w:r>
              <w:rPr>
                <w:rFonts w:hint="eastAsia"/>
                <w:color w:val="000000"/>
                <w:szCs w:val="21"/>
                <w:lang w:val="en-US" w:eastAsia="zh-CN"/>
              </w:rPr>
              <w:t>粉尘</w:t>
            </w:r>
            <w:r>
              <w:rPr>
                <w:rFonts w:hint="eastAsia"/>
                <w:color w:val="000000"/>
                <w:szCs w:val="21"/>
              </w:rPr>
              <w:t>排放执行《大气污染物综合排放标准》（GB16297-1996）表2中无组织排放监控浓度限值。</w:t>
            </w:r>
          </w:p>
          <w:p w14:paraId="7916969E">
            <w:pPr>
              <w:spacing w:line="360" w:lineRule="auto"/>
              <w:jc w:val="left"/>
              <w:rPr>
                <w:rFonts w:hint="eastAsia"/>
                <w:color w:val="000000"/>
                <w:szCs w:val="21"/>
                <w:lang w:val="en-US" w:eastAsia="zh-CN"/>
              </w:rPr>
            </w:pPr>
            <w:r>
              <w:rPr>
                <w:rFonts w:hint="eastAsia"/>
                <w:color w:val="000000"/>
                <w:szCs w:val="21"/>
                <w:lang w:val="en-US" w:eastAsia="zh-CN"/>
              </w:rPr>
              <w:t>2、运营期生产废水全部回用，不外排；不新增生活污水。</w:t>
            </w:r>
          </w:p>
          <w:p w14:paraId="5573B73F">
            <w:pPr>
              <w:spacing w:line="360" w:lineRule="auto"/>
              <w:jc w:val="left"/>
              <w:rPr>
                <w:rFonts w:hint="eastAsia"/>
                <w:color w:val="000000"/>
                <w:szCs w:val="21"/>
                <w:lang w:val="en-US" w:eastAsia="zh-CN"/>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w:t>
            </w:r>
            <w:r>
              <w:rPr>
                <w:rFonts w:hint="eastAsia"/>
                <w:color w:val="000000"/>
                <w:szCs w:val="21"/>
                <w:lang w:val="en-US" w:eastAsia="zh-CN"/>
              </w:rPr>
              <w:t>2008）中2类标准。</w:t>
            </w:r>
          </w:p>
          <w:p w14:paraId="1F7BE28D">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4、妥善处置各类固体废弃物。建设单位须严格按照《一般工业固体废物贮存和填埋污染控制标准》（GB18599-2020）处置一般固废，不得乱弃。危险废物收集和运输等均按照《危险废物收集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非正常情况下泄露的危险废物及冲洗水进入应急事故池中，收集后交由有资质单位处置。</w:t>
            </w:r>
          </w:p>
          <w:p w14:paraId="6CB37B50">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14:paraId="269A4132">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14:paraId="54EB99E4">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14:paraId="67C2141D">
            <w:pPr>
              <w:spacing w:line="360" w:lineRule="auto"/>
              <w:jc w:val="left"/>
              <w:rPr>
                <w:rFonts w:hint="eastAsia"/>
                <w:color w:val="000000"/>
                <w:szCs w:val="21"/>
                <w:lang w:val="en-US" w:eastAsia="zh-CN"/>
              </w:rPr>
            </w:pPr>
            <w:r>
              <w:rPr>
                <w:rFonts w:hint="eastAsia"/>
                <w:color w:val="000000"/>
                <w:szCs w:val="21"/>
                <w:lang w:val="en-US" w:eastAsia="zh-CN"/>
              </w:rPr>
              <w:t>三、本项目申请二氧化硫和氮氧化物总量分别为</w:t>
            </w:r>
            <w:bookmarkStart w:id="0" w:name="_GoBack"/>
            <w:bookmarkEnd w:id="0"/>
            <w:r>
              <w:rPr>
                <w:rFonts w:hint="eastAsia"/>
                <w:color w:val="000000"/>
                <w:szCs w:val="21"/>
                <w:lang w:val="en-US" w:eastAsia="zh-CN"/>
              </w:rPr>
              <w:t>8.21吨/年和9.05吨/年（鄂环气字〔2024〕31号）。</w:t>
            </w:r>
          </w:p>
          <w:p w14:paraId="639EA022">
            <w:pPr>
              <w:spacing w:line="360" w:lineRule="auto"/>
              <w:jc w:val="left"/>
              <w:rPr>
                <w:rFonts w:hint="eastAsia"/>
                <w:color w:val="000000"/>
                <w:szCs w:val="21"/>
              </w:rPr>
            </w:pPr>
            <w:r>
              <w:rPr>
                <w:rFonts w:hint="eastAsia"/>
                <w:color w:val="000000"/>
                <w:szCs w:val="21"/>
                <w:lang w:val="en-US" w:eastAsia="zh-CN"/>
              </w:rPr>
              <w:t>四、你单位应委托有相应资质的设计单位对建设项目重点环保设施进行设计，并在项目施工及运行过程中严格落实环保设施安全生产工作要求。</w:t>
            </w:r>
          </w:p>
          <w:p w14:paraId="54484A62">
            <w:pPr>
              <w:spacing w:line="360" w:lineRule="auto"/>
              <w:jc w:val="left"/>
              <w:rPr>
                <w:rFonts w:hint="eastAsia"/>
                <w:color w:val="000000"/>
                <w:szCs w:val="21"/>
              </w:rPr>
            </w:pPr>
            <w:r>
              <w:rPr>
                <w:rFonts w:hint="eastAsia"/>
                <w:color w:val="000000"/>
                <w:szCs w:val="21"/>
                <w:lang w:eastAsia="zh-CN"/>
              </w:rPr>
              <w:t>五、</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1D66976">
            <w:pPr>
              <w:spacing w:line="360" w:lineRule="auto"/>
              <w:jc w:val="left"/>
              <w:rPr>
                <w:color w:val="000000"/>
                <w:szCs w:val="21"/>
              </w:rPr>
            </w:pPr>
            <w:r>
              <w:rPr>
                <w:rFonts w:hint="eastAsia"/>
                <w:color w:val="000000"/>
                <w:szCs w:val="21"/>
                <w:lang w:eastAsia="zh-CN"/>
              </w:rPr>
              <w:t>六、</w:t>
            </w:r>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ZlZDkxNzRiNjE4NmYwMTAwZDQ4N2MwZmUwNjc3MWUifQ=="/>
  </w:docVars>
  <w:rsids>
    <w:rsidRoot w:val="007E3F49"/>
    <w:rsid w:val="00655DD2"/>
    <w:rsid w:val="007E3F49"/>
    <w:rsid w:val="008B4FF3"/>
    <w:rsid w:val="00A14109"/>
    <w:rsid w:val="00AC4964"/>
    <w:rsid w:val="00D56621"/>
    <w:rsid w:val="00ED3C94"/>
    <w:rsid w:val="00FE0A91"/>
    <w:rsid w:val="049F3351"/>
    <w:rsid w:val="15947A84"/>
    <w:rsid w:val="246D4B02"/>
    <w:rsid w:val="3E062DA7"/>
    <w:rsid w:val="497150DD"/>
    <w:rsid w:val="4DE41872"/>
    <w:rsid w:val="54973A8B"/>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customStyle="1" w:styleId="2">
    <w:name w:val="A样式 小四 行距: 1.5 倍行距 首行缩进:  2 字符"/>
    <w:basedOn w:val="1"/>
    <w:qFormat/>
    <w:uiPriority w:val="0"/>
    <w:pPr>
      <w:ind w:firstLine="480"/>
    </w:pPr>
    <w:rPr>
      <w:rFonts w:cs="宋体"/>
      <w:szCs w:val="22"/>
    </w:rPr>
  </w:style>
  <w:style w:type="paragraph" w:styleId="3">
    <w:name w:val="Normal Indent"/>
    <w:basedOn w:val="1"/>
    <w:next w:val="4"/>
    <w:autoRedefine/>
    <w:semiHidden/>
    <w:unhideWhenUsed/>
    <w:qFormat/>
    <w:uiPriority w:val="99"/>
    <w:pPr>
      <w:ind w:firstLine="420" w:firstLineChars="200"/>
    </w:pPr>
  </w:style>
  <w:style w:type="paragraph" w:styleId="4">
    <w:name w:val="Body Text First Indent 2"/>
    <w:basedOn w:val="5"/>
    <w:next w:val="1"/>
    <w:qFormat/>
    <w:uiPriority w:val="99"/>
    <w:pPr>
      <w:spacing w:line="240" w:lineRule="auto"/>
      <w:ind w:firstLine="420"/>
    </w:p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qFormat/>
    <w:uiPriority w:val="99"/>
    <w:pPr>
      <w:spacing w:after="120"/>
    </w:pPr>
    <w:rPr>
      <w:rFonts w:ascii="Calibri" w:hAnsi="Calibri"/>
      <w:szCs w:val="22"/>
    </w:rPr>
  </w:style>
  <w:style w:type="paragraph" w:styleId="8">
    <w:name w:val="footer"/>
    <w:basedOn w:val="1"/>
    <w:link w:val="15"/>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4"/>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toc 2"/>
    <w:basedOn w:val="1"/>
    <w:next w:val="1"/>
    <w:unhideWhenUsed/>
    <w:qFormat/>
    <w:uiPriority w:val="39"/>
    <w:pPr>
      <w:ind w:left="420" w:leftChars="200"/>
    </w:pPr>
  </w:style>
  <w:style w:type="paragraph" w:styleId="11">
    <w:name w:val="Body Text 2"/>
    <w:basedOn w:val="1"/>
    <w:next w:val="1"/>
    <w:qFormat/>
    <w:uiPriority w:val="0"/>
    <w:pPr>
      <w:spacing w:after="120" w:line="480" w:lineRule="auto"/>
    </w:pPr>
  </w:style>
  <w:style w:type="character" w:customStyle="1" w:styleId="14">
    <w:name w:val="页眉 字符"/>
    <w:basedOn w:val="13"/>
    <w:link w:val="9"/>
    <w:autoRedefine/>
    <w:qFormat/>
    <w:uiPriority w:val="99"/>
    <w:rPr>
      <w:sz w:val="18"/>
      <w:szCs w:val="18"/>
    </w:rPr>
  </w:style>
  <w:style w:type="character" w:customStyle="1" w:styleId="15">
    <w:name w:val="页脚 字符"/>
    <w:basedOn w:val="13"/>
    <w:link w:val="8"/>
    <w:autoRedefine/>
    <w:qFormat/>
    <w:uiPriority w:val="99"/>
    <w:rPr>
      <w:sz w:val="18"/>
      <w:szCs w:val="18"/>
    </w:rPr>
  </w:style>
  <w:style w:type="character" w:customStyle="1" w:styleId="16">
    <w:name w:val="NormalCharacter"/>
    <w:autoRedefine/>
    <w:semiHidden/>
    <w:qFormat/>
    <w:uiPriority w:val="99"/>
  </w:style>
  <w:style w:type="paragraph" w:customStyle="1" w:styleId="17">
    <w:name w:val="图表"/>
    <w:basedOn w:val="5"/>
    <w:autoRedefine/>
    <w:qFormat/>
    <w:uiPriority w:val="0"/>
    <w:pPr>
      <w:widowControl/>
      <w:autoSpaceDE w:val="0"/>
      <w:autoSpaceDN w:val="0"/>
      <w:adjustRightInd w:val="0"/>
      <w:snapToGrid w:val="0"/>
      <w:spacing w:after="0" w:line="360" w:lineRule="auto"/>
      <w:ind w:left="0" w:leftChars="0"/>
      <w:jc w:val="center"/>
    </w:pPr>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1556</Words>
  <Characters>1677</Characters>
  <Lines>11</Lines>
  <Paragraphs>3</Paragraphs>
  <TotalTime>0</TotalTime>
  <ScaleCrop>false</ScaleCrop>
  <LinksUpToDate>false</LinksUpToDate>
  <CharactersWithSpaces>1731</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2024-09-20T09:01:41Z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8A8837DC28804F048B97D671515894C8_12</vt:lpwstr>
  </property>
</Properties>
</file>