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4967D">
      <w:pPr>
        <w:snapToGrid w:val="0"/>
        <w:spacing w:line="580" w:lineRule="exact"/>
        <w:jc w:val="center"/>
        <w:rPr>
          <w:rStyle w:val="17"/>
          <w:rFonts w:ascii="仿宋_GB2312" w:eastAsia="仿宋_GB2312"/>
          <w:color w:val="auto"/>
          <w:sz w:val="32"/>
          <w:szCs w:val="32"/>
        </w:rPr>
      </w:pPr>
    </w:p>
    <w:p w14:paraId="42854BD5">
      <w:pPr>
        <w:snapToGrid w:val="0"/>
        <w:spacing w:line="580" w:lineRule="exact"/>
        <w:jc w:val="center"/>
        <w:rPr>
          <w:rStyle w:val="17"/>
          <w:rFonts w:ascii="仿宋_GB2312" w:eastAsia="仿宋_GB2312"/>
          <w:color w:val="auto"/>
          <w:sz w:val="32"/>
          <w:szCs w:val="32"/>
        </w:rPr>
      </w:pPr>
    </w:p>
    <w:p w14:paraId="7EAA99F1">
      <w:pPr>
        <w:snapToGrid w:val="0"/>
        <w:spacing w:line="580" w:lineRule="exact"/>
        <w:jc w:val="center"/>
        <w:rPr>
          <w:rStyle w:val="17"/>
          <w:rFonts w:ascii="仿宋_GB2312" w:eastAsia="仿宋_GB2312"/>
          <w:color w:val="auto"/>
          <w:sz w:val="32"/>
          <w:szCs w:val="32"/>
        </w:rPr>
      </w:pPr>
    </w:p>
    <w:p w14:paraId="73730844">
      <w:pPr>
        <w:snapToGrid w:val="0"/>
        <w:spacing w:line="580" w:lineRule="exact"/>
        <w:jc w:val="center"/>
        <w:rPr>
          <w:rStyle w:val="17"/>
          <w:rFonts w:ascii="仿宋_GB2312" w:eastAsia="仿宋_GB2312"/>
          <w:color w:val="auto"/>
          <w:sz w:val="32"/>
          <w:szCs w:val="32"/>
        </w:rPr>
      </w:pPr>
    </w:p>
    <w:p w14:paraId="6607A8E0">
      <w:pPr>
        <w:snapToGrid w:val="0"/>
        <w:spacing w:line="580" w:lineRule="exact"/>
        <w:jc w:val="center"/>
        <w:rPr>
          <w:rStyle w:val="17"/>
          <w:rFonts w:ascii="仿宋_GB2312" w:eastAsia="仿宋_GB2312"/>
          <w:color w:val="auto"/>
          <w:sz w:val="32"/>
          <w:szCs w:val="32"/>
        </w:rPr>
      </w:pPr>
    </w:p>
    <w:p w14:paraId="70FE95AC">
      <w:pPr>
        <w:snapToGrid w:val="0"/>
        <w:spacing w:line="580" w:lineRule="exact"/>
        <w:jc w:val="center"/>
        <w:rPr>
          <w:rStyle w:val="17"/>
          <w:rFonts w:ascii="仿宋_GB2312" w:eastAsia="仿宋_GB2312"/>
          <w:color w:val="auto"/>
          <w:sz w:val="32"/>
          <w:szCs w:val="32"/>
        </w:rPr>
      </w:pPr>
    </w:p>
    <w:p w14:paraId="16D9C689">
      <w:pPr>
        <w:snapToGrid w:val="0"/>
        <w:spacing w:line="580" w:lineRule="exact"/>
        <w:jc w:val="center"/>
        <w:rPr>
          <w:rStyle w:val="17"/>
          <w:rFonts w:ascii="仿宋_GB2312" w:eastAsia="仿宋_GB2312"/>
          <w:color w:val="auto"/>
          <w:sz w:val="32"/>
          <w:szCs w:val="32"/>
        </w:rPr>
      </w:pPr>
    </w:p>
    <w:p w14:paraId="08AF2F53">
      <w:pPr>
        <w:snapToGrid w:val="0"/>
        <w:spacing w:line="580" w:lineRule="exact"/>
        <w:jc w:val="center"/>
        <w:rPr>
          <w:rStyle w:val="17"/>
          <w:rFonts w:ascii="仿宋_GB2312" w:eastAsia="仿宋_GB2312"/>
          <w:color w:val="auto"/>
          <w:sz w:val="32"/>
          <w:szCs w:val="32"/>
        </w:rPr>
      </w:pPr>
    </w:p>
    <w:p w14:paraId="616AE6EC">
      <w:pPr>
        <w:pStyle w:val="26"/>
        <w:rPr>
          <w:rStyle w:val="17"/>
          <w:color w:val="auto"/>
        </w:rPr>
      </w:pPr>
    </w:p>
    <w:p w14:paraId="4D9D5FB2">
      <w:pPr>
        <w:snapToGrid w:val="0"/>
        <w:spacing w:line="600" w:lineRule="exact"/>
        <w:rPr>
          <w:rStyle w:val="17"/>
          <w:rFonts w:ascii="仿宋_GB2312" w:eastAsia="仿宋_GB2312"/>
          <w:color w:val="auto"/>
          <w:sz w:val="32"/>
          <w:szCs w:val="32"/>
        </w:rPr>
      </w:pPr>
    </w:p>
    <w:p w14:paraId="368C2E06">
      <w:pPr>
        <w:snapToGrid w:val="0"/>
        <w:spacing w:line="600" w:lineRule="exact"/>
        <w:ind w:firstLine="2880" w:firstLineChars="900"/>
        <w:rPr>
          <w:rStyle w:val="17"/>
          <w:rFonts w:ascii="仿宋" w:hAnsi="仿宋" w:eastAsia="仿宋"/>
          <w:color w:val="auto"/>
          <w:sz w:val="32"/>
          <w:szCs w:val="32"/>
        </w:rPr>
      </w:pPr>
      <w:r>
        <w:rPr>
          <w:rStyle w:val="17"/>
          <w:rFonts w:hint="eastAsia" w:ascii="仿宋" w:hAnsi="仿宋" w:eastAsia="仿宋"/>
          <w:color w:val="auto"/>
          <w:sz w:val="32"/>
          <w:szCs w:val="32"/>
        </w:rPr>
        <w:t>鄂环东审字〔</w:t>
      </w:r>
      <w:r>
        <w:rPr>
          <w:rStyle w:val="17"/>
          <w:rFonts w:ascii="仿宋" w:hAnsi="仿宋" w:eastAsia="仿宋"/>
          <w:color w:val="auto"/>
          <w:sz w:val="32"/>
          <w:szCs w:val="32"/>
        </w:rPr>
        <w:t>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w:t>
      </w:r>
      <w:r>
        <w:rPr>
          <w:rStyle w:val="17"/>
          <w:rFonts w:hint="eastAsia" w:ascii="仿宋" w:hAnsi="仿宋" w:eastAsia="仿宋"/>
          <w:color w:val="auto"/>
          <w:sz w:val="32"/>
          <w:szCs w:val="32"/>
          <w:lang w:val="en-US" w:eastAsia="zh-CN"/>
        </w:rPr>
        <w:t>19</w:t>
      </w:r>
      <w:r>
        <w:rPr>
          <w:rStyle w:val="17"/>
          <w:rFonts w:hint="eastAsia" w:ascii="仿宋" w:hAnsi="仿宋" w:eastAsia="仿宋"/>
          <w:color w:val="auto"/>
          <w:sz w:val="32"/>
          <w:szCs w:val="32"/>
        </w:rPr>
        <w:t>号</w:t>
      </w:r>
      <w:r>
        <w:rPr>
          <w:rStyle w:val="17"/>
          <w:rFonts w:ascii="仿宋" w:hAnsi="仿宋" w:eastAsia="仿宋"/>
          <w:color w:val="auto"/>
          <w:sz w:val="32"/>
          <w:szCs w:val="32"/>
        </w:rPr>
        <w:t xml:space="preserve"> </w:t>
      </w:r>
    </w:p>
    <w:p w14:paraId="01DFAD83">
      <w:pPr>
        <w:spacing w:line="600" w:lineRule="exact"/>
        <w:jc w:val="center"/>
        <w:rPr>
          <w:rStyle w:val="17"/>
          <w:rFonts w:hint="eastAsia" w:ascii="宋体" w:hAnsi="宋体" w:eastAsia="宋体" w:cs="宋体"/>
          <w:b/>
          <w:bCs w:val="0"/>
          <w:color w:val="auto"/>
          <w:sz w:val="44"/>
          <w:szCs w:val="44"/>
        </w:rPr>
      </w:pPr>
    </w:p>
    <w:p w14:paraId="64521427">
      <w:pPr>
        <w:spacing w:line="600" w:lineRule="exact"/>
        <w:jc w:val="center"/>
        <w:rPr>
          <w:rStyle w:val="17"/>
          <w:rFonts w:ascii="宋体" w:hAnsi="宋体"/>
          <w:b/>
          <w:bCs w:val="0"/>
          <w:color w:val="auto"/>
          <w:sz w:val="44"/>
          <w:szCs w:val="44"/>
        </w:rPr>
      </w:pPr>
      <w:bookmarkStart w:id="0" w:name="_GoBack"/>
      <w:r>
        <w:rPr>
          <w:rStyle w:val="17"/>
          <w:rFonts w:hint="eastAsia" w:ascii="宋体" w:hAnsi="宋体"/>
          <w:b/>
          <w:bCs w:val="0"/>
          <w:color w:val="auto"/>
          <w:sz w:val="44"/>
          <w:szCs w:val="44"/>
        </w:rPr>
        <w:t>鄂尔多斯市生态环境局东胜区分局关于</w:t>
      </w:r>
    </w:p>
    <w:p w14:paraId="4F65634A">
      <w:pPr>
        <w:spacing w:line="600" w:lineRule="exact"/>
        <w:jc w:val="center"/>
        <w:rPr>
          <w:rStyle w:val="17"/>
          <w:rFonts w:hint="eastAsia" w:ascii="宋体" w:hAnsi="宋体" w:eastAsia="宋体" w:cs="Times New Roman"/>
          <w:b/>
          <w:bCs w:val="0"/>
          <w:color w:val="auto"/>
          <w:sz w:val="44"/>
          <w:szCs w:val="44"/>
          <w:lang w:val="en-US" w:eastAsia="zh-CN"/>
        </w:rPr>
      </w:pPr>
      <w:r>
        <w:rPr>
          <w:rStyle w:val="17"/>
          <w:rFonts w:hint="eastAsia" w:ascii="宋体" w:hAnsi="宋体" w:eastAsia="宋体" w:cs="Times New Roman"/>
          <w:b/>
          <w:bCs w:val="0"/>
          <w:color w:val="auto"/>
          <w:sz w:val="44"/>
          <w:szCs w:val="44"/>
          <w:lang w:val="en-US" w:eastAsia="zh-CN"/>
        </w:rPr>
        <w:t>鄂尔多斯市大兴热电有限责任公司</w:t>
      </w:r>
    </w:p>
    <w:p w14:paraId="3E059A5E">
      <w:pPr>
        <w:spacing w:line="600" w:lineRule="exact"/>
        <w:jc w:val="center"/>
        <w:rPr>
          <w:rStyle w:val="17"/>
          <w:rFonts w:hint="default" w:ascii="宋体" w:hAnsi="宋体" w:eastAsia="宋体" w:cs="Times New Roman"/>
          <w:b/>
          <w:bCs w:val="0"/>
          <w:color w:val="auto"/>
          <w:sz w:val="44"/>
          <w:szCs w:val="44"/>
          <w:lang w:val="en-US"/>
        </w:rPr>
      </w:pPr>
      <w:r>
        <w:rPr>
          <w:rStyle w:val="17"/>
          <w:rFonts w:hint="eastAsia" w:ascii="宋体" w:hAnsi="宋体" w:eastAsia="宋体" w:cs="Times New Roman"/>
          <w:b/>
          <w:bCs w:val="0"/>
          <w:color w:val="auto"/>
          <w:sz w:val="44"/>
          <w:szCs w:val="44"/>
          <w:lang w:val="en-US" w:eastAsia="zh-CN"/>
        </w:rPr>
        <w:t>超低排放热源建设工程</w:t>
      </w:r>
      <w:r>
        <w:rPr>
          <w:rStyle w:val="17"/>
          <w:rFonts w:hint="default" w:ascii="宋体" w:hAnsi="宋体" w:eastAsia="宋体" w:cs="Times New Roman"/>
          <w:b/>
          <w:bCs w:val="0"/>
          <w:color w:val="auto"/>
          <w:sz w:val="44"/>
          <w:szCs w:val="44"/>
          <w:lang w:val="en-US"/>
        </w:rPr>
        <w:t>项目</w:t>
      </w:r>
    </w:p>
    <w:p w14:paraId="2E9F3766">
      <w:pPr>
        <w:spacing w:line="600" w:lineRule="exact"/>
        <w:jc w:val="center"/>
        <w:rPr>
          <w:rStyle w:val="17"/>
          <w:rFonts w:hint="eastAsia" w:ascii="宋体" w:hAnsi="宋体" w:eastAsia="宋体" w:cs="宋体"/>
          <w:b/>
          <w:bCs w:val="0"/>
          <w:color w:val="auto"/>
          <w:sz w:val="44"/>
          <w:szCs w:val="44"/>
        </w:rPr>
      </w:pPr>
      <w:r>
        <w:rPr>
          <w:rStyle w:val="17"/>
          <w:rFonts w:hint="eastAsia" w:ascii="宋体" w:hAnsi="宋体" w:eastAsia="宋体" w:cs="宋体"/>
          <w:b/>
          <w:bCs w:val="0"/>
          <w:color w:val="auto"/>
          <w:sz w:val="44"/>
          <w:szCs w:val="44"/>
        </w:rPr>
        <w:t>环境影响报告</w:t>
      </w:r>
      <w:r>
        <w:rPr>
          <w:rStyle w:val="17"/>
          <w:rFonts w:hint="eastAsia" w:ascii="宋体" w:hAnsi="宋体" w:cs="宋体"/>
          <w:b/>
          <w:bCs w:val="0"/>
          <w:color w:val="auto"/>
          <w:sz w:val="44"/>
          <w:szCs w:val="44"/>
          <w:lang w:val="en-US" w:eastAsia="zh-CN"/>
        </w:rPr>
        <w:t>书</w:t>
      </w:r>
      <w:r>
        <w:rPr>
          <w:rStyle w:val="17"/>
          <w:rFonts w:hint="eastAsia" w:ascii="宋体" w:hAnsi="宋体" w:eastAsia="宋体" w:cs="宋体"/>
          <w:b/>
          <w:bCs w:val="0"/>
          <w:color w:val="auto"/>
          <w:sz w:val="44"/>
          <w:szCs w:val="44"/>
        </w:rPr>
        <w:t>的批复</w:t>
      </w:r>
    </w:p>
    <w:bookmarkEnd w:id="0"/>
    <w:p w14:paraId="2728B972">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sz w:val="32"/>
          <w:szCs w:val="32"/>
          <w:lang w:eastAsia="zh-CN"/>
        </w:rPr>
      </w:pPr>
    </w:p>
    <w:p w14:paraId="63F8889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鄂尔多斯市大兴热电有限责任公司：</w:t>
      </w:r>
    </w:p>
    <w:p w14:paraId="6D58FF51">
      <w:pPr>
        <w:spacing w:line="600" w:lineRule="exact"/>
        <w:jc w:val="both"/>
        <w:rPr>
          <w:rStyle w:val="17"/>
          <w:rFonts w:hint="eastAsia" w:ascii="仿宋" w:hAnsi="仿宋" w:eastAsia="仿宋"/>
          <w:sz w:val="32"/>
          <w:szCs w:val="32"/>
          <w:lang w:val="en-US" w:eastAsia="zh-CN"/>
        </w:rPr>
      </w:pPr>
      <w:r>
        <w:rPr>
          <w:rStyle w:val="17"/>
          <w:rFonts w:hint="eastAsia" w:ascii="仿宋" w:hAnsi="仿宋" w:eastAsia="仿宋"/>
          <w:sz w:val="32"/>
          <w:szCs w:val="32"/>
          <w:lang w:val="en-US" w:eastAsia="zh-CN"/>
        </w:rPr>
        <w:t xml:space="preserve">    </w:t>
      </w:r>
      <w:r>
        <w:rPr>
          <w:rStyle w:val="17"/>
          <w:rFonts w:hint="eastAsia" w:ascii="仿宋" w:hAnsi="仿宋" w:eastAsia="仿宋"/>
          <w:sz w:val="32"/>
          <w:szCs w:val="32"/>
        </w:rPr>
        <w:t>你</w:t>
      </w:r>
      <w:r>
        <w:rPr>
          <w:rStyle w:val="17"/>
          <w:rFonts w:hint="eastAsia" w:ascii="仿宋" w:hAnsi="仿宋" w:eastAsia="仿宋"/>
          <w:sz w:val="32"/>
          <w:szCs w:val="32"/>
          <w:lang w:val="en-US" w:eastAsia="zh-CN"/>
        </w:rPr>
        <w:t>单位</w:t>
      </w:r>
      <w:r>
        <w:rPr>
          <w:rStyle w:val="17"/>
          <w:rFonts w:hint="eastAsia" w:ascii="仿宋" w:hAnsi="仿宋" w:eastAsia="仿宋"/>
          <w:sz w:val="32"/>
          <w:szCs w:val="32"/>
        </w:rPr>
        <w:t>报送</w:t>
      </w:r>
      <w:r>
        <w:rPr>
          <w:rStyle w:val="17"/>
          <w:rFonts w:hint="eastAsia" w:ascii="仿宋" w:hAnsi="仿宋" w:eastAsia="仿宋" w:cs="Times New Roman"/>
          <w:sz w:val="32"/>
          <w:szCs w:val="32"/>
        </w:rPr>
        <w:t>的由</w:t>
      </w:r>
      <w:r>
        <w:rPr>
          <w:rStyle w:val="17"/>
          <w:rFonts w:hint="eastAsia" w:ascii="仿宋" w:hAnsi="仿宋" w:eastAsia="仿宋" w:cs="Times New Roman"/>
          <w:sz w:val="32"/>
          <w:szCs w:val="32"/>
          <w:lang w:val="en-US" w:eastAsia="zh-CN"/>
        </w:rPr>
        <w:t>内蒙古碧蓝环境科技有限公司编</w:t>
      </w:r>
      <w:r>
        <w:rPr>
          <w:rStyle w:val="17"/>
          <w:rFonts w:hint="eastAsia" w:ascii="仿宋" w:hAnsi="仿宋" w:eastAsia="仿宋" w:cs="Times New Roman"/>
          <w:sz w:val="32"/>
          <w:szCs w:val="32"/>
        </w:rPr>
        <w:t>制的《</w:t>
      </w:r>
      <w:r>
        <w:rPr>
          <w:rStyle w:val="17"/>
          <w:rFonts w:hint="eastAsia" w:ascii="仿宋" w:hAnsi="仿宋" w:eastAsia="仿宋" w:cs="Times New Roman"/>
          <w:sz w:val="32"/>
          <w:szCs w:val="32"/>
          <w:lang w:eastAsia="zh-CN"/>
        </w:rPr>
        <w:t>鄂</w:t>
      </w:r>
      <w:r>
        <w:rPr>
          <w:rStyle w:val="17"/>
          <w:rFonts w:hint="eastAsia" w:ascii="仿宋" w:hAnsi="仿宋" w:eastAsia="仿宋" w:cs="Times New Roman"/>
          <w:sz w:val="32"/>
          <w:szCs w:val="32"/>
          <w:lang w:val="en-US" w:eastAsia="zh-CN"/>
        </w:rPr>
        <w:t>尔多斯市大兴热电有限责任公司超低排放热源建设工程</w:t>
      </w:r>
      <w:r>
        <w:rPr>
          <w:rStyle w:val="17"/>
          <w:rFonts w:hint="default" w:ascii="仿宋" w:hAnsi="仿宋" w:eastAsia="仿宋" w:cs="Times New Roman"/>
          <w:sz w:val="32"/>
          <w:szCs w:val="32"/>
          <w:lang w:val="en-US"/>
        </w:rPr>
        <w:t>项目</w:t>
      </w:r>
      <w:r>
        <w:rPr>
          <w:rStyle w:val="17"/>
          <w:rFonts w:hint="eastAsia" w:ascii="仿宋" w:hAnsi="仿宋" w:eastAsia="仿宋" w:cs="Times New Roman"/>
          <w:sz w:val="32"/>
          <w:szCs w:val="32"/>
        </w:rPr>
        <w:t>环境影响报告</w:t>
      </w:r>
      <w:r>
        <w:rPr>
          <w:rStyle w:val="17"/>
          <w:rFonts w:hint="eastAsia" w:ascii="仿宋" w:hAnsi="仿宋" w:eastAsia="仿宋" w:cs="Times New Roman"/>
          <w:sz w:val="32"/>
          <w:szCs w:val="32"/>
          <w:lang w:val="en-US" w:eastAsia="zh-CN"/>
        </w:rPr>
        <w:t>书</w:t>
      </w:r>
      <w:r>
        <w:rPr>
          <w:rStyle w:val="17"/>
          <w:rFonts w:hint="eastAsia" w:ascii="仿宋" w:hAnsi="仿宋" w:eastAsia="仿宋" w:cs="Times New Roman"/>
          <w:sz w:val="32"/>
          <w:szCs w:val="32"/>
        </w:rPr>
        <w:t>》（以下简称《报告</w:t>
      </w:r>
      <w:r>
        <w:rPr>
          <w:rStyle w:val="17"/>
          <w:rFonts w:hint="eastAsia" w:ascii="仿宋" w:hAnsi="仿宋" w:eastAsia="仿宋" w:cs="Times New Roman"/>
          <w:sz w:val="32"/>
          <w:szCs w:val="32"/>
          <w:lang w:val="en-US" w:eastAsia="zh-CN"/>
        </w:rPr>
        <w:t>书</w:t>
      </w:r>
      <w:r>
        <w:rPr>
          <w:rStyle w:val="17"/>
          <w:rFonts w:hint="eastAsia" w:ascii="仿宋" w:hAnsi="仿宋" w:eastAsia="仿宋" w:cs="Times New Roman"/>
          <w:sz w:val="32"/>
          <w:szCs w:val="32"/>
        </w:rPr>
        <w:t>》）已收悉</w:t>
      </w:r>
      <w:r>
        <w:rPr>
          <w:rStyle w:val="17"/>
          <w:rFonts w:hint="eastAsia" w:ascii="仿宋" w:hAnsi="仿宋" w:eastAsia="仿宋" w:cs="Times New Roman"/>
          <w:sz w:val="32"/>
          <w:szCs w:val="32"/>
          <w:lang w:eastAsia="zh-CN"/>
        </w:rPr>
        <w:t>。</w:t>
      </w:r>
      <w:r>
        <w:rPr>
          <w:rStyle w:val="17"/>
          <w:rFonts w:hint="eastAsia" w:ascii="仿宋" w:hAnsi="仿宋" w:eastAsia="仿宋"/>
          <w:sz w:val="32"/>
          <w:szCs w:val="32"/>
          <w:lang w:val="en-US" w:eastAsia="zh-CN"/>
        </w:rPr>
        <w:t>经组织专家评审，集体研究，形成如下审批意见：</w:t>
      </w:r>
    </w:p>
    <w:p w14:paraId="5A5FA146">
      <w:pPr>
        <w:keepNext w:val="0"/>
        <w:keepLines w:val="0"/>
        <w:pageBreakBefore w:val="0"/>
        <w:kinsoku/>
        <w:wordWrap/>
        <w:overflowPunct/>
        <w:topLinePunct w:val="0"/>
        <w:autoSpaceDE/>
        <w:autoSpaceDN/>
        <w:bidi w:val="0"/>
        <w:adjustRightInd w:val="0"/>
        <w:snapToGrid w:val="0"/>
        <w:spacing w:line="360" w:lineRule="auto"/>
        <w:ind w:firstLine="640" w:firstLineChars="200"/>
        <w:jc w:val="both"/>
        <w:rPr>
          <w:rStyle w:val="17"/>
          <w:rFonts w:hint="eastAsia" w:ascii="仿宋" w:hAnsi="仿宋" w:eastAsia="仿宋" w:cs="Times New Roman"/>
          <w:sz w:val="32"/>
          <w:szCs w:val="32"/>
          <w:lang w:val="en-US" w:eastAsia="zh-CN"/>
        </w:rPr>
      </w:pPr>
      <w:r>
        <w:rPr>
          <w:rStyle w:val="17"/>
          <w:rFonts w:hint="eastAsia" w:ascii="仿宋" w:hAnsi="仿宋" w:eastAsia="仿宋"/>
          <w:sz w:val="32"/>
          <w:szCs w:val="32"/>
          <w:lang w:val="en-US" w:eastAsia="zh-CN"/>
        </w:rPr>
        <w:t>一、</w:t>
      </w:r>
      <w:r>
        <w:rPr>
          <w:rStyle w:val="17"/>
          <w:rFonts w:hint="eastAsia" w:ascii="仿宋" w:hAnsi="仿宋" w:eastAsia="仿宋"/>
          <w:sz w:val="32"/>
          <w:szCs w:val="32"/>
        </w:rPr>
        <w:t>该项目属于</w:t>
      </w:r>
      <w:r>
        <w:rPr>
          <w:rStyle w:val="17"/>
          <w:rFonts w:hint="eastAsia" w:ascii="仿宋" w:hAnsi="仿宋" w:eastAsia="仿宋"/>
          <w:sz w:val="32"/>
          <w:szCs w:val="32"/>
          <w:lang w:val="en-US" w:eastAsia="zh-CN"/>
        </w:rPr>
        <w:t>技改</w:t>
      </w:r>
      <w:r>
        <w:rPr>
          <w:rStyle w:val="17"/>
          <w:rFonts w:hint="eastAsia" w:ascii="仿宋" w:hAnsi="仿宋" w:eastAsia="仿宋"/>
          <w:sz w:val="32"/>
          <w:szCs w:val="32"/>
        </w:rPr>
        <w:t>项目</w:t>
      </w:r>
      <w:r>
        <w:rPr>
          <w:rStyle w:val="17"/>
          <w:rFonts w:hint="eastAsia" w:ascii="仿宋" w:hAnsi="仿宋" w:eastAsia="仿宋" w:cs="Times New Roman"/>
          <w:color w:val="000000"/>
          <w:sz w:val="32"/>
          <w:szCs w:val="32"/>
          <w:lang w:val="en-US" w:eastAsia="zh-CN" w:bidi="ar-SA"/>
        </w:rPr>
        <w:t>，</w:t>
      </w:r>
      <w:r>
        <w:rPr>
          <w:rStyle w:val="17"/>
          <w:rFonts w:hint="eastAsia" w:ascii="仿宋" w:hAnsi="仿宋" w:eastAsia="仿宋" w:cs="Times New Roman"/>
          <w:sz w:val="32"/>
          <w:szCs w:val="32"/>
          <w:lang w:eastAsia="zh-CN"/>
        </w:rPr>
        <w:t>位于</w:t>
      </w:r>
      <w:r>
        <w:rPr>
          <w:rStyle w:val="17"/>
          <w:rFonts w:hint="eastAsia" w:ascii="仿宋" w:hAnsi="仿宋" w:eastAsia="仿宋" w:cs="Times New Roman"/>
          <w:sz w:val="32"/>
          <w:szCs w:val="32"/>
          <w:lang w:val="en-US" w:eastAsia="zh-CN"/>
        </w:rPr>
        <w:t>鄂尔多斯市东胜区铁西诃额伦西、规划南外环路北，苏勒德大街61号。项目总</w:t>
      </w:r>
      <w:r>
        <w:rPr>
          <w:rStyle w:val="17"/>
          <w:rFonts w:hint="eastAsia" w:ascii="仿宋" w:hAnsi="仿宋" w:eastAsia="仿宋" w:cs="Times New Roman"/>
          <w:sz w:val="32"/>
          <w:szCs w:val="32"/>
          <w:lang w:eastAsia="zh-CN"/>
        </w:rPr>
        <w:t>占地</w:t>
      </w:r>
      <w:r>
        <w:rPr>
          <w:rStyle w:val="17"/>
          <w:rFonts w:hint="eastAsia" w:ascii="仿宋" w:hAnsi="仿宋" w:eastAsia="仿宋" w:cs="Times New Roman"/>
          <w:sz w:val="32"/>
          <w:szCs w:val="32"/>
          <w:lang w:val="en-US" w:eastAsia="zh-CN"/>
        </w:rPr>
        <w:t>面积29107平</w:t>
      </w:r>
      <w:r>
        <w:rPr>
          <w:rStyle w:val="17"/>
          <w:rFonts w:hint="eastAsia" w:ascii="仿宋" w:hAnsi="仿宋" w:eastAsia="仿宋" w:cs="Times New Roman"/>
          <w:sz w:val="32"/>
          <w:szCs w:val="32"/>
          <w:lang w:eastAsia="zh-CN"/>
        </w:rPr>
        <w:t>方米，</w:t>
      </w:r>
      <w:r>
        <w:rPr>
          <w:rStyle w:val="17"/>
          <w:rFonts w:hint="default" w:ascii="仿宋" w:hAnsi="仿宋" w:eastAsia="仿宋" w:cs="Times New Roman"/>
          <w:color w:val="auto"/>
          <w:sz w:val="32"/>
          <w:szCs w:val="32"/>
          <w:lang w:eastAsia="zh-CN"/>
        </w:rPr>
        <w:t>总投资</w:t>
      </w:r>
      <w:r>
        <w:rPr>
          <w:rStyle w:val="17"/>
          <w:rFonts w:hint="eastAsia" w:ascii="仿宋" w:hAnsi="仿宋" w:eastAsia="仿宋" w:cs="Times New Roman"/>
          <w:color w:val="auto"/>
          <w:sz w:val="32"/>
          <w:szCs w:val="32"/>
          <w:lang w:val="en-US" w:eastAsia="zh-CN"/>
        </w:rPr>
        <w:t>76300</w:t>
      </w:r>
      <w:r>
        <w:rPr>
          <w:rStyle w:val="17"/>
          <w:rFonts w:hint="eastAsia" w:ascii="仿宋" w:hAnsi="仿宋" w:eastAsia="仿宋"/>
          <w:color w:val="auto"/>
          <w:sz w:val="32"/>
          <w:szCs w:val="32"/>
          <w:lang w:val="en-US" w:eastAsia="zh-CN"/>
        </w:rPr>
        <w:t>万</w:t>
      </w:r>
      <w:r>
        <w:rPr>
          <w:rStyle w:val="17"/>
          <w:rFonts w:hint="default" w:ascii="仿宋" w:hAnsi="仿宋" w:eastAsia="仿宋"/>
          <w:color w:val="auto"/>
          <w:sz w:val="32"/>
          <w:szCs w:val="32"/>
        </w:rPr>
        <w:t>元，</w:t>
      </w:r>
      <w:r>
        <w:rPr>
          <w:rStyle w:val="17"/>
          <w:rFonts w:hint="eastAsia" w:ascii="仿宋" w:hAnsi="仿宋" w:eastAsia="仿宋"/>
          <w:color w:val="auto"/>
          <w:sz w:val="32"/>
          <w:szCs w:val="32"/>
          <w:lang w:eastAsia="zh-CN"/>
        </w:rPr>
        <w:t>其中</w:t>
      </w:r>
      <w:r>
        <w:rPr>
          <w:rStyle w:val="17"/>
          <w:rFonts w:hint="default" w:ascii="仿宋" w:hAnsi="仿宋" w:eastAsia="仿宋"/>
          <w:color w:val="auto"/>
          <w:sz w:val="32"/>
          <w:szCs w:val="32"/>
        </w:rPr>
        <w:t>环保</w:t>
      </w:r>
      <w:r>
        <w:rPr>
          <w:rStyle w:val="17"/>
          <w:rFonts w:hint="default" w:ascii="仿宋" w:hAnsi="仿宋" w:eastAsia="仿宋" w:cs="Times New Roman"/>
          <w:color w:val="auto"/>
          <w:sz w:val="32"/>
          <w:szCs w:val="32"/>
        </w:rPr>
        <w:t>投资</w:t>
      </w:r>
      <w:r>
        <w:rPr>
          <w:rStyle w:val="17"/>
          <w:rFonts w:hint="eastAsia" w:ascii="仿宋" w:hAnsi="仿宋" w:eastAsia="仿宋" w:cs="Times New Roman"/>
          <w:color w:val="auto"/>
          <w:sz w:val="32"/>
          <w:szCs w:val="32"/>
          <w:lang w:val="en-US" w:eastAsia="zh-CN"/>
        </w:rPr>
        <w:t>9537.5万元</w:t>
      </w:r>
      <w:r>
        <w:rPr>
          <w:rStyle w:val="17"/>
          <w:rFonts w:hint="eastAsia" w:ascii="仿宋" w:hAnsi="仿宋" w:eastAsia="仿宋" w:cs="Times New Roman"/>
          <w:color w:val="auto"/>
          <w:sz w:val="32"/>
          <w:szCs w:val="32"/>
        </w:rPr>
        <w:t>。</w:t>
      </w:r>
      <w:r>
        <w:rPr>
          <w:rStyle w:val="17"/>
          <w:rFonts w:hint="eastAsia" w:ascii="仿宋" w:hAnsi="仿宋" w:eastAsia="仿宋" w:cs="Times New Roman"/>
          <w:color w:val="auto"/>
          <w:sz w:val="32"/>
          <w:szCs w:val="32"/>
          <w:lang w:eastAsia="zh-CN"/>
        </w:rPr>
        <w:t>主要建设内容及规模：</w:t>
      </w:r>
      <w:r>
        <w:rPr>
          <w:rStyle w:val="17"/>
          <w:rFonts w:hint="eastAsia" w:ascii="仿宋" w:hAnsi="仿宋" w:eastAsia="仿宋" w:cs="Times New Roman"/>
          <w:sz w:val="32"/>
          <w:szCs w:val="32"/>
          <w:lang w:val="en-US" w:eastAsia="zh-CN"/>
        </w:rPr>
        <w:t>本项目建设6台168MW循环流化床锅炉(5用1备)，总装机规模为840MW，并配套脱硝、除尘及脱硫设施；新建1座占地面积为11550平方米全封闭储煤棚（原有储煤棚同时依托使用），新建1座12平方米危废暂存间，新增一套全封闭钢结构输煤系统，配套建设相关公辅工程和环保工程。待2026年12月31日建设完毕后，将原有锅炉全部一次性拆除，进行热源替换。</w:t>
      </w:r>
    </w:p>
    <w:p w14:paraId="2861A4CC">
      <w:pPr>
        <w:keepNext w:val="0"/>
        <w:keepLines w:val="0"/>
        <w:pageBreakBefore w:val="0"/>
        <w:kinsoku/>
        <w:wordWrap/>
        <w:overflowPunct/>
        <w:topLinePunct w:val="0"/>
        <w:autoSpaceDE/>
        <w:autoSpaceDN/>
        <w:bidi w:val="0"/>
        <w:adjustRightInd w:val="0"/>
        <w:snapToGrid w:val="0"/>
        <w:spacing w:line="360" w:lineRule="auto"/>
        <w:ind w:firstLine="640" w:firstLineChars="200"/>
        <w:jc w:val="both"/>
        <w:rPr>
          <w:rStyle w:val="17"/>
          <w:rFonts w:hint="eastAsia" w:ascii="仿宋" w:hAnsi="仿宋" w:eastAsia="仿宋"/>
          <w:sz w:val="32"/>
          <w:szCs w:val="32"/>
        </w:rPr>
      </w:pPr>
      <w:r>
        <w:rPr>
          <w:rStyle w:val="17"/>
          <w:rFonts w:hint="eastAsia" w:ascii="仿宋" w:hAnsi="仿宋" w:eastAsia="仿宋" w:cs="Times New Roman"/>
          <w:sz w:val="32"/>
          <w:szCs w:val="32"/>
          <w:lang w:val="en-US" w:eastAsia="zh-CN"/>
        </w:rPr>
        <w:t xml:space="preserve"> </w:t>
      </w:r>
      <w:r>
        <w:rPr>
          <w:rStyle w:val="17"/>
          <w:rFonts w:hint="eastAsia" w:ascii="仿宋" w:hAnsi="仿宋" w:eastAsia="仿宋"/>
          <w:sz w:val="32"/>
          <w:szCs w:val="32"/>
        </w:rPr>
        <w:t>《报告</w:t>
      </w:r>
      <w:r>
        <w:rPr>
          <w:rStyle w:val="17"/>
          <w:rFonts w:hint="eastAsia" w:ascii="仿宋" w:hAnsi="仿宋" w:eastAsia="仿宋"/>
          <w:sz w:val="32"/>
          <w:szCs w:val="32"/>
          <w:lang w:val="en-US" w:eastAsia="zh-CN"/>
        </w:rPr>
        <w:t>书</w:t>
      </w:r>
      <w:r>
        <w:rPr>
          <w:rStyle w:val="17"/>
          <w:rFonts w:hint="eastAsia" w:ascii="仿宋" w:hAnsi="仿宋" w:eastAsia="仿宋"/>
          <w:sz w:val="32"/>
          <w:szCs w:val="32"/>
        </w:rPr>
        <w:t>》认为，在全面落实各项生态环境保护和环境污染防治措施的前提下，项目建设对环境的不利影响能够得到一定的缓解和控制。因此，我局原则同意你单位按照《报告</w:t>
      </w:r>
      <w:r>
        <w:rPr>
          <w:rStyle w:val="17"/>
          <w:rFonts w:hint="eastAsia" w:ascii="仿宋" w:hAnsi="仿宋" w:eastAsia="仿宋"/>
          <w:sz w:val="32"/>
          <w:szCs w:val="32"/>
          <w:lang w:val="en-US" w:eastAsia="zh-CN"/>
        </w:rPr>
        <w:t>书</w:t>
      </w:r>
      <w:r>
        <w:rPr>
          <w:rStyle w:val="17"/>
          <w:rFonts w:hint="eastAsia" w:ascii="仿宋" w:hAnsi="仿宋" w:eastAsia="仿宋"/>
          <w:sz w:val="32"/>
          <w:szCs w:val="32"/>
        </w:rPr>
        <w:t>》中所列的建设项目性质、规模、地点、环境保护措施进行建设。</w:t>
      </w:r>
    </w:p>
    <w:p w14:paraId="561A4D4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default" w:ascii="仿宋" w:hAnsi="仿宋" w:eastAsia="仿宋"/>
          <w:color w:val="auto"/>
          <w:sz w:val="32"/>
          <w:szCs w:val="32"/>
          <w:lang w:val="en-US"/>
        </w:rPr>
      </w:pPr>
      <w:r>
        <w:rPr>
          <w:rStyle w:val="17"/>
          <w:rFonts w:hint="eastAsia" w:ascii="仿宋" w:hAnsi="仿宋" w:eastAsia="仿宋"/>
          <w:sz w:val="32"/>
          <w:szCs w:val="32"/>
          <w:lang w:val="en-US" w:eastAsia="zh-CN"/>
        </w:rPr>
        <w:t>二、在项目工程设计、建设和环境管理中，你单位必须严格落实</w:t>
      </w:r>
      <w:r>
        <w:rPr>
          <w:rStyle w:val="17"/>
          <w:rFonts w:hint="eastAsia" w:ascii="仿宋" w:hAnsi="仿宋" w:eastAsia="仿宋"/>
          <w:sz w:val="32"/>
          <w:szCs w:val="32"/>
        </w:rPr>
        <w:t>《报告</w:t>
      </w:r>
      <w:r>
        <w:rPr>
          <w:rStyle w:val="17"/>
          <w:rFonts w:hint="eastAsia" w:ascii="仿宋" w:hAnsi="仿宋" w:eastAsia="仿宋"/>
          <w:sz w:val="32"/>
          <w:szCs w:val="32"/>
          <w:lang w:val="en-US" w:eastAsia="zh-CN"/>
        </w:rPr>
        <w:t>书</w:t>
      </w:r>
      <w:r>
        <w:rPr>
          <w:rStyle w:val="17"/>
          <w:rFonts w:hint="eastAsia" w:ascii="仿宋" w:hAnsi="仿宋" w:eastAsia="仿宋"/>
          <w:sz w:val="32"/>
          <w:szCs w:val="32"/>
        </w:rPr>
        <w:t>》</w:t>
      </w:r>
      <w:r>
        <w:rPr>
          <w:rStyle w:val="17"/>
          <w:rFonts w:hint="eastAsia" w:ascii="仿宋" w:hAnsi="仿宋" w:eastAsia="仿宋"/>
          <w:sz w:val="32"/>
          <w:szCs w:val="32"/>
          <w:lang w:val="en-US" w:eastAsia="zh-CN"/>
        </w:rPr>
        <w:t>中提出的各项环保措施和要求，确保各项污染物稳定达标排放，并须着重做好以下工作：</w:t>
      </w:r>
    </w:p>
    <w:p w14:paraId="68D5994E">
      <w:pPr>
        <w:keepNext w:val="0"/>
        <w:keepLines w:val="0"/>
        <w:pageBreakBefore w:val="0"/>
        <w:widowControl w:val="0"/>
        <w:kinsoku/>
        <w:wordWrap/>
        <w:overflowPunct/>
        <w:topLinePunct w:val="0"/>
        <w:autoSpaceDE/>
        <w:autoSpaceDN/>
        <w:bidi w:val="0"/>
        <w:adjustRightInd/>
        <w:snapToGrid/>
        <w:spacing w:line="360" w:lineRule="auto"/>
        <w:ind w:firstLine="320" w:firstLineChars="100"/>
        <w:jc w:val="both"/>
        <w:textAlignment w:val="auto"/>
        <w:rPr>
          <w:rStyle w:val="17"/>
          <w:rFonts w:hint="eastAsia" w:ascii="仿宋" w:hAnsi="仿宋" w:eastAsia="仿宋" w:cs="Times New Roman"/>
          <w:sz w:val="32"/>
          <w:szCs w:val="32"/>
          <w:lang w:val="en-US" w:eastAsia="zh-CN"/>
        </w:rPr>
      </w:pPr>
      <w:r>
        <w:rPr>
          <w:rFonts w:hint="eastAsia" w:ascii="仿宋" w:hAnsi="仿宋" w:eastAsia="仿宋" w:cs="仿宋"/>
          <w:color w:val="auto"/>
          <w:sz w:val="32"/>
          <w:szCs w:val="32"/>
          <w:lang w:val="en-US" w:eastAsia="zh-CN"/>
        </w:rPr>
        <w:t>（</w:t>
      </w:r>
      <w:r>
        <w:rPr>
          <w:rStyle w:val="17"/>
          <w:rFonts w:hint="eastAsia" w:ascii="仿宋" w:hAnsi="仿宋" w:eastAsia="仿宋" w:cs="Times New Roman"/>
          <w:sz w:val="32"/>
          <w:szCs w:val="32"/>
          <w:lang w:val="en-US" w:eastAsia="zh-CN"/>
        </w:rPr>
        <w:t>一）严格落实施工期污染防治措施</w:t>
      </w:r>
    </w:p>
    <w:p w14:paraId="21E5814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1、</w:t>
      </w:r>
      <w:r>
        <w:rPr>
          <w:rStyle w:val="17"/>
          <w:rFonts w:hint="eastAsia" w:ascii="仿宋" w:hAnsi="仿宋" w:eastAsia="仿宋" w:cs="Times New Roman"/>
          <w:sz w:val="32"/>
          <w:szCs w:val="32"/>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43E7BB3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color w:val="0000FF"/>
          <w:sz w:val="32"/>
          <w:szCs w:val="32"/>
          <w:lang w:val="en-US" w:eastAsia="zh-CN"/>
        </w:rPr>
      </w:pPr>
      <w:r>
        <w:rPr>
          <w:rStyle w:val="17"/>
          <w:rFonts w:hint="eastAsia" w:ascii="仿宋" w:hAnsi="仿宋" w:eastAsia="仿宋" w:cs="Times New Roman"/>
          <w:sz w:val="32"/>
          <w:szCs w:val="32"/>
          <w:lang w:val="en-US" w:eastAsia="zh-CN"/>
        </w:rPr>
        <w:t>2、施工人员生活污水排入已有化粪池沉淀后进入市政污水管网</w:t>
      </w:r>
      <w:r>
        <w:rPr>
          <w:rStyle w:val="17"/>
          <w:rFonts w:hint="eastAsia" w:ascii="仿宋" w:hAnsi="仿宋" w:eastAsia="仿宋" w:cs="Times New Roman"/>
          <w:sz w:val="32"/>
          <w:szCs w:val="32"/>
        </w:rPr>
        <w:t>。</w:t>
      </w:r>
    </w:p>
    <w:p w14:paraId="214230C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0348215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4、固体废物集中堆放及时清运，交有关部门进行处理。</w:t>
      </w:r>
    </w:p>
    <w:p w14:paraId="006CF376">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（二）严格落实运营期污染防治措施</w:t>
      </w:r>
    </w:p>
    <w:p w14:paraId="07B7E4DD">
      <w:pPr>
        <w:keepNext w:val="0"/>
        <w:keepLines w:val="0"/>
        <w:pageBreakBefore w:val="0"/>
        <w:numPr>
          <w:ilvl w:val="0"/>
          <w:numId w:val="1"/>
        </w:numPr>
        <w:kinsoku/>
        <w:wordWrap/>
        <w:overflowPunct/>
        <w:topLinePunct w:val="0"/>
        <w:autoSpaceDE/>
        <w:autoSpaceDN/>
        <w:bidi w:val="0"/>
        <w:spacing w:line="360" w:lineRule="auto"/>
        <w:ind w:firstLine="640" w:firstLineChars="200"/>
        <w:jc w:val="both"/>
        <w:textAlignment w:val="auto"/>
        <w:rPr>
          <w:rStyle w:val="17"/>
          <w:rFonts w:hint="eastAsia" w:ascii="仿宋" w:hAnsi="仿宋" w:eastAsia="仿宋" w:cs="Times New Roman"/>
          <w:sz w:val="32"/>
          <w:szCs w:val="32"/>
          <w:lang w:val="en-US" w:eastAsia="zh-CN"/>
        </w:rPr>
      </w:pPr>
      <w:r>
        <w:rPr>
          <w:rStyle w:val="17"/>
          <w:rFonts w:hint="eastAsia" w:ascii="仿宋" w:hAnsi="仿宋" w:eastAsia="仿宋" w:cs="Times New Roman"/>
          <w:sz w:val="32"/>
          <w:szCs w:val="32"/>
          <w:lang w:val="en-US" w:eastAsia="zh-CN"/>
        </w:rPr>
        <w:t>运营期储煤棚、输煤廊全封闭；将现有项目灰渣库进行全封闭，作为本项目的灰渣库。粉煤灰罐废气经除尘器处理后由仓顶排气口排放，破碎筛分工序粉尘经布袋除尘器处理后由一根15米高排气筒排放，均执行《大气污染物综合排放标准》（GB16297-1996）表2中二级标准。锅炉烟气经收集处理后由一根120米高烟囱排放，颗粒物、二氧化硫、氮氧化物浓度限值参照执行《全面实施燃煤电厂超低排放和节能改造工作方案》(环发[2015]164 号)超低排放限值要求（基准氧含量6%条件下，烟尘、二氧化硫、氮氧化物排放浓度分别不高于10、35、50毫克/立方米），汞及其化合物执行《锅炉大气污染物排放标准》(GB13271-2014)表2新建燃煤锅炉限值要求，逃逸氨参照执行《燃煤电厂超低排放烟气治理工程技术规范》（HJ 2053 -2018）SNCR/SCR联合脱硝限值。运营期大</w:t>
      </w:r>
      <w:r>
        <w:rPr>
          <w:rStyle w:val="17"/>
          <w:rFonts w:hint="eastAsia" w:ascii="仿宋" w:hAnsi="仿宋" w:eastAsia="仿宋"/>
          <w:sz w:val="32"/>
          <w:szCs w:val="32"/>
          <w:lang w:eastAsia="zh-CN"/>
        </w:rPr>
        <w:t>气污染物</w:t>
      </w:r>
      <w:r>
        <w:rPr>
          <w:rStyle w:val="17"/>
          <w:rFonts w:hint="eastAsia" w:ascii="仿宋" w:hAnsi="仿宋" w:eastAsia="仿宋"/>
          <w:color w:val="auto"/>
          <w:sz w:val="32"/>
          <w:szCs w:val="32"/>
        </w:rPr>
        <w:t>无组织排放执行《大气污染物综合排放标准》（GB16297-1996）</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7"/>
          <w:rFonts w:hint="eastAsia" w:ascii="仿宋" w:hAnsi="仿宋" w:eastAsia="仿宋"/>
          <w:color w:val="auto"/>
          <w:sz w:val="32"/>
          <w:szCs w:val="32"/>
        </w:rPr>
        <w:t>无组织排放监控浓度限值。</w:t>
      </w:r>
    </w:p>
    <w:p w14:paraId="1D9E61B7">
      <w:pPr>
        <w:keepNext w:val="0"/>
        <w:keepLines w:val="0"/>
        <w:pageBreakBefore w:val="0"/>
        <w:kinsoku/>
        <w:wordWrap/>
        <w:overflowPunct/>
        <w:topLinePunct w:val="0"/>
        <w:autoSpaceDE/>
        <w:autoSpaceDN/>
        <w:bidi w:val="0"/>
        <w:adjustRightInd w:val="0"/>
        <w:snapToGrid w:val="0"/>
        <w:spacing w:line="360" w:lineRule="auto"/>
        <w:ind w:firstLine="640" w:firstLineChars="200"/>
        <w:jc w:val="both"/>
        <w:rPr>
          <w:rFonts w:hint="eastAsia" w:ascii="仿宋" w:hAnsi="仿宋" w:eastAsia="仿宋" w:cs="仿宋"/>
          <w:color w:val="auto"/>
          <w:kern w:val="0"/>
          <w:sz w:val="32"/>
          <w:szCs w:val="32"/>
          <w:lang w:val="en-US" w:eastAsia="zh-CN" w:bidi="ar-SA"/>
        </w:rPr>
      </w:pPr>
      <w:r>
        <w:rPr>
          <w:rStyle w:val="17"/>
          <w:rFonts w:hint="eastAsia" w:ascii="仿宋" w:hAnsi="仿宋" w:eastAsia="仿宋" w:cs="Times New Roman"/>
          <w:color w:val="auto"/>
          <w:sz w:val="32"/>
          <w:szCs w:val="32"/>
          <w:lang w:val="en-US" w:eastAsia="zh-CN"/>
        </w:rPr>
        <w:t>2、</w:t>
      </w:r>
      <w:r>
        <w:rPr>
          <w:rStyle w:val="17"/>
          <w:rFonts w:hint="default" w:ascii="仿宋" w:hAnsi="仿宋" w:eastAsia="仿宋" w:cs="Times New Roman"/>
          <w:color w:val="auto"/>
          <w:sz w:val="32"/>
          <w:szCs w:val="32"/>
          <w:lang w:val="en-US" w:eastAsia="zh-CN"/>
        </w:rPr>
        <w:t>运</w:t>
      </w:r>
      <w:r>
        <w:rPr>
          <w:rStyle w:val="17"/>
          <w:rFonts w:hint="eastAsia" w:ascii="仿宋" w:hAnsi="仿宋" w:eastAsia="仿宋" w:cs="Times New Roman"/>
          <w:color w:val="auto"/>
          <w:sz w:val="32"/>
          <w:szCs w:val="32"/>
          <w:lang w:val="en-US" w:eastAsia="zh-CN"/>
        </w:rPr>
        <w:t>营</w:t>
      </w:r>
      <w:r>
        <w:rPr>
          <w:rFonts w:hint="default" w:ascii="仿宋" w:hAnsi="仿宋" w:eastAsia="仿宋" w:cs="仿宋"/>
          <w:color w:val="auto"/>
          <w:kern w:val="0"/>
          <w:sz w:val="32"/>
          <w:szCs w:val="32"/>
          <w:lang w:val="en-US" w:eastAsia="zh-CN" w:bidi="ar-SA"/>
        </w:rPr>
        <w:t>期软化水系统排水</w:t>
      </w:r>
      <w:r>
        <w:rPr>
          <w:rFonts w:hint="eastAsia" w:ascii="仿宋" w:hAnsi="仿宋" w:eastAsia="仿宋" w:cs="仿宋"/>
          <w:color w:val="auto"/>
          <w:kern w:val="0"/>
          <w:sz w:val="32"/>
          <w:szCs w:val="32"/>
          <w:lang w:val="en-US" w:eastAsia="zh-CN" w:bidi="ar-SA"/>
        </w:rPr>
        <w:t>和锅炉排污水全部回用于洒水抑尘、冲渣、厂区绿化；</w:t>
      </w:r>
      <w:r>
        <w:rPr>
          <w:rFonts w:hint="default" w:ascii="仿宋" w:hAnsi="仿宋" w:eastAsia="仿宋" w:cs="仿宋"/>
          <w:color w:val="auto"/>
          <w:kern w:val="0"/>
          <w:sz w:val="32"/>
          <w:szCs w:val="32"/>
          <w:lang w:val="en-US" w:eastAsia="zh-CN" w:bidi="ar-SA"/>
        </w:rPr>
        <w:t>生活污水经化粪池</w:t>
      </w:r>
      <w:r>
        <w:rPr>
          <w:rFonts w:hint="eastAsia" w:ascii="仿宋" w:hAnsi="仿宋" w:eastAsia="仿宋" w:cs="仿宋"/>
          <w:color w:val="auto"/>
          <w:kern w:val="0"/>
          <w:sz w:val="32"/>
          <w:szCs w:val="32"/>
          <w:lang w:val="en-US" w:eastAsia="zh-CN" w:bidi="ar-SA"/>
        </w:rPr>
        <w:t>沉淀</w:t>
      </w:r>
      <w:r>
        <w:rPr>
          <w:rFonts w:hint="default" w:ascii="仿宋" w:hAnsi="仿宋" w:eastAsia="仿宋" w:cs="仿宋"/>
          <w:color w:val="auto"/>
          <w:kern w:val="0"/>
          <w:sz w:val="32"/>
          <w:szCs w:val="32"/>
          <w:lang w:val="en-US" w:eastAsia="zh-CN" w:bidi="ar-SA"/>
        </w:rPr>
        <w:t>后</w:t>
      </w:r>
      <w:r>
        <w:rPr>
          <w:rFonts w:hint="eastAsia" w:ascii="仿宋" w:hAnsi="仿宋" w:eastAsia="仿宋" w:cs="仿宋"/>
          <w:color w:val="auto"/>
          <w:kern w:val="0"/>
          <w:sz w:val="32"/>
          <w:szCs w:val="32"/>
          <w:lang w:val="en-US" w:eastAsia="zh-CN" w:bidi="ar-SA"/>
        </w:rPr>
        <w:t>排入市政污水管网。</w:t>
      </w:r>
    </w:p>
    <w:p w14:paraId="11CDBF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pPr>
      <w:r>
        <w:rPr>
          <w:rStyle w:val="17"/>
          <w:rFonts w:hint="eastAsia" w:ascii="仿宋" w:hAnsi="仿宋" w:eastAsia="仿宋"/>
          <w:color w:val="auto"/>
          <w:sz w:val="32"/>
          <w:szCs w:val="32"/>
          <w:lang w:val="en-US" w:eastAsia="zh-CN"/>
        </w:rPr>
        <w:t>3、</w:t>
      </w:r>
      <w:r>
        <w:rPr>
          <w:rStyle w:val="17"/>
          <w:rFonts w:hint="eastAsia" w:ascii="仿宋" w:hAnsi="仿宋" w:eastAsia="仿宋"/>
          <w:color w:val="auto"/>
          <w:sz w:val="32"/>
          <w:szCs w:val="32"/>
        </w:rPr>
        <w:t>运营期厂界噪声执行《工业企业厂界环境噪声排放</w:t>
      </w:r>
      <w:r>
        <w:rPr>
          <w:rStyle w:val="17"/>
          <w:rFonts w:hint="eastAsia" w:ascii="仿宋" w:hAnsi="仿宋" w:eastAsia="仿宋"/>
          <w:color w:val="auto"/>
          <w:sz w:val="32"/>
          <w:szCs w:val="32"/>
          <w:lang w:val="en-US" w:eastAsia="zh-CN"/>
        </w:rPr>
        <w:t>标</w:t>
      </w:r>
      <w:r>
        <w:rPr>
          <w:rStyle w:val="17"/>
          <w:rFonts w:hint="eastAsia" w:ascii="仿宋" w:hAnsi="仿宋" w:eastAsia="仿宋"/>
          <w:color w:val="auto"/>
          <w:sz w:val="32"/>
          <w:szCs w:val="32"/>
        </w:rPr>
        <w:t>准》（GB12348-2008）中</w:t>
      </w:r>
      <w:r>
        <w:rPr>
          <w:rStyle w:val="17"/>
          <w:rFonts w:hint="eastAsia" w:ascii="仿宋" w:hAnsi="仿宋" w:eastAsia="仿宋"/>
          <w:color w:val="auto"/>
          <w:sz w:val="32"/>
          <w:szCs w:val="32"/>
          <w:lang w:val="en-US" w:eastAsia="zh-CN"/>
        </w:rPr>
        <w:t>1</w:t>
      </w:r>
      <w:r>
        <w:rPr>
          <w:rStyle w:val="17"/>
          <w:rFonts w:hint="eastAsia" w:ascii="仿宋" w:hAnsi="仿宋" w:eastAsia="仿宋"/>
          <w:color w:val="auto"/>
          <w:sz w:val="32"/>
          <w:szCs w:val="32"/>
        </w:rPr>
        <w:t>类标准。</w:t>
      </w:r>
    </w:p>
    <w:p w14:paraId="21AE4BFA">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4、妥善处置各类固体废弃物。建设单位须严格按照《一般工业固体废物贮存和填埋污染控制标准》（GB18599-2020）处置一般固废，不得乱弃。</w:t>
      </w:r>
      <w:r>
        <w:rPr>
          <w:rFonts w:hint="default" w:ascii="仿宋" w:hAnsi="仿宋" w:eastAsia="仿宋" w:cs="仿宋"/>
          <w:color w:val="auto"/>
          <w:sz w:val="32"/>
          <w:szCs w:val="32"/>
          <w:lang w:val="en-US"/>
        </w:rPr>
        <w:t>危废暂存</w:t>
      </w:r>
      <w:r>
        <w:rPr>
          <w:rFonts w:hint="eastAsia" w:ascii="仿宋" w:hAnsi="仿宋" w:eastAsia="仿宋" w:cs="仿宋"/>
          <w:color w:val="auto"/>
          <w:sz w:val="32"/>
          <w:szCs w:val="32"/>
          <w:lang w:val="en-US" w:eastAsia="zh-CN"/>
        </w:rPr>
        <w:t>间</w:t>
      </w:r>
      <w:r>
        <w:rPr>
          <w:rFonts w:hint="default" w:ascii="仿宋" w:hAnsi="仿宋" w:eastAsia="仿宋" w:cs="仿宋"/>
          <w:color w:val="auto"/>
          <w:sz w:val="32"/>
          <w:szCs w:val="32"/>
          <w:lang w:val="en-US"/>
        </w:rPr>
        <w:t>须严格按照《危险废物贮存污染控制标准》（GB18597-20</w:t>
      </w:r>
      <w:r>
        <w:rPr>
          <w:rFonts w:hint="eastAsia" w:ascii="仿宋" w:hAnsi="仿宋" w:eastAsia="仿宋" w:cs="仿宋"/>
          <w:color w:val="auto"/>
          <w:sz w:val="32"/>
          <w:szCs w:val="32"/>
          <w:lang w:val="en-US" w:eastAsia="zh-CN"/>
        </w:rPr>
        <w:t>23</w:t>
      </w:r>
      <w:r>
        <w:rPr>
          <w:rFonts w:hint="default" w:ascii="仿宋" w:hAnsi="仿宋" w:eastAsia="仿宋" w:cs="仿宋"/>
          <w:color w:val="auto"/>
          <w:sz w:val="32"/>
          <w:szCs w:val="32"/>
          <w:lang w:val="en-US"/>
        </w:rPr>
        <w:t>）进行设计、建设和管理。</w:t>
      </w:r>
      <w:r>
        <w:rPr>
          <w:rFonts w:hint="eastAsia" w:ascii="仿宋" w:hAnsi="仿宋" w:eastAsia="仿宋" w:cs="仿宋"/>
          <w:strike w:val="0"/>
          <w:dstrike w:val="0"/>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w:t>
      </w:r>
      <w:r>
        <w:rPr>
          <w:rFonts w:hint="default" w:ascii="仿宋" w:hAnsi="仿宋" w:eastAsia="仿宋" w:cs="仿宋"/>
          <w:color w:val="auto"/>
          <w:sz w:val="32"/>
          <w:szCs w:val="32"/>
          <w:lang w:val="en-US" w:eastAsia="zh-CN"/>
        </w:rPr>
        <w:t>应急事故池</w:t>
      </w:r>
      <w:r>
        <w:rPr>
          <w:rFonts w:hint="eastAsia" w:ascii="仿宋" w:hAnsi="仿宋" w:eastAsia="仿宋" w:cs="仿宋"/>
          <w:color w:val="auto"/>
          <w:sz w:val="32"/>
          <w:szCs w:val="32"/>
          <w:lang w:val="en-US" w:eastAsia="zh-CN"/>
        </w:rPr>
        <w:t>中，收集后交由有资质单位处置。</w:t>
      </w:r>
    </w:p>
    <w:p w14:paraId="04948901">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Style w:val="17"/>
          <w:rFonts w:hint="eastAsia" w:ascii="仿宋" w:hAnsi="仿宋" w:eastAsia="仿宋"/>
          <w:color w:val="auto"/>
          <w:sz w:val="32"/>
          <w:szCs w:val="32"/>
          <w:lang w:val="en-US" w:eastAsia="zh-CN"/>
        </w:rPr>
        <w:t>5、地面须按相关要求做好防渗措施，确保不会对地下水造成影响。</w:t>
      </w:r>
    </w:p>
    <w:p w14:paraId="45D83F22">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pPr>
      <w:r>
        <w:rPr>
          <w:rFonts w:hint="eastAsia" w:ascii="仿宋" w:hAnsi="仿宋" w:eastAsia="仿宋" w:cs="仿宋"/>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25C16742">
      <w:pPr>
        <w:pStyle w:val="2"/>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7、按照《排污口规范化整治技术要求》（环监〔1996〕470号）规范设置排污口。</w:t>
      </w:r>
    </w:p>
    <w:p w14:paraId="7A12F4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strike w:val="0"/>
          <w:dstrike w:val="0"/>
          <w:color w:val="auto"/>
          <w:kern w:val="0"/>
          <w:sz w:val="32"/>
          <w:szCs w:val="32"/>
          <w:lang w:val="en-US" w:eastAsia="zh-CN" w:bidi="ar-SA"/>
        </w:rPr>
      </w:pPr>
      <w:r>
        <w:rPr>
          <w:rFonts w:hint="eastAsia" w:ascii="仿宋" w:hAnsi="仿宋" w:eastAsia="仿宋" w:cs="仿宋"/>
          <w:strike w:val="0"/>
          <w:dstrike w:val="0"/>
          <w:color w:val="auto"/>
          <w:kern w:val="0"/>
          <w:sz w:val="32"/>
          <w:szCs w:val="32"/>
          <w:lang w:val="en-US" w:eastAsia="zh-CN" w:bidi="ar-SA"/>
        </w:rPr>
        <w:t>三、现有项目</w:t>
      </w:r>
      <w:r>
        <w:rPr>
          <w:rFonts w:hint="default" w:ascii="仿宋" w:hAnsi="仿宋" w:eastAsia="仿宋" w:cs="仿宋"/>
          <w:strike w:val="0"/>
          <w:dstrike w:val="0"/>
          <w:color w:val="auto"/>
          <w:kern w:val="0"/>
          <w:sz w:val="32"/>
          <w:szCs w:val="32"/>
          <w:lang w:val="en-US" w:eastAsia="zh-CN" w:bidi="ar-SA"/>
        </w:rPr>
        <w:t>总量指标</w:t>
      </w:r>
      <w:r>
        <w:rPr>
          <w:rStyle w:val="17"/>
          <w:rFonts w:hint="eastAsia" w:ascii="仿宋" w:hAnsi="仿宋" w:eastAsia="仿宋" w:cs="Times New Roman"/>
          <w:sz w:val="32"/>
          <w:szCs w:val="32"/>
          <w:lang w:val="en-US" w:eastAsia="zh-CN"/>
        </w:rPr>
        <w:t>二氧化硫为</w:t>
      </w:r>
      <w:r>
        <w:rPr>
          <w:rFonts w:hint="eastAsia" w:ascii="仿宋" w:hAnsi="仿宋" w:eastAsia="仿宋" w:cs="仿宋"/>
          <w:strike w:val="0"/>
          <w:dstrike w:val="0"/>
          <w:color w:val="auto"/>
          <w:kern w:val="0"/>
          <w:sz w:val="32"/>
          <w:szCs w:val="32"/>
          <w:lang w:val="en-US" w:eastAsia="zh-CN" w:bidi="ar-SA"/>
        </w:rPr>
        <w:t>504.29</w:t>
      </w:r>
      <w:r>
        <w:rPr>
          <w:rFonts w:hint="default" w:ascii="仿宋" w:hAnsi="仿宋" w:eastAsia="仿宋" w:cs="仿宋"/>
          <w:strike w:val="0"/>
          <w:dstrike w:val="0"/>
          <w:color w:val="auto"/>
          <w:kern w:val="0"/>
          <w:sz w:val="32"/>
          <w:szCs w:val="32"/>
          <w:lang w:val="en-US" w:eastAsia="zh-CN" w:bidi="ar-SA"/>
        </w:rPr>
        <w:t>t/a</w:t>
      </w:r>
      <w:r>
        <w:rPr>
          <w:rFonts w:hint="eastAsia" w:ascii="仿宋" w:hAnsi="仿宋" w:eastAsia="仿宋" w:cs="仿宋"/>
          <w:strike w:val="0"/>
          <w:dstrike w:val="0"/>
          <w:color w:val="auto"/>
          <w:kern w:val="0"/>
          <w:sz w:val="32"/>
          <w:szCs w:val="32"/>
          <w:lang w:val="en-US" w:eastAsia="zh-CN" w:bidi="ar-SA"/>
        </w:rPr>
        <w:t>、</w:t>
      </w:r>
      <w:r>
        <w:rPr>
          <w:rStyle w:val="17"/>
          <w:rFonts w:hint="eastAsia" w:ascii="仿宋" w:hAnsi="仿宋" w:eastAsia="仿宋" w:cs="Times New Roman"/>
          <w:sz w:val="32"/>
          <w:szCs w:val="32"/>
          <w:lang w:val="en-US" w:eastAsia="zh-CN"/>
        </w:rPr>
        <w:t>氮氧化物</w:t>
      </w:r>
      <w:r>
        <w:rPr>
          <w:rFonts w:hint="default" w:ascii="仿宋" w:hAnsi="仿宋" w:eastAsia="仿宋" w:cs="仿宋"/>
          <w:strike w:val="0"/>
          <w:dstrike w:val="0"/>
          <w:color w:val="auto"/>
          <w:kern w:val="0"/>
          <w:sz w:val="32"/>
          <w:szCs w:val="32"/>
          <w:lang w:val="en-US" w:eastAsia="zh-CN" w:bidi="ar-SA"/>
        </w:rPr>
        <w:t>为1176.43t/a</w:t>
      </w:r>
      <w:r>
        <w:rPr>
          <w:rFonts w:hint="eastAsia" w:ascii="仿宋" w:hAnsi="仿宋" w:eastAsia="仿宋" w:cs="仿宋"/>
          <w:strike w:val="0"/>
          <w:dstrike w:val="0"/>
          <w:color w:val="auto"/>
          <w:kern w:val="0"/>
          <w:sz w:val="32"/>
          <w:szCs w:val="32"/>
          <w:lang w:val="en-US" w:eastAsia="zh-CN" w:bidi="ar-SA"/>
        </w:rPr>
        <w:t>（鄂环字〔2011〕11号、鄂环总字〔2014〕12号、鄂环气字〔2023〕34号）；本项目</w:t>
      </w:r>
      <w:r>
        <w:rPr>
          <w:rFonts w:hint="default" w:ascii="仿宋" w:hAnsi="仿宋" w:eastAsia="仿宋" w:cs="仿宋"/>
          <w:strike w:val="0"/>
          <w:dstrike w:val="0"/>
          <w:color w:val="auto"/>
          <w:kern w:val="0"/>
          <w:sz w:val="32"/>
          <w:szCs w:val="32"/>
          <w:lang w:val="en-US" w:eastAsia="zh-CN" w:bidi="ar-SA"/>
        </w:rPr>
        <w:t>总量指标</w:t>
      </w:r>
      <w:r>
        <w:rPr>
          <w:rStyle w:val="17"/>
          <w:rFonts w:hint="eastAsia" w:ascii="仿宋" w:hAnsi="仿宋" w:eastAsia="仿宋" w:cs="Times New Roman"/>
          <w:sz w:val="32"/>
          <w:szCs w:val="32"/>
          <w:lang w:val="en-US" w:eastAsia="zh-CN"/>
        </w:rPr>
        <w:t>二氧化硫为</w:t>
      </w:r>
      <w:r>
        <w:rPr>
          <w:rFonts w:hint="default" w:ascii="仿宋" w:hAnsi="仿宋" w:eastAsia="仿宋" w:cs="仿宋"/>
          <w:strike w:val="0"/>
          <w:dstrike w:val="0"/>
          <w:color w:val="auto"/>
          <w:kern w:val="0"/>
          <w:sz w:val="32"/>
          <w:szCs w:val="32"/>
          <w:lang w:val="en-US" w:eastAsia="zh-CN" w:bidi="ar-SA"/>
        </w:rPr>
        <w:t>131.98t/a</w:t>
      </w:r>
      <w:r>
        <w:rPr>
          <w:rFonts w:hint="eastAsia" w:ascii="仿宋" w:hAnsi="仿宋" w:eastAsia="仿宋" w:cs="仿宋"/>
          <w:strike w:val="0"/>
          <w:dstrike w:val="0"/>
          <w:color w:val="auto"/>
          <w:kern w:val="0"/>
          <w:sz w:val="32"/>
          <w:szCs w:val="32"/>
          <w:lang w:val="en-US" w:eastAsia="zh-CN" w:bidi="ar-SA"/>
        </w:rPr>
        <w:t>、</w:t>
      </w:r>
      <w:r>
        <w:rPr>
          <w:rStyle w:val="17"/>
          <w:rFonts w:hint="eastAsia" w:ascii="仿宋" w:hAnsi="仿宋" w:eastAsia="仿宋" w:cs="Times New Roman"/>
          <w:sz w:val="32"/>
          <w:szCs w:val="32"/>
          <w:lang w:val="en-US" w:eastAsia="zh-CN"/>
        </w:rPr>
        <w:t>氮氧化物</w:t>
      </w:r>
      <w:r>
        <w:rPr>
          <w:rFonts w:hint="default" w:ascii="仿宋" w:hAnsi="仿宋" w:eastAsia="仿宋" w:cs="仿宋"/>
          <w:strike w:val="0"/>
          <w:dstrike w:val="0"/>
          <w:color w:val="auto"/>
          <w:kern w:val="0"/>
          <w:sz w:val="32"/>
          <w:szCs w:val="32"/>
          <w:lang w:val="en-US" w:eastAsia="zh-CN" w:bidi="ar-SA"/>
        </w:rPr>
        <w:t>为232.77t/a</w:t>
      </w:r>
      <w:r>
        <w:rPr>
          <w:rFonts w:hint="eastAsia" w:ascii="仿宋" w:hAnsi="仿宋" w:eastAsia="仿宋" w:cs="仿宋"/>
          <w:strike w:val="0"/>
          <w:dstrike w:val="0"/>
          <w:color w:val="auto"/>
          <w:kern w:val="0"/>
          <w:sz w:val="32"/>
          <w:szCs w:val="32"/>
          <w:lang w:val="en-US" w:eastAsia="zh-CN" w:bidi="ar-SA"/>
        </w:rPr>
        <w:t>，故本项目无需申请总量。</w:t>
      </w:r>
    </w:p>
    <w:p w14:paraId="6EFD12D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四、你单位应委托有相应资质的设计单位对建设项目重点环保设施进行设计，并在项目施工及运行过程中严格落实环保设施安全生产工作要求。</w:t>
      </w:r>
    </w:p>
    <w:p w14:paraId="625875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olor w:val="auto"/>
          <w:sz w:val="32"/>
          <w:szCs w:val="32"/>
          <w:lang w:val="en-US" w:eastAsia="zh-CN"/>
        </w:rPr>
        <w:t>五</w:t>
      </w:r>
      <w:r>
        <w:rPr>
          <w:rStyle w:val="17"/>
          <w:rFonts w:hint="eastAsia" w:ascii="仿宋" w:hAnsi="仿宋" w:eastAsia="仿宋"/>
          <w:color w:val="auto"/>
          <w:sz w:val="32"/>
          <w:szCs w:val="32"/>
          <w:lang w:eastAsia="zh-CN"/>
        </w:rPr>
        <w:t>、</w:t>
      </w:r>
      <w:r>
        <w:rPr>
          <w:rStyle w:val="17"/>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A5CC4A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Style w:val="17"/>
          <w:rFonts w:ascii="仿宋" w:hAnsi="仿宋" w:eastAsia="仿宋"/>
          <w:color w:val="auto"/>
          <w:sz w:val="32"/>
          <w:szCs w:val="32"/>
        </w:rPr>
      </w:pPr>
      <w:r>
        <w:rPr>
          <w:rStyle w:val="17"/>
          <w:rFonts w:hint="eastAsia" w:ascii="仿宋" w:hAnsi="仿宋" w:eastAsia="仿宋" w:cs="Times New Roman"/>
          <w:color w:val="auto"/>
          <w:sz w:val="32"/>
          <w:szCs w:val="32"/>
          <w:lang w:val="en-US" w:eastAsia="zh-CN"/>
        </w:rPr>
        <w:t>六</w:t>
      </w:r>
      <w:r>
        <w:rPr>
          <w:rStyle w:val="17"/>
          <w:rFonts w:hint="eastAsia" w:ascii="仿宋" w:hAnsi="仿宋" w:eastAsia="仿宋" w:cs="Times New Roman"/>
          <w:color w:val="auto"/>
          <w:sz w:val="32"/>
          <w:szCs w:val="32"/>
          <w:lang w:eastAsia="zh-CN"/>
        </w:rPr>
        <w:t>、</w:t>
      </w:r>
      <w:r>
        <w:rPr>
          <w:rStyle w:val="17"/>
          <w:rFonts w:hint="eastAsia" w:ascii="仿宋" w:hAnsi="仿宋" w:eastAsia="仿宋" w:cs="Times New Roman"/>
          <w:color w:val="auto"/>
          <w:sz w:val="32"/>
          <w:szCs w:val="32"/>
        </w:rPr>
        <w:t>你单位应在收到本批复20日内，将《报告</w:t>
      </w:r>
      <w:r>
        <w:rPr>
          <w:rStyle w:val="17"/>
          <w:rFonts w:hint="eastAsia" w:ascii="仿宋" w:hAnsi="仿宋" w:eastAsia="仿宋" w:cs="Times New Roman"/>
          <w:color w:val="auto"/>
          <w:sz w:val="32"/>
          <w:szCs w:val="32"/>
          <w:lang w:val="en-US" w:eastAsia="zh-CN"/>
        </w:rPr>
        <w:t>书</w:t>
      </w:r>
      <w:r>
        <w:rPr>
          <w:rStyle w:val="17"/>
          <w:rFonts w:hint="eastAsia" w:ascii="仿宋" w:hAnsi="仿宋" w:eastAsia="仿宋" w:cs="Times New Roman"/>
          <w:color w:val="auto"/>
          <w:sz w:val="32"/>
          <w:szCs w:val="32"/>
        </w:rPr>
        <w:t>》（报批版）及批复文件送至鄂尔多斯市生态环境综合行政执法支队东胜区大队，由鄂尔多斯市生态环境综合行政执法支队东胜区大队负责该项目的事中事后监管</w:t>
      </w:r>
      <w:r>
        <w:rPr>
          <w:rStyle w:val="17"/>
          <w:rFonts w:hint="eastAsia" w:ascii="仿宋" w:hAnsi="仿宋" w:eastAsia="仿宋" w:cs="Times New Roman"/>
          <w:color w:val="auto"/>
          <w:sz w:val="32"/>
          <w:szCs w:val="32"/>
          <w:lang w:eastAsia="zh-CN"/>
        </w:rPr>
        <w:t>。</w:t>
      </w:r>
      <w:r>
        <w:rPr>
          <w:rStyle w:val="17"/>
          <w:rFonts w:hint="eastAsia" w:ascii="仿宋" w:hAnsi="仿宋" w:eastAsia="仿宋"/>
          <w:color w:val="auto"/>
          <w:sz w:val="32"/>
          <w:szCs w:val="32"/>
        </w:rPr>
        <w:t>该项目从批准之日起超过</w:t>
      </w:r>
      <w:r>
        <w:rPr>
          <w:rStyle w:val="17"/>
          <w:rFonts w:ascii="仿宋" w:hAnsi="仿宋" w:eastAsia="仿宋"/>
          <w:color w:val="auto"/>
          <w:sz w:val="32"/>
          <w:szCs w:val="32"/>
        </w:rPr>
        <w:t>5</w:t>
      </w:r>
      <w:r>
        <w:rPr>
          <w:rStyle w:val="17"/>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7"/>
          <w:rFonts w:ascii="仿宋" w:hAnsi="仿宋" w:eastAsia="仿宋"/>
          <w:color w:val="auto"/>
          <w:sz w:val="32"/>
          <w:szCs w:val="32"/>
        </w:rPr>
        <w:t xml:space="preserve">                                       </w:t>
      </w:r>
    </w:p>
    <w:p w14:paraId="5C567F8D">
      <w:pPr>
        <w:pStyle w:val="2"/>
        <w:jc w:val="left"/>
        <w:rPr>
          <w:rFonts w:hint="eastAsia"/>
          <w:color w:val="auto"/>
          <w:lang w:val="en-US" w:eastAsia="zh-CN"/>
        </w:rPr>
      </w:pPr>
    </w:p>
    <w:p w14:paraId="1B3016CC">
      <w:pPr>
        <w:pStyle w:val="2"/>
        <w:jc w:val="left"/>
        <w:rPr>
          <w:rFonts w:hint="eastAsia"/>
          <w:color w:val="auto"/>
          <w:lang w:val="en-US" w:eastAsia="zh-CN"/>
        </w:rPr>
      </w:pPr>
    </w:p>
    <w:p w14:paraId="75422BEB">
      <w:pPr>
        <w:pStyle w:val="2"/>
        <w:jc w:val="left"/>
        <w:rPr>
          <w:rFonts w:hint="eastAsia"/>
          <w:color w:val="auto"/>
          <w:lang w:val="en-US" w:eastAsia="zh-CN"/>
        </w:rPr>
      </w:pPr>
    </w:p>
    <w:p w14:paraId="639B4666">
      <w:pPr>
        <w:pStyle w:val="2"/>
        <w:jc w:val="left"/>
        <w:rPr>
          <w:rFonts w:hint="eastAsia"/>
          <w:color w:val="auto"/>
          <w:lang w:val="en-US" w:eastAsia="zh-CN"/>
        </w:rPr>
      </w:pPr>
    </w:p>
    <w:p w14:paraId="37A581FA">
      <w:pPr>
        <w:pStyle w:val="2"/>
        <w:jc w:val="left"/>
        <w:rPr>
          <w:rFonts w:hint="eastAsia"/>
          <w:color w:val="auto"/>
          <w:lang w:val="en-US" w:eastAsia="zh-CN"/>
        </w:rPr>
      </w:pPr>
      <w:r>
        <w:rPr>
          <w:rFonts w:hint="eastAsia"/>
          <w:color w:val="auto"/>
          <w:lang w:val="en-US" w:eastAsia="zh-CN"/>
        </w:rPr>
        <w:t xml:space="preserve">   </w:t>
      </w:r>
    </w:p>
    <w:p w14:paraId="5BC74365">
      <w:pPr>
        <w:rPr>
          <w:rFonts w:hint="eastAsia"/>
          <w:color w:val="auto"/>
          <w:lang w:val="en-US" w:eastAsia="zh-CN"/>
        </w:rPr>
      </w:pPr>
    </w:p>
    <w:p w14:paraId="0C00B45A">
      <w:pPr>
        <w:jc w:val="left"/>
      </w:pPr>
    </w:p>
    <w:p w14:paraId="3F5C3264">
      <w:pPr>
        <w:spacing w:line="360" w:lineRule="auto"/>
        <w:ind w:firstLine="3840" w:firstLineChars="1200"/>
        <w:textAlignment w:val="auto"/>
        <w:rPr>
          <w:rStyle w:val="17"/>
          <w:rFonts w:ascii="仿宋" w:hAnsi="仿宋" w:eastAsia="仿宋"/>
          <w:color w:val="auto"/>
          <w:sz w:val="32"/>
          <w:szCs w:val="32"/>
        </w:rPr>
      </w:pPr>
      <w:r>
        <w:rPr>
          <w:rStyle w:val="17"/>
          <w:rFonts w:hint="eastAsia" w:ascii="仿宋" w:hAnsi="仿宋" w:eastAsia="仿宋"/>
          <w:color w:val="auto"/>
          <w:sz w:val="32"/>
          <w:szCs w:val="32"/>
        </w:rPr>
        <w:t>鄂尔多斯市生态环境局东胜区分局</w:t>
      </w:r>
    </w:p>
    <w:p w14:paraId="76D4099A">
      <w:pPr>
        <w:spacing w:line="360" w:lineRule="auto"/>
        <w:ind w:firstLine="640" w:firstLineChars="200"/>
        <w:textAlignment w:val="auto"/>
        <w:rPr>
          <w:color w:val="auto"/>
        </w:rPr>
      </w:pPr>
      <w:r>
        <w:rPr>
          <w:rStyle w:val="17"/>
          <w:rFonts w:ascii="仿宋" w:hAnsi="仿宋" w:eastAsia="仿宋"/>
          <w:color w:val="auto"/>
          <w:sz w:val="32"/>
          <w:szCs w:val="32"/>
        </w:rPr>
        <w:t xml:space="preserve">                           202</w:t>
      </w:r>
      <w:r>
        <w:rPr>
          <w:rStyle w:val="17"/>
          <w:rFonts w:hint="eastAsia" w:ascii="仿宋" w:hAnsi="仿宋" w:eastAsia="仿宋"/>
          <w:color w:val="auto"/>
          <w:sz w:val="32"/>
          <w:szCs w:val="32"/>
          <w:lang w:val="en-US" w:eastAsia="zh-CN"/>
        </w:rPr>
        <w:t>4</w:t>
      </w:r>
      <w:r>
        <w:rPr>
          <w:rStyle w:val="17"/>
          <w:rFonts w:hint="eastAsia" w:ascii="仿宋" w:hAnsi="仿宋" w:eastAsia="仿宋"/>
          <w:color w:val="auto"/>
          <w:sz w:val="32"/>
          <w:szCs w:val="32"/>
        </w:rPr>
        <w:t>年</w:t>
      </w:r>
      <w:r>
        <w:rPr>
          <w:rStyle w:val="17"/>
          <w:rFonts w:hint="eastAsia" w:ascii="仿宋" w:hAnsi="仿宋" w:eastAsia="仿宋"/>
          <w:color w:val="auto"/>
          <w:sz w:val="32"/>
          <w:szCs w:val="32"/>
          <w:lang w:val="en-US" w:eastAsia="zh-CN"/>
        </w:rPr>
        <w:t>9</w:t>
      </w:r>
      <w:r>
        <w:rPr>
          <w:rStyle w:val="17"/>
          <w:rFonts w:hint="eastAsia" w:ascii="仿宋" w:hAnsi="仿宋" w:eastAsia="仿宋"/>
          <w:color w:val="auto"/>
          <w:sz w:val="32"/>
          <w:szCs w:val="32"/>
        </w:rPr>
        <w:t>月</w:t>
      </w:r>
      <w:r>
        <w:rPr>
          <w:rStyle w:val="17"/>
          <w:rFonts w:hint="eastAsia" w:ascii="仿宋" w:hAnsi="仿宋" w:eastAsia="仿宋"/>
          <w:color w:val="auto"/>
          <w:sz w:val="32"/>
          <w:szCs w:val="32"/>
          <w:lang w:val="en-US" w:eastAsia="zh-CN"/>
        </w:rPr>
        <w:t>18</w:t>
      </w:r>
      <w:r>
        <w:rPr>
          <w:rStyle w:val="17"/>
          <w:rFonts w:hint="eastAsia" w:ascii="仿宋" w:hAnsi="仿宋" w:eastAsia="仿宋"/>
          <w:color w:val="auto"/>
          <w:sz w:val="32"/>
          <w:szCs w:val="32"/>
        </w:rPr>
        <w:t>日</w:t>
      </w:r>
      <w:r>
        <w:rPr>
          <w:rStyle w:val="17"/>
          <w:rFonts w:ascii="仿宋" w:hAnsi="仿宋" w:eastAsia="仿宋"/>
          <w:color w:val="auto"/>
          <w:sz w:val="32"/>
          <w:szCs w:val="32"/>
        </w:rPr>
        <w:t xml:space="preserve">  </w:t>
      </w:r>
    </w:p>
    <w:p w14:paraId="55973F73">
      <w:pPr>
        <w:pStyle w:val="26"/>
        <w:rPr>
          <w:color w:val="auto"/>
        </w:rPr>
      </w:pPr>
    </w:p>
    <w:p w14:paraId="4B589901">
      <w:pPr>
        <w:pStyle w:val="26"/>
        <w:rPr>
          <w:color w:val="auto"/>
        </w:rPr>
      </w:pPr>
    </w:p>
    <w:p w14:paraId="6C9385F8">
      <w:pPr>
        <w:pStyle w:val="26"/>
        <w:rPr>
          <w:color w:val="auto"/>
        </w:rPr>
      </w:pPr>
    </w:p>
    <w:p w14:paraId="0EC13EE3">
      <w:pPr>
        <w:pStyle w:val="26"/>
        <w:rPr>
          <w:color w:val="auto"/>
        </w:rPr>
      </w:pPr>
    </w:p>
    <w:p w14:paraId="4BBD81C2">
      <w:pPr>
        <w:pStyle w:val="26"/>
        <w:rPr>
          <w:color w:val="auto"/>
        </w:rPr>
      </w:pPr>
    </w:p>
    <w:p w14:paraId="5ED891CB">
      <w:pPr>
        <w:pStyle w:val="26"/>
        <w:rPr>
          <w:color w:val="auto"/>
        </w:rPr>
      </w:pPr>
    </w:p>
    <w:p w14:paraId="79CC29C9">
      <w:pPr>
        <w:pStyle w:val="26"/>
        <w:rPr>
          <w:color w:val="auto"/>
        </w:rPr>
      </w:pPr>
    </w:p>
    <w:p w14:paraId="5FEA01FD">
      <w:pPr>
        <w:pStyle w:val="26"/>
        <w:rPr>
          <w:color w:val="auto"/>
        </w:rPr>
      </w:pPr>
    </w:p>
    <w:p w14:paraId="33D82CA3">
      <w:pPr>
        <w:pStyle w:val="26"/>
        <w:rPr>
          <w:color w:val="auto"/>
        </w:rPr>
      </w:pPr>
    </w:p>
    <w:p w14:paraId="1D26ABE7">
      <w:pPr>
        <w:pStyle w:val="26"/>
        <w:rPr>
          <w:color w:val="auto"/>
        </w:rPr>
      </w:pPr>
    </w:p>
    <w:p w14:paraId="6AF7D4A7">
      <w:pPr>
        <w:pStyle w:val="26"/>
        <w:rPr>
          <w:color w:val="auto"/>
        </w:rPr>
      </w:pPr>
    </w:p>
    <w:p w14:paraId="294B5283">
      <w:pPr>
        <w:pStyle w:val="26"/>
        <w:rPr>
          <w:color w:val="auto"/>
        </w:rPr>
      </w:pPr>
    </w:p>
    <w:p w14:paraId="67D6846E">
      <w:pPr>
        <w:pStyle w:val="26"/>
        <w:rPr>
          <w:color w:val="auto"/>
        </w:rPr>
      </w:pPr>
    </w:p>
    <w:p w14:paraId="60AB5078">
      <w:pPr>
        <w:pStyle w:val="26"/>
        <w:rPr>
          <w:color w:val="auto"/>
        </w:rPr>
      </w:pPr>
    </w:p>
    <w:p w14:paraId="65F3D5D6">
      <w:pPr>
        <w:pStyle w:val="26"/>
        <w:rPr>
          <w:color w:val="auto"/>
        </w:rPr>
      </w:pPr>
    </w:p>
    <w:p w14:paraId="74F8250D">
      <w:pPr>
        <w:pStyle w:val="26"/>
        <w:rPr>
          <w:color w:val="auto"/>
        </w:rPr>
      </w:pPr>
    </w:p>
    <w:p w14:paraId="11AD965A">
      <w:pPr>
        <w:pStyle w:val="26"/>
        <w:rPr>
          <w:color w:val="auto"/>
        </w:rPr>
      </w:pPr>
    </w:p>
    <w:p w14:paraId="088887E6">
      <w:pPr>
        <w:pStyle w:val="26"/>
        <w:rPr>
          <w:color w:val="auto"/>
        </w:rPr>
      </w:pPr>
    </w:p>
    <w:p w14:paraId="489116CE">
      <w:pPr>
        <w:pStyle w:val="26"/>
        <w:rPr>
          <w:color w:val="auto"/>
        </w:rPr>
      </w:pPr>
    </w:p>
    <w:p w14:paraId="4B58DF23">
      <w:pPr>
        <w:pStyle w:val="26"/>
        <w:rPr>
          <w:color w:val="auto"/>
        </w:rPr>
      </w:pPr>
    </w:p>
    <w:p w14:paraId="09448C27">
      <w:pPr>
        <w:pStyle w:val="26"/>
        <w:rPr>
          <w:color w:val="auto"/>
        </w:rPr>
      </w:pPr>
    </w:p>
    <w:p w14:paraId="7B5CB9C6">
      <w:pPr>
        <w:pStyle w:val="26"/>
        <w:rPr>
          <w:color w:val="auto"/>
        </w:rPr>
      </w:pPr>
    </w:p>
    <w:p w14:paraId="0EA094C6">
      <w:pPr>
        <w:pStyle w:val="26"/>
        <w:rPr>
          <w:color w:val="auto"/>
        </w:rPr>
      </w:pPr>
    </w:p>
    <w:p w14:paraId="057AB21C">
      <w:pPr>
        <w:pStyle w:val="26"/>
        <w:rPr>
          <w:color w:val="auto"/>
        </w:rPr>
      </w:pPr>
    </w:p>
    <w:p w14:paraId="1EAC7C28">
      <w:pPr>
        <w:pStyle w:val="26"/>
        <w:rPr>
          <w:color w:val="auto"/>
        </w:rPr>
      </w:pPr>
    </w:p>
    <w:p w14:paraId="0BBA5344">
      <w:pPr>
        <w:pStyle w:val="26"/>
        <w:rPr>
          <w:color w:val="auto"/>
        </w:rPr>
      </w:pPr>
    </w:p>
    <w:p w14:paraId="0D5528F6">
      <w:pPr>
        <w:pStyle w:val="26"/>
        <w:rPr>
          <w:color w:val="auto"/>
        </w:rPr>
      </w:pPr>
    </w:p>
    <w:p w14:paraId="390DBAE3">
      <w:pPr>
        <w:pStyle w:val="26"/>
        <w:rPr>
          <w:color w:val="auto"/>
        </w:rPr>
      </w:pPr>
    </w:p>
    <w:p w14:paraId="5200456B">
      <w:pPr>
        <w:pStyle w:val="26"/>
        <w:rPr>
          <w:color w:val="auto"/>
        </w:rPr>
      </w:pPr>
    </w:p>
    <w:p w14:paraId="31122397">
      <w:pPr>
        <w:spacing w:line="560" w:lineRule="exact"/>
        <w:ind w:right="168" w:firstLine="210" w:firstLineChars="100"/>
        <w:rPr>
          <w:rFonts w:hint="eastAsia" w:ascii="Times New Roman" w:hAnsi="Times New Roman" w:cs="Times New Roman"/>
          <w:color w:val="0000FF"/>
          <w:sz w:val="24"/>
          <w:szCs w:val="24"/>
          <w:highlight w:val="none"/>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7"/>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7"/>
          <w:rFonts w:ascii="仿宋" w:hAnsi="仿宋" w:eastAsia="仿宋"/>
          <w:color w:val="auto"/>
          <w:sz w:val="28"/>
          <w:szCs w:val="28"/>
        </w:rPr>
        <w:t xml:space="preserve">    </w:t>
      </w:r>
      <w:r>
        <w:rPr>
          <w:rStyle w:val="17"/>
          <w:rFonts w:hint="eastAsia" w:ascii="仿宋" w:hAnsi="仿宋" w:eastAsia="仿宋"/>
          <w:color w:val="auto"/>
          <w:sz w:val="28"/>
          <w:szCs w:val="28"/>
          <w:lang w:val="en-US" w:eastAsia="zh-CN"/>
        </w:rPr>
        <w:t xml:space="preserve">     </w:t>
      </w:r>
      <w:r>
        <w:rPr>
          <w:rStyle w:val="17"/>
          <w:rFonts w:ascii="仿宋" w:hAnsi="仿宋" w:eastAsia="仿宋"/>
          <w:color w:val="auto"/>
          <w:sz w:val="28"/>
          <w:szCs w:val="28"/>
        </w:rPr>
        <w:t xml:space="preserve"> 202</w:t>
      </w:r>
      <w:r>
        <w:rPr>
          <w:rStyle w:val="17"/>
          <w:rFonts w:hint="eastAsia" w:ascii="仿宋" w:hAnsi="仿宋" w:eastAsia="仿宋"/>
          <w:color w:val="auto"/>
          <w:sz w:val="28"/>
          <w:szCs w:val="28"/>
          <w:lang w:val="en-US" w:eastAsia="zh-CN"/>
        </w:rPr>
        <w:t>4</w:t>
      </w:r>
      <w:r>
        <w:rPr>
          <w:rStyle w:val="17"/>
          <w:rFonts w:hint="eastAsia" w:ascii="仿宋" w:hAnsi="仿宋" w:eastAsia="仿宋"/>
          <w:color w:val="auto"/>
          <w:sz w:val="28"/>
          <w:szCs w:val="28"/>
        </w:rPr>
        <w:t>年</w:t>
      </w:r>
      <w:r>
        <w:rPr>
          <w:rStyle w:val="17"/>
          <w:rFonts w:hint="eastAsia" w:ascii="仿宋" w:hAnsi="仿宋" w:eastAsia="仿宋"/>
          <w:color w:val="auto"/>
          <w:sz w:val="28"/>
          <w:szCs w:val="28"/>
          <w:lang w:val="en-US" w:eastAsia="zh-CN"/>
        </w:rPr>
        <w:t>9</w:t>
      </w:r>
      <w:r>
        <w:rPr>
          <w:rStyle w:val="17"/>
          <w:rFonts w:hint="eastAsia" w:ascii="仿宋" w:hAnsi="仿宋" w:eastAsia="仿宋"/>
          <w:color w:val="auto"/>
          <w:sz w:val="28"/>
          <w:szCs w:val="28"/>
        </w:rPr>
        <w:t>月</w:t>
      </w:r>
      <w:r>
        <w:rPr>
          <w:rStyle w:val="17"/>
          <w:rFonts w:hint="eastAsia" w:ascii="仿宋" w:hAnsi="仿宋" w:eastAsia="仿宋"/>
          <w:color w:val="auto"/>
          <w:sz w:val="28"/>
          <w:szCs w:val="28"/>
          <w:lang w:val="en-US" w:eastAsia="zh-CN"/>
        </w:rPr>
        <w:t>18</w:t>
      </w:r>
      <w:r>
        <w:rPr>
          <w:rStyle w:val="17"/>
          <w:rFonts w:hint="eastAsia" w:ascii="仿宋" w:hAnsi="仿宋" w:eastAsia="仿宋"/>
          <w:color w:val="auto"/>
          <w:sz w:val="28"/>
          <w:szCs w:val="28"/>
        </w:rPr>
        <w:t>日印发</w:t>
      </w:r>
      <w:r>
        <w:rPr>
          <w:rStyle w:val="17"/>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80C73">
    <w:pPr>
      <w:pStyle w:val="9"/>
      <w:jc w:val="right"/>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649D0A">
                          <w:pPr>
                            <w:pStyle w:val="9"/>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06649D0A">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28DC82A">
    <w:pPr>
      <w:snapToGrid w:val="0"/>
      <w:spacing w:line="240" w:lineRule="atLeast"/>
      <w:jc w:val="center"/>
      <w:rPr>
        <w:rStyle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95CFC">
    <w:pPr>
      <w:pStyle w:val="9"/>
      <w:ind w:right="720"/>
      <w:rPr>
        <w:rStyle w:val="17"/>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04518A3">
                          <w:pPr>
                            <w:pStyle w:val="9"/>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04518A3">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1CD17C69">
    <w:pPr>
      <w:pStyle w:val="9"/>
      <w:rPr>
        <w:rStyle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5028A">
    <w:pPr>
      <w:snapToGrid w:val="0"/>
      <w:spacing w:line="240" w:lineRule="atLeast"/>
      <w:rPr>
        <w:rStyle w:val="17"/>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lZDkxNzRiNjE4NmYwMTAwZDQ4N2MwZmUwNjc3MWU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A7D1B"/>
    <w:rsid w:val="01AC556B"/>
    <w:rsid w:val="02BA5D3C"/>
    <w:rsid w:val="02DD4C33"/>
    <w:rsid w:val="02DD5B4F"/>
    <w:rsid w:val="02F3233D"/>
    <w:rsid w:val="0341249E"/>
    <w:rsid w:val="0358144A"/>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610DF"/>
    <w:rsid w:val="05D94866"/>
    <w:rsid w:val="060A1C1B"/>
    <w:rsid w:val="06191689"/>
    <w:rsid w:val="069845E6"/>
    <w:rsid w:val="06CA02D1"/>
    <w:rsid w:val="06CC5F39"/>
    <w:rsid w:val="06DD649D"/>
    <w:rsid w:val="06E35A8B"/>
    <w:rsid w:val="06F42603"/>
    <w:rsid w:val="06F55023"/>
    <w:rsid w:val="071479B9"/>
    <w:rsid w:val="075C516B"/>
    <w:rsid w:val="075E259A"/>
    <w:rsid w:val="075F5B44"/>
    <w:rsid w:val="07A019A5"/>
    <w:rsid w:val="07E24DC5"/>
    <w:rsid w:val="07E51AAD"/>
    <w:rsid w:val="0822685D"/>
    <w:rsid w:val="084C5688"/>
    <w:rsid w:val="08660559"/>
    <w:rsid w:val="088210AA"/>
    <w:rsid w:val="088554D8"/>
    <w:rsid w:val="08A1120A"/>
    <w:rsid w:val="08AD4A87"/>
    <w:rsid w:val="08B51389"/>
    <w:rsid w:val="08CE2C2B"/>
    <w:rsid w:val="08EA5D86"/>
    <w:rsid w:val="08FE4C90"/>
    <w:rsid w:val="090362EF"/>
    <w:rsid w:val="090866C9"/>
    <w:rsid w:val="097134F8"/>
    <w:rsid w:val="098F5074"/>
    <w:rsid w:val="09B06929"/>
    <w:rsid w:val="09D92F4C"/>
    <w:rsid w:val="0A3D33B0"/>
    <w:rsid w:val="0A5D0D80"/>
    <w:rsid w:val="0A667AEF"/>
    <w:rsid w:val="0A6D53BD"/>
    <w:rsid w:val="0A9A115F"/>
    <w:rsid w:val="0AA477AD"/>
    <w:rsid w:val="0AA74DF8"/>
    <w:rsid w:val="0ABF0394"/>
    <w:rsid w:val="0AD65965"/>
    <w:rsid w:val="0B440899"/>
    <w:rsid w:val="0B6446A4"/>
    <w:rsid w:val="0B792C38"/>
    <w:rsid w:val="0BA55642"/>
    <w:rsid w:val="0BD72E57"/>
    <w:rsid w:val="0BDE1694"/>
    <w:rsid w:val="0C2B3A73"/>
    <w:rsid w:val="0C301322"/>
    <w:rsid w:val="0C5555BE"/>
    <w:rsid w:val="0CAF1FCC"/>
    <w:rsid w:val="0CC65836"/>
    <w:rsid w:val="0CF87B8D"/>
    <w:rsid w:val="0CFC12E8"/>
    <w:rsid w:val="0D693F98"/>
    <w:rsid w:val="0D830185"/>
    <w:rsid w:val="0DF20A80"/>
    <w:rsid w:val="0E286250"/>
    <w:rsid w:val="0E2A021A"/>
    <w:rsid w:val="0E2F5220"/>
    <w:rsid w:val="0E364873"/>
    <w:rsid w:val="0E385A18"/>
    <w:rsid w:val="0E4F7C80"/>
    <w:rsid w:val="0E570138"/>
    <w:rsid w:val="0E846C5B"/>
    <w:rsid w:val="0E9A33FF"/>
    <w:rsid w:val="0EB36461"/>
    <w:rsid w:val="0EB72A51"/>
    <w:rsid w:val="0EC36AE6"/>
    <w:rsid w:val="0EF75580"/>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895257"/>
    <w:rsid w:val="11CD325E"/>
    <w:rsid w:val="11D2180D"/>
    <w:rsid w:val="12543AB7"/>
    <w:rsid w:val="12EA255A"/>
    <w:rsid w:val="13337B71"/>
    <w:rsid w:val="13464D5E"/>
    <w:rsid w:val="1398649C"/>
    <w:rsid w:val="139A0B1F"/>
    <w:rsid w:val="13C532EF"/>
    <w:rsid w:val="144C07C7"/>
    <w:rsid w:val="14F54230"/>
    <w:rsid w:val="1562595D"/>
    <w:rsid w:val="15652C35"/>
    <w:rsid w:val="156D1455"/>
    <w:rsid w:val="15E91737"/>
    <w:rsid w:val="16015C16"/>
    <w:rsid w:val="16041455"/>
    <w:rsid w:val="163634D4"/>
    <w:rsid w:val="166E0EC0"/>
    <w:rsid w:val="168C74C9"/>
    <w:rsid w:val="16FF6904"/>
    <w:rsid w:val="171F5F2F"/>
    <w:rsid w:val="173B3498"/>
    <w:rsid w:val="1747459A"/>
    <w:rsid w:val="178F5508"/>
    <w:rsid w:val="17D90483"/>
    <w:rsid w:val="17E15C23"/>
    <w:rsid w:val="18047D2E"/>
    <w:rsid w:val="181C5F12"/>
    <w:rsid w:val="18207E93"/>
    <w:rsid w:val="188A5136"/>
    <w:rsid w:val="18A37FC9"/>
    <w:rsid w:val="18AE27A5"/>
    <w:rsid w:val="18CC5434"/>
    <w:rsid w:val="18E5190D"/>
    <w:rsid w:val="18E54146"/>
    <w:rsid w:val="193E4F94"/>
    <w:rsid w:val="19473B43"/>
    <w:rsid w:val="19AC1F9C"/>
    <w:rsid w:val="19EA6791"/>
    <w:rsid w:val="19F825D9"/>
    <w:rsid w:val="19F8741E"/>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12154AC"/>
    <w:rsid w:val="214B3470"/>
    <w:rsid w:val="21500F9E"/>
    <w:rsid w:val="217D77E0"/>
    <w:rsid w:val="21DC075D"/>
    <w:rsid w:val="21EF70BE"/>
    <w:rsid w:val="220E66BC"/>
    <w:rsid w:val="221B45B1"/>
    <w:rsid w:val="2265588B"/>
    <w:rsid w:val="22731BA4"/>
    <w:rsid w:val="228C2292"/>
    <w:rsid w:val="22AC349C"/>
    <w:rsid w:val="23340096"/>
    <w:rsid w:val="23541649"/>
    <w:rsid w:val="235E3785"/>
    <w:rsid w:val="23921405"/>
    <w:rsid w:val="23BC770E"/>
    <w:rsid w:val="23C9100A"/>
    <w:rsid w:val="23FE1AD5"/>
    <w:rsid w:val="24421E65"/>
    <w:rsid w:val="244A3BA9"/>
    <w:rsid w:val="24855506"/>
    <w:rsid w:val="24C04FDC"/>
    <w:rsid w:val="24C456C6"/>
    <w:rsid w:val="24F868A6"/>
    <w:rsid w:val="25125EFC"/>
    <w:rsid w:val="25366867"/>
    <w:rsid w:val="2537664C"/>
    <w:rsid w:val="253C64B1"/>
    <w:rsid w:val="25733248"/>
    <w:rsid w:val="2575030C"/>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BE05F64"/>
    <w:rsid w:val="2C3D5164"/>
    <w:rsid w:val="2C3F708C"/>
    <w:rsid w:val="2C871D94"/>
    <w:rsid w:val="2CAE4D3A"/>
    <w:rsid w:val="2CE7407F"/>
    <w:rsid w:val="2CFB6C68"/>
    <w:rsid w:val="2D2F0946"/>
    <w:rsid w:val="2D4A5D8B"/>
    <w:rsid w:val="2D5C4C74"/>
    <w:rsid w:val="2D5F771D"/>
    <w:rsid w:val="2DBB4593"/>
    <w:rsid w:val="2DD61302"/>
    <w:rsid w:val="2E19750B"/>
    <w:rsid w:val="2E1A5EC1"/>
    <w:rsid w:val="2E494294"/>
    <w:rsid w:val="2E653EAF"/>
    <w:rsid w:val="2E6B1F05"/>
    <w:rsid w:val="2EA85B70"/>
    <w:rsid w:val="2EB60EB6"/>
    <w:rsid w:val="2EF21325"/>
    <w:rsid w:val="2EFF6701"/>
    <w:rsid w:val="2F1876BA"/>
    <w:rsid w:val="2F837265"/>
    <w:rsid w:val="2F8C2E25"/>
    <w:rsid w:val="2F8E3C27"/>
    <w:rsid w:val="2FAA2B11"/>
    <w:rsid w:val="2FC328DF"/>
    <w:rsid w:val="2FE05822"/>
    <w:rsid w:val="2FEA3599"/>
    <w:rsid w:val="301223CD"/>
    <w:rsid w:val="30276045"/>
    <w:rsid w:val="30383441"/>
    <w:rsid w:val="30552879"/>
    <w:rsid w:val="3071536E"/>
    <w:rsid w:val="30CD0F38"/>
    <w:rsid w:val="30E16A06"/>
    <w:rsid w:val="312C0E37"/>
    <w:rsid w:val="313E79B5"/>
    <w:rsid w:val="31451F91"/>
    <w:rsid w:val="3166710B"/>
    <w:rsid w:val="31B97443"/>
    <w:rsid w:val="31DE4CF4"/>
    <w:rsid w:val="31E74361"/>
    <w:rsid w:val="322F75E5"/>
    <w:rsid w:val="3239406E"/>
    <w:rsid w:val="3245462B"/>
    <w:rsid w:val="32862408"/>
    <w:rsid w:val="32A41A78"/>
    <w:rsid w:val="32C748C7"/>
    <w:rsid w:val="32F109D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1729F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CC6031"/>
    <w:rsid w:val="3AEA62F0"/>
    <w:rsid w:val="3B164E12"/>
    <w:rsid w:val="3B433FA0"/>
    <w:rsid w:val="3B434284"/>
    <w:rsid w:val="3B7405F8"/>
    <w:rsid w:val="3B8024AE"/>
    <w:rsid w:val="3BA73166"/>
    <w:rsid w:val="3BCA2CB8"/>
    <w:rsid w:val="3BD74C8E"/>
    <w:rsid w:val="3C0435A9"/>
    <w:rsid w:val="3C0637C5"/>
    <w:rsid w:val="3C201861"/>
    <w:rsid w:val="3C351081"/>
    <w:rsid w:val="3C4F7E8A"/>
    <w:rsid w:val="3C545991"/>
    <w:rsid w:val="3C795E81"/>
    <w:rsid w:val="3C885F88"/>
    <w:rsid w:val="3C9C06C9"/>
    <w:rsid w:val="3CF212C3"/>
    <w:rsid w:val="3CF56EE7"/>
    <w:rsid w:val="3D4E0D02"/>
    <w:rsid w:val="3D615C4A"/>
    <w:rsid w:val="3D9D29AC"/>
    <w:rsid w:val="3D9F0D66"/>
    <w:rsid w:val="3DB17760"/>
    <w:rsid w:val="3DC119A0"/>
    <w:rsid w:val="3DD06792"/>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57D0C"/>
    <w:rsid w:val="3FFB782D"/>
    <w:rsid w:val="401A75E2"/>
    <w:rsid w:val="40333ECA"/>
    <w:rsid w:val="406D5BC1"/>
    <w:rsid w:val="4094255B"/>
    <w:rsid w:val="40A601F0"/>
    <w:rsid w:val="40B345F0"/>
    <w:rsid w:val="40BF08B4"/>
    <w:rsid w:val="411D0018"/>
    <w:rsid w:val="413328ED"/>
    <w:rsid w:val="41392B4A"/>
    <w:rsid w:val="413F1DCA"/>
    <w:rsid w:val="41586871"/>
    <w:rsid w:val="41C31E09"/>
    <w:rsid w:val="41D47B54"/>
    <w:rsid w:val="41DF489C"/>
    <w:rsid w:val="42096DA4"/>
    <w:rsid w:val="422C3859"/>
    <w:rsid w:val="42427E61"/>
    <w:rsid w:val="42571ED3"/>
    <w:rsid w:val="42A12AD7"/>
    <w:rsid w:val="42B31FAB"/>
    <w:rsid w:val="42C15BDB"/>
    <w:rsid w:val="42D9753D"/>
    <w:rsid w:val="43170066"/>
    <w:rsid w:val="431B4412"/>
    <w:rsid w:val="4331043E"/>
    <w:rsid w:val="4331172A"/>
    <w:rsid w:val="433E53DA"/>
    <w:rsid w:val="439E58A0"/>
    <w:rsid w:val="43B31C0B"/>
    <w:rsid w:val="43DA60A1"/>
    <w:rsid w:val="43E35A87"/>
    <w:rsid w:val="43EC55F4"/>
    <w:rsid w:val="4477148F"/>
    <w:rsid w:val="44947B97"/>
    <w:rsid w:val="44A75A3C"/>
    <w:rsid w:val="44B519AF"/>
    <w:rsid w:val="4502587E"/>
    <w:rsid w:val="453C2005"/>
    <w:rsid w:val="458429FA"/>
    <w:rsid w:val="463C0677"/>
    <w:rsid w:val="46754A78"/>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926C6C"/>
    <w:rsid w:val="49AA4FB0"/>
    <w:rsid w:val="49DB78B5"/>
    <w:rsid w:val="49E97A04"/>
    <w:rsid w:val="49EA569C"/>
    <w:rsid w:val="4A494A22"/>
    <w:rsid w:val="4A6F0787"/>
    <w:rsid w:val="4A800BE6"/>
    <w:rsid w:val="4A8835F7"/>
    <w:rsid w:val="4A911B79"/>
    <w:rsid w:val="4ADF223E"/>
    <w:rsid w:val="4AF07DCC"/>
    <w:rsid w:val="4B125F29"/>
    <w:rsid w:val="4B620F05"/>
    <w:rsid w:val="4B9F6E4A"/>
    <w:rsid w:val="4BA42C32"/>
    <w:rsid w:val="4BAD0F90"/>
    <w:rsid w:val="4C2274BE"/>
    <w:rsid w:val="4C547C35"/>
    <w:rsid w:val="4CB72F53"/>
    <w:rsid w:val="4CD95DD7"/>
    <w:rsid w:val="4D137AF0"/>
    <w:rsid w:val="4D28635E"/>
    <w:rsid w:val="4D377F90"/>
    <w:rsid w:val="4D3F6B37"/>
    <w:rsid w:val="4D666553"/>
    <w:rsid w:val="4D743394"/>
    <w:rsid w:val="4D7C0517"/>
    <w:rsid w:val="4DD86D52"/>
    <w:rsid w:val="4DDE7B5E"/>
    <w:rsid w:val="4E062159"/>
    <w:rsid w:val="4E543FF1"/>
    <w:rsid w:val="4EC56144"/>
    <w:rsid w:val="4F044A24"/>
    <w:rsid w:val="4F0B6B33"/>
    <w:rsid w:val="4F2B1F6E"/>
    <w:rsid w:val="4F4437F3"/>
    <w:rsid w:val="4F94752D"/>
    <w:rsid w:val="4F9668DE"/>
    <w:rsid w:val="4FD91C66"/>
    <w:rsid w:val="4FDF1ADA"/>
    <w:rsid w:val="4FE651D4"/>
    <w:rsid w:val="4FFB1D91"/>
    <w:rsid w:val="501660DD"/>
    <w:rsid w:val="505F24B0"/>
    <w:rsid w:val="50681DDC"/>
    <w:rsid w:val="507026E4"/>
    <w:rsid w:val="50C61171"/>
    <w:rsid w:val="51167CDE"/>
    <w:rsid w:val="51324DA9"/>
    <w:rsid w:val="5180327A"/>
    <w:rsid w:val="51AD2147"/>
    <w:rsid w:val="51CE1891"/>
    <w:rsid w:val="51D501ED"/>
    <w:rsid w:val="522D7F16"/>
    <w:rsid w:val="522E717A"/>
    <w:rsid w:val="523952D8"/>
    <w:rsid w:val="523B2FBD"/>
    <w:rsid w:val="52400F9E"/>
    <w:rsid w:val="52473BB8"/>
    <w:rsid w:val="52642B9B"/>
    <w:rsid w:val="5288313B"/>
    <w:rsid w:val="52D27DE3"/>
    <w:rsid w:val="52ED2B91"/>
    <w:rsid w:val="52F33045"/>
    <w:rsid w:val="531F408E"/>
    <w:rsid w:val="53406525"/>
    <w:rsid w:val="534B5C0F"/>
    <w:rsid w:val="535B54D0"/>
    <w:rsid w:val="53646721"/>
    <w:rsid w:val="539B439B"/>
    <w:rsid w:val="53E44017"/>
    <w:rsid w:val="5432323D"/>
    <w:rsid w:val="54331B24"/>
    <w:rsid w:val="54583460"/>
    <w:rsid w:val="54686A39"/>
    <w:rsid w:val="547075D6"/>
    <w:rsid w:val="54E641C3"/>
    <w:rsid w:val="54EC6DF6"/>
    <w:rsid w:val="54F16F78"/>
    <w:rsid w:val="54F41FB5"/>
    <w:rsid w:val="55215714"/>
    <w:rsid w:val="554D7806"/>
    <w:rsid w:val="555B0286"/>
    <w:rsid w:val="55876BE5"/>
    <w:rsid w:val="55A94050"/>
    <w:rsid w:val="55CA36B6"/>
    <w:rsid w:val="56073F6A"/>
    <w:rsid w:val="56755377"/>
    <w:rsid w:val="567F5F3C"/>
    <w:rsid w:val="56DB6AC7"/>
    <w:rsid w:val="56DF16DC"/>
    <w:rsid w:val="57184CF1"/>
    <w:rsid w:val="57780B5F"/>
    <w:rsid w:val="57911D3D"/>
    <w:rsid w:val="57B96494"/>
    <w:rsid w:val="57C2449C"/>
    <w:rsid w:val="57D32355"/>
    <w:rsid w:val="57DD76E9"/>
    <w:rsid w:val="57FC658A"/>
    <w:rsid w:val="57FE5FE5"/>
    <w:rsid w:val="586A1F97"/>
    <w:rsid w:val="589C6ECF"/>
    <w:rsid w:val="593212FE"/>
    <w:rsid w:val="59597413"/>
    <w:rsid w:val="595E0345"/>
    <w:rsid w:val="59BA4CD4"/>
    <w:rsid w:val="59EE5797"/>
    <w:rsid w:val="59F12F67"/>
    <w:rsid w:val="5A9164F8"/>
    <w:rsid w:val="5AAB7FEF"/>
    <w:rsid w:val="5AC272A3"/>
    <w:rsid w:val="5B307B0A"/>
    <w:rsid w:val="5B557E8F"/>
    <w:rsid w:val="5BB1110B"/>
    <w:rsid w:val="5C2B7BE1"/>
    <w:rsid w:val="5C621337"/>
    <w:rsid w:val="5C7F01BD"/>
    <w:rsid w:val="5D6C33D5"/>
    <w:rsid w:val="5DA25547"/>
    <w:rsid w:val="5DC5227C"/>
    <w:rsid w:val="5DD32B36"/>
    <w:rsid w:val="5DEC6C8E"/>
    <w:rsid w:val="5DF951D1"/>
    <w:rsid w:val="5DFA4819"/>
    <w:rsid w:val="5EFB79A1"/>
    <w:rsid w:val="5F1A4D0E"/>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A12EB3"/>
    <w:rsid w:val="61A86601"/>
    <w:rsid w:val="61B516C4"/>
    <w:rsid w:val="61EF4764"/>
    <w:rsid w:val="625904A9"/>
    <w:rsid w:val="628730AA"/>
    <w:rsid w:val="62A64AED"/>
    <w:rsid w:val="62B965EC"/>
    <w:rsid w:val="62BE2B8C"/>
    <w:rsid w:val="632919C3"/>
    <w:rsid w:val="632D32DF"/>
    <w:rsid w:val="636B778B"/>
    <w:rsid w:val="63713FBD"/>
    <w:rsid w:val="63950102"/>
    <w:rsid w:val="63A177AC"/>
    <w:rsid w:val="63B53257"/>
    <w:rsid w:val="640970FF"/>
    <w:rsid w:val="641D5FD9"/>
    <w:rsid w:val="64566E62"/>
    <w:rsid w:val="647677D7"/>
    <w:rsid w:val="64770209"/>
    <w:rsid w:val="6477675E"/>
    <w:rsid w:val="65042865"/>
    <w:rsid w:val="651360F5"/>
    <w:rsid w:val="651B024D"/>
    <w:rsid w:val="65571260"/>
    <w:rsid w:val="65620EA6"/>
    <w:rsid w:val="65AB3C61"/>
    <w:rsid w:val="65B25CB4"/>
    <w:rsid w:val="65CE2481"/>
    <w:rsid w:val="65DC4ACB"/>
    <w:rsid w:val="65FB616C"/>
    <w:rsid w:val="661125F2"/>
    <w:rsid w:val="6611695D"/>
    <w:rsid w:val="66194DC3"/>
    <w:rsid w:val="66267FAE"/>
    <w:rsid w:val="668D09A2"/>
    <w:rsid w:val="669764AC"/>
    <w:rsid w:val="66D55C0F"/>
    <w:rsid w:val="670B6A7D"/>
    <w:rsid w:val="672A40B7"/>
    <w:rsid w:val="673868DA"/>
    <w:rsid w:val="6746660F"/>
    <w:rsid w:val="6749451C"/>
    <w:rsid w:val="674A4227"/>
    <w:rsid w:val="679300D6"/>
    <w:rsid w:val="684478D1"/>
    <w:rsid w:val="686109FC"/>
    <w:rsid w:val="686801CC"/>
    <w:rsid w:val="6881195A"/>
    <w:rsid w:val="688C32E6"/>
    <w:rsid w:val="68D84C26"/>
    <w:rsid w:val="68DE4FFE"/>
    <w:rsid w:val="694D466A"/>
    <w:rsid w:val="695143FB"/>
    <w:rsid w:val="698A3A01"/>
    <w:rsid w:val="698D0D6B"/>
    <w:rsid w:val="69DC778F"/>
    <w:rsid w:val="69E6116E"/>
    <w:rsid w:val="6A051C1C"/>
    <w:rsid w:val="6A461941"/>
    <w:rsid w:val="6A7554EE"/>
    <w:rsid w:val="6AA33CF1"/>
    <w:rsid w:val="6AAE5669"/>
    <w:rsid w:val="6ABD1719"/>
    <w:rsid w:val="6ACC25CE"/>
    <w:rsid w:val="6B275374"/>
    <w:rsid w:val="6BC21C47"/>
    <w:rsid w:val="6BEB28AD"/>
    <w:rsid w:val="6C1D1BAE"/>
    <w:rsid w:val="6C32108A"/>
    <w:rsid w:val="6C495CD7"/>
    <w:rsid w:val="6C6C7186"/>
    <w:rsid w:val="6C71153E"/>
    <w:rsid w:val="6CA67BC0"/>
    <w:rsid w:val="6CB06CB1"/>
    <w:rsid w:val="6CE10EDA"/>
    <w:rsid w:val="6D4F01B3"/>
    <w:rsid w:val="6D5C2995"/>
    <w:rsid w:val="6D9B0E92"/>
    <w:rsid w:val="6DC319FF"/>
    <w:rsid w:val="6DD24A05"/>
    <w:rsid w:val="6E1844B8"/>
    <w:rsid w:val="6E276AFF"/>
    <w:rsid w:val="6E541954"/>
    <w:rsid w:val="6E697118"/>
    <w:rsid w:val="6E6D5C0E"/>
    <w:rsid w:val="6E7C3113"/>
    <w:rsid w:val="6EA67FA2"/>
    <w:rsid w:val="6EAB14DE"/>
    <w:rsid w:val="6EB1286D"/>
    <w:rsid w:val="6F2B6AC3"/>
    <w:rsid w:val="6F957251"/>
    <w:rsid w:val="708A5268"/>
    <w:rsid w:val="70921C55"/>
    <w:rsid w:val="70B658E9"/>
    <w:rsid w:val="70E450FE"/>
    <w:rsid w:val="71283ECD"/>
    <w:rsid w:val="713D11CB"/>
    <w:rsid w:val="7147364E"/>
    <w:rsid w:val="71502437"/>
    <w:rsid w:val="71866233"/>
    <w:rsid w:val="71E362C3"/>
    <w:rsid w:val="7219039A"/>
    <w:rsid w:val="724B4BCF"/>
    <w:rsid w:val="731775B6"/>
    <w:rsid w:val="7358775B"/>
    <w:rsid w:val="73BA11B9"/>
    <w:rsid w:val="73D60472"/>
    <w:rsid w:val="73E831D5"/>
    <w:rsid w:val="73F53D48"/>
    <w:rsid w:val="7496752E"/>
    <w:rsid w:val="749D3FBF"/>
    <w:rsid w:val="75377F70"/>
    <w:rsid w:val="755B54D7"/>
    <w:rsid w:val="75765328"/>
    <w:rsid w:val="758E6DEB"/>
    <w:rsid w:val="75A177EE"/>
    <w:rsid w:val="75C71031"/>
    <w:rsid w:val="75D86CD4"/>
    <w:rsid w:val="760E7139"/>
    <w:rsid w:val="76496AA8"/>
    <w:rsid w:val="76745CA5"/>
    <w:rsid w:val="768559AF"/>
    <w:rsid w:val="76A05F87"/>
    <w:rsid w:val="76A730E4"/>
    <w:rsid w:val="76F33AE6"/>
    <w:rsid w:val="76F41191"/>
    <w:rsid w:val="7758241F"/>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C34054"/>
    <w:rsid w:val="7AD20151"/>
    <w:rsid w:val="7B345817"/>
    <w:rsid w:val="7B5D3DBD"/>
    <w:rsid w:val="7B62786A"/>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7F66A4"/>
    <w:rsid w:val="7E8D29AE"/>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22"/>
    <w:qFormat/>
    <w:uiPriority w:val="99"/>
    <w:pPr>
      <w:spacing w:after="120"/>
    </w:pPr>
    <w:rPr>
      <w:rFonts w:ascii="Calibri" w:hAnsi="Calibri"/>
      <w:szCs w:val="22"/>
    </w:rPr>
  </w:style>
  <w:style w:type="paragraph" w:styleId="7">
    <w:name w:val="Plain Text"/>
    <w:basedOn w:val="1"/>
    <w:qFormat/>
    <w:uiPriority w:val="0"/>
    <w:rPr>
      <w:rFonts w:ascii="宋体" w:hAnsi="Courier New"/>
      <w:szCs w:val="21"/>
    </w:rPr>
  </w:style>
  <w:style w:type="paragraph" w:styleId="8">
    <w:name w:val="Date"/>
    <w:basedOn w:val="1"/>
    <w:next w:val="1"/>
    <w:link w:val="23"/>
    <w:qFormat/>
    <w:uiPriority w:val="99"/>
    <w:pPr>
      <w:ind w:left="100" w:leftChars="2500"/>
    </w:pPr>
  </w:style>
  <w:style w:type="paragraph" w:styleId="9">
    <w:name w:val="footer"/>
    <w:basedOn w:val="1"/>
    <w:link w:val="24"/>
    <w:qFormat/>
    <w:uiPriority w:val="99"/>
    <w:pPr>
      <w:tabs>
        <w:tab w:val="center" w:pos="4153"/>
        <w:tab w:val="right" w:pos="8306"/>
      </w:tabs>
      <w:snapToGrid w:val="0"/>
      <w:jc w:val="left"/>
    </w:pPr>
    <w:rPr>
      <w:sz w:val="18"/>
    </w:rPr>
  </w:style>
  <w:style w:type="paragraph" w:styleId="10">
    <w:name w:val="header"/>
    <w:basedOn w:val="1"/>
    <w:link w:val="25"/>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qFormat/>
    <w:uiPriority w:val="0"/>
    <w:rPr>
      <w:sz w:val="24"/>
      <w:szCs w:val="22"/>
    </w:rPr>
  </w:style>
  <w:style w:type="paragraph" w:styleId="12">
    <w:name w:val="Body Text First Indent"/>
    <w:basedOn w:val="6"/>
    <w:next w:val="1"/>
    <w:qFormat/>
    <w:uiPriority w:val="0"/>
    <w:pPr>
      <w:spacing w:after="120"/>
      <w:ind w:firstLine="420" w:firstLineChars="1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7"/>
    <w:qFormat/>
    <w:uiPriority w:val="99"/>
    <w:rPr>
      <w:rFonts w:cs="Times New Roman"/>
      <w:b/>
    </w:rPr>
  </w:style>
  <w:style w:type="character" w:customStyle="1" w:styleId="17">
    <w:name w:val="NormalCharacter"/>
    <w:semiHidden/>
    <w:qFormat/>
    <w:uiPriority w:val="99"/>
  </w:style>
  <w:style w:type="character" w:styleId="18">
    <w:name w:val="annotation reference"/>
    <w:qFormat/>
    <w:uiPriority w:val="0"/>
    <w:rPr>
      <w:sz w:val="21"/>
      <w:szCs w:val="21"/>
    </w:rPr>
  </w:style>
  <w:style w:type="paragraph" w:customStyle="1" w:styleId="19">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0">
    <w:name w:val="正文首行缩进 21"/>
    <w:basedOn w:val="3"/>
    <w:next w:val="1"/>
    <w:qFormat/>
    <w:uiPriority w:val="0"/>
    <w:pPr>
      <w:spacing w:afterLines="0"/>
      <w:ind w:left="420" w:firstLine="420" w:firstLineChars="200"/>
    </w:pPr>
    <w:rPr>
      <w:lang w:eastAsia="zh-CN" w:bidi="ar-SA"/>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正文文本 Char"/>
    <w:basedOn w:val="15"/>
    <w:link w:val="6"/>
    <w:semiHidden/>
    <w:qFormat/>
    <w:uiPriority w:val="99"/>
    <w:rPr>
      <w:color w:val="000000"/>
      <w:kern w:val="0"/>
      <w:szCs w:val="20"/>
    </w:rPr>
  </w:style>
  <w:style w:type="character" w:customStyle="1" w:styleId="23">
    <w:name w:val="日期 Char"/>
    <w:basedOn w:val="15"/>
    <w:link w:val="8"/>
    <w:semiHidden/>
    <w:qFormat/>
    <w:uiPriority w:val="99"/>
    <w:rPr>
      <w:color w:val="000000"/>
      <w:kern w:val="0"/>
      <w:szCs w:val="20"/>
    </w:rPr>
  </w:style>
  <w:style w:type="character" w:customStyle="1" w:styleId="24">
    <w:name w:val="页脚 Char"/>
    <w:basedOn w:val="17"/>
    <w:link w:val="9"/>
    <w:qFormat/>
    <w:locked/>
    <w:uiPriority w:val="99"/>
    <w:rPr>
      <w:rFonts w:cs="Times New Roman"/>
      <w:color w:val="000000"/>
      <w:sz w:val="18"/>
    </w:rPr>
  </w:style>
  <w:style w:type="character" w:customStyle="1" w:styleId="25">
    <w:name w:val="页眉 Char"/>
    <w:basedOn w:val="17"/>
    <w:link w:val="10"/>
    <w:qFormat/>
    <w:locked/>
    <w:uiPriority w:val="99"/>
    <w:rPr>
      <w:rFonts w:cs="Times New Roman"/>
      <w:color w:val="000000"/>
      <w:sz w:val="18"/>
      <w:szCs w:val="18"/>
    </w:rPr>
  </w:style>
  <w:style w:type="paragraph" w:customStyle="1" w:styleId="26">
    <w:name w:val="BodyText"/>
    <w:basedOn w:val="1"/>
    <w:qFormat/>
    <w:uiPriority w:val="99"/>
    <w:pPr>
      <w:spacing w:after="120"/>
    </w:pPr>
    <w:rPr>
      <w:rFonts w:ascii="Calibri" w:hAnsi="Calibri"/>
      <w:szCs w:val="22"/>
    </w:rPr>
  </w:style>
  <w:style w:type="table" w:customStyle="1" w:styleId="27">
    <w:name w:val="TableNormal"/>
    <w:semiHidden/>
    <w:qFormat/>
    <w:uiPriority w:val="99"/>
    <w:tblPr>
      <w:tblCellMar>
        <w:top w:w="0" w:type="dxa"/>
        <w:left w:w="0" w:type="dxa"/>
        <w:bottom w:w="0" w:type="dxa"/>
        <w:right w:w="0" w:type="dxa"/>
      </w:tblCellMar>
    </w:tblPr>
  </w:style>
  <w:style w:type="character" w:customStyle="1" w:styleId="28">
    <w:name w:val="UserStyle_0"/>
    <w:basedOn w:val="17"/>
    <w:qFormat/>
    <w:uiPriority w:val="99"/>
    <w:rPr>
      <w:rFonts w:ascii="Times New Roman" w:eastAsia="宋体" w:cs="Times New Roman"/>
      <w:color w:val="0000FF"/>
      <w:sz w:val="21"/>
      <w:u w:val="single"/>
      <w:lang w:val="en-US" w:eastAsia="zh-CN"/>
    </w:rPr>
  </w:style>
  <w:style w:type="character" w:customStyle="1" w:styleId="29">
    <w:name w:val="AnnotationReference"/>
    <w:qFormat/>
    <w:uiPriority w:val="99"/>
    <w:rPr>
      <w:sz w:val="21"/>
    </w:rPr>
  </w:style>
  <w:style w:type="character" w:customStyle="1" w:styleId="30">
    <w:name w:val="UserStyle_2"/>
    <w:basedOn w:val="17"/>
    <w:qFormat/>
    <w:uiPriority w:val="99"/>
    <w:rPr>
      <w:rFonts w:ascii="Times New Roman" w:eastAsia="宋体" w:cs="Times New Roman"/>
      <w:color w:val="0000FF"/>
      <w:sz w:val="21"/>
      <w:u w:val="single"/>
      <w:lang w:val="en-US" w:eastAsia="zh-CN"/>
    </w:rPr>
  </w:style>
  <w:style w:type="character" w:customStyle="1" w:styleId="31">
    <w:name w:val="UserStyle_3"/>
    <w:semiHidden/>
    <w:qFormat/>
    <w:uiPriority w:val="99"/>
    <w:rPr>
      <w:rFonts w:ascii="Times New Roman" w:hAnsi="Times New Roman" w:eastAsia="宋体"/>
      <w:kern w:val="2"/>
      <w:sz w:val="21"/>
      <w:lang w:val="en-US" w:eastAsia="zh-CN"/>
    </w:rPr>
  </w:style>
  <w:style w:type="paragraph" w:customStyle="1" w:styleId="32">
    <w:name w:val="UserStyle_5"/>
    <w:basedOn w:val="1"/>
    <w:next w:val="33"/>
    <w:qFormat/>
    <w:uiPriority w:val="99"/>
    <w:pPr>
      <w:spacing w:before="566" w:after="544" w:line="566" w:lineRule="atLeast"/>
      <w:jc w:val="center"/>
    </w:pPr>
    <w:rPr>
      <w:rFonts w:ascii="Arial" w:eastAsia="黑体"/>
      <w:sz w:val="54"/>
    </w:rPr>
  </w:style>
  <w:style w:type="paragraph" w:customStyle="1" w:styleId="33">
    <w:name w:val="UserStyle_6"/>
    <w:basedOn w:val="1"/>
    <w:next w:val="34"/>
    <w:qFormat/>
    <w:uiPriority w:val="99"/>
    <w:pPr>
      <w:spacing w:before="187" w:after="175" w:line="374" w:lineRule="atLeast"/>
      <w:jc w:val="center"/>
    </w:pPr>
    <w:rPr>
      <w:sz w:val="36"/>
    </w:rPr>
  </w:style>
  <w:style w:type="paragraph" w:customStyle="1" w:styleId="34">
    <w:name w:val="UserStyle_16"/>
    <w:basedOn w:val="1"/>
    <w:next w:val="35"/>
    <w:qFormat/>
    <w:uiPriority w:val="99"/>
    <w:pPr>
      <w:spacing w:before="158" w:after="153" w:line="323" w:lineRule="atLeast"/>
      <w:jc w:val="center"/>
    </w:pPr>
    <w:rPr>
      <w:rFonts w:ascii="Arial" w:eastAsia="黑体"/>
      <w:sz w:val="31"/>
    </w:rPr>
  </w:style>
  <w:style w:type="paragraph" w:customStyle="1" w:styleId="35">
    <w:name w:val="UserStyle_10"/>
    <w:basedOn w:val="1"/>
    <w:next w:val="36"/>
    <w:qFormat/>
    <w:uiPriority w:val="99"/>
    <w:pPr>
      <w:spacing w:line="289" w:lineRule="atLeast"/>
      <w:jc w:val="center"/>
    </w:pPr>
    <w:rPr>
      <w:sz w:val="28"/>
    </w:rPr>
  </w:style>
  <w:style w:type="paragraph" w:customStyle="1" w:styleId="36">
    <w:name w:val="UserStyle_11"/>
    <w:basedOn w:val="1"/>
    <w:next w:val="1"/>
    <w:qFormat/>
    <w:uiPriority w:val="99"/>
    <w:pPr>
      <w:spacing w:before="175" w:after="102" w:line="351" w:lineRule="atLeast"/>
    </w:pPr>
    <w:rPr>
      <w:rFonts w:eastAsia="黑体"/>
    </w:rPr>
  </w:style>
  <w:style w:type="paragraph" w:customStyle="1" w:styleId="37">
    <w:name w:val="UserStyle_7"/>
    <w:basedOn w:val="1"/>
    <w:next w:val="1"/>
    <w:qFormat/>
    <w:uiPriority w:val="99"/>
    <w:pPr>
      <w:tabs>
        <w:tab w:val="left" w:leader="dot" w:pos="8503"/>
      </w:tabs>
      <w:spacing w:line="317" w:lineRule="atLeast"/>
      <w:ind w:firstLine="629"/>
    </w:pPr>
  </w:style>
  <w:style w:type="paragraph" w:customStyle="1" w:styleId="38">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9">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0">
    <w:name w:val="UserStyle_9"/>
    <w:basedOn w:val="1"/>
    <w:next w:val="1"/>
    <w:qFormat/>
    <w:uiPriority w:val="99"/>
    <w:pPr>
      <w:tabs>
        <w:tab w:val="left" w:leader="dot" w:pos="8503"/>
      </w:tabs>
      <w:spacing w:line="317" w:lineRule="atLeast"/>
      <w:ind w:firstLine="419"/>
    </w:pPr>
  </w:style>
  <w:style w:type="paragraph" w:customStyle="1" w:styleId="41">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2">
    <w:name w:val="UserStyle_13"/>
    <w:basedOn w:val="1"/>
    <w:qFormat/>
    <w:uiPriority w:val="99"/>
    <w:pPr>
      <w:spacing w:line="240" w:lineRule="auto"/>
      <w:textAlignment w:val="auto"/>
    </w:pPr>
    <w:rPr>
      <w:sz w:val="32"/>
      <w:szCs w:val="32"/>
    </w:rPr>
  </w:style>
  <w:style w:type="paragraph" w:customStyle="1" w:styleId="43">
    <w:name w:val="UserStyle_14"/>
    <w:basedOn w:val="1"/>
    <w:qFormat/>
    <w:uiPriority w:val="99"/>
    <w:pPr>
      <w:spacing w:line="600" w:lineRule="atLeast"/>
      <w:jc w:val="center"/>
      <w:textAlignment w:val="auto"/>
    </w:pPr>
    <w:rPr>
      <w:rFonts w:ascii="Arial" w:hAnsi="Arial"/>
      <w:sz w:val="24"/>
      <w:szCs w:val="24"/>
    </w:rPr>
  </w:style>
  <w:style w:type="paragraph" w:customStyle="1" w:styleId="44">
    <w:name w:val="UserStyle_15"/>
    <w:basedOn w:val="1"/>
    <w:next w:val="1"/>
    <w:qFormat/>
    <w:uiPriority w:val="99"/>
    <w:pPr>
      <w:tabs>
        <w:tab w:val="left" w:leader="dot" w:pos="8503"/>
      </w:tabs>
      <w:spacing w:line="317" w:lineRule="atLeast"/>
      <w:ind w:firstLine="209"/>
    </w:pPr>
  </w:style>
  <w:style w:type="paragraph" w:customStyle="1" w:styleId="45">
    <w:name w:val="UserStyle_17"/>
    <w:basedOn w:val="1"/>
    <w:qFormat/>
    <w:uiPriority w:val="99"/>
    <w:pPr>
      <w:spacing w:line="480" w:lineRule="exact"/>
      <w:ind w:firstLine="420" w:firstLineChars="200"/>
      <w:textAlignment w:val="auto"/>
    </w:pPr>
    <w:rPr>
      <w:kern w:val="2"/>
      <w:sz w:val="24"/>
      <w:szCs w:val="24"/>
    </w:rPr>
  </w:style>
  <w:style w:type="table" w:customStyle="1" w:styleId="46">
    <w:name w:val="TableGrid"/>
    <w:basedOn w:val="27"/>
    <w:qFormat/>
    <w:uiPriority w:val="99"/>
    <w:tblPr>
      <w:tblCellMar>
        <w:top w:w="0" w:type="dxa"/>
        <w:left w:w="0" w:type="dxa"/>
        <w:bottom w:w="0" w:type="dxa"/>
        <w:right w:w="0" w:type="dxa"/>
      </w:tblCellMar>
    </w:tblPr>
  </w:style>
  <w:style w:type="paragraph" w:customStyle="1" w:styleId="47">
    <w:name w:val="BodyTextIndent"/>
    <w:basedOn w:val="1"/>
    <w:qFormat/>
    <w:uiPriority w:val="99"/>
    <w:pPr>
      <w:spacing w:after="120"/>
      <w:ind w:left="420" w:leftChars="200"/>
    </w:pPr>
  </w:style>
  <w:style w:type="paragraph" w:customStyle="1" w:styleId="48">
    <w:name w:val="BodyText1I2"/>
    <w:basedOn w:val="47"/>
    <w:qFormat/>
    <w:uiPriority w:val="99"/>
    <w:pPr>
      <w:ind w:firstLine="420" w:firstLineChars="200"/>
    </w:pPr>
  </w:style>
  <w:style w:type="paragraph" w:customStyle="1" w:styleId="49">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2046</Words>
  <Characters>2274</Characters>
  <Lines>10</Lines>
  <Paragraphs>3</Paragraphs>
  <TotalTime>12</TotalTime>
  <ScaleCrop>false</ScaleCrop>
  <LinksUpToDate>false</LinksUpToDate>
  <CharactersWithSpaces>2367</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2024-09-18T08:03:51Z</cp:lastPrinted>
  <dcterms:modified xsi:type="dcterms:W3CDTF">2024-09-18T08:24:38Z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4B223CA2B5B24F0BBC3925F45DAE3489</vt:lpwstr>
  </property>
</Properties>
</file>