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87E31">
      <w:pPr>
        <w:snapToGrid w:val="0"/>
        <w:spacing w:line="580" w:lineRule="exact"/>
        <w:jc w:val="center"/>
        <w:rPr>
          <w:rStyle w:val="17"/>
          <w:rFonts w:ascii="仿宋_GB2312" w:eastAsia="仿宋_GB2312"/>
          <w:color w:val="auto"/>
          <w:sz w:val="32"/>
          <w:szCs w:val="32"/>
        </w:rPr>
      </w:pPr>
    </w:p>
    <w:p w14:paraId="163FE8C7">
      <w:pPr>
        <w:snapToGrid w:val="0"/>
        <w:spacing w:line="580" w:lineRule="exact"/>
        <w:jc w:val="center"/>
        <w:rPr>
          <w:rStyle w:val="17"/>
          <w:rFonts w:ascii="仿宋_GB2312" w:eastAsia="仿宋_GB2312"/>
          <w:color w:val="auto"/>
          <w:sz w:val="32"/>
          <w:szCs w:val="32"/>
        </w:rPr>
      </w:pPr>
    </w:p>
    <w:p w14:paraId="5E78BC8A">
      <w:pPr>
        <w:snapToGrid w:val="0"/>
        <w:spacing w:line="580" w:lineRule="exact"/>
        <w:jc w:val="center"/>
        <w:rPr>
          <w:rStyle w:val="17"/>
          <w:rFonts w:ascii="仿宋_GB2312" w:eastAsia="仿宋_GB2312"/>
          <w:color w:val="auto"/>
          <w:sz w:val="32"/>
          <w:szCs w:val="32"/>
        </w:rPr>
      </w:pPr>
    </w:p>
    <w:p w14:paraId="7D59F96A">
      <w:pPr>
        <w:snapToGrid w:val="0"/>
        <w:spacing w:line="580" w:lineRule="exact"/>
        <w:jc w:val="center"/>
        <w:rPr>
          <w:rStyle w:val="17"/>
          <w:rFonts w:ascii="仿宋_GB2312" w:eastAsia="仿宋_GB2312"/>
          <w:color w:val="auto"/>
          <w:sz w:val="32"/>
          <w:szCs w:val="32"/>
        </w:rPr>
      </w:pPr>
    </w:p>
    <w:p w14:paraId="74A133CF">
      <w:pPr>
        <w:snapToGrid w:val="0"/>
        <w:spacing w:line="580" w:lineRule="exact"/>
        <w:jc w:val="center"/>
        <w:rPr>
          <w:rStyle w:val="17"/>
          <w:rFonts w:ascii="仿宋_GB2312" w:eastAsia="仿宋_GB2312"/>
          <w:color w:val="auto"/>
          <w:sz w:val="32"/>
          <w:szCs w:val="32"/>
        </w:rPr>
      </w:pPr>
    </w:p>
    <w:p w14:paraId="7A28CB79">
      <w:pPr>
        <w:snapToGrid w:val="0"/>
        <w:spacing w:line="580" w:lineRule="exact"/>
        <w:jc w:val="center"/>
        <w:rPr>
          <w:rStyle w:val="17"/>
          <w:rFonts w:ascii="仿宋_GB2312" w:eastAsia="仿宋_GB2312"/>
          <w:color w:val="auto"/>
          <w:sz w:val="32"/>
          <w:szCs w:val="32"/>
        </w:rPr>
      </w:pPr>
    </w:p>
    <w:p w14:paraId="5C60EF87">
      <w:pPr>
        <w:snapToGrid w:val="0"/>
        <w:spacing w:line="580" w:lineRule="exact"/>
        <w:jc w:val="center"/>
        <w:rPr>
          <w:rStyle w:val="17"/>
          <w:rFonts w:ascii="仿宋_GB2312" w:eastAsia="仿宋_GB2312"/>
          <w:color w:val="auto"/>
          <w:sz w:val="32"/>
          <w:szCs w:val="32"/>
        </w:rPr>
      </w:pPr>
    </w:p>
    <w:p w14:paraId="2F4C2B8D">
      <w:pPr>
        <w:snapToGrid w:val="0"/>
        <w:spacing w:line="580" w:lineRule="exact"/>
        <w:jc w:val="center"/>
        <w:rPr>
          <w:rStyle w:val="17"/>
          <w:rFonts w:ascii="仿宋_GB2312" w:eastAsia="仿宋_GB2312"/>
          <w:color w:val="auto"/>
          <w:sz w:val="32"/>
          <w:szCs w:val="32"/>
        </w:rPr>
      </w:pPr>
    </w:p>
    <w:p w14:paraId="76E8CAE8">
      <w:pPr>
        <w:pStyle w:val="26"/>
        <w:rPr>
          <w:rStyle w:val="17"/>
          <w:color w:val="auto"/>
        </w:rPr>
      </w:pPr>
    </w:p>
    <w:p w14:paraId="726D8405">
      <w:pPr>
        <w:snapToGrid w:val="0"/>
        <w:spacing w:line="600" w:lineRule="exact"/>
        <w:rPr>
          <w:rStyle w:val="17"/>
          <w:rFonts w:ascii="仿宋_GB2312" w:eastAsia="仿宋_GB2312"/>
          <w:color w:val="auto"/>
          <w:sz w:val="32"/>
          <w:szCs w:val="32"/>
        </w:rPr>
      </w:pPr>
    </w:p>
    <w:p w14:paraId="14749F46">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16</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5B23FD01">
      <w:pPr>
        <w:spacing w:line="600" w:lineRule="exact"/>
        <w:jc w:val="center"/>
        <w:rPr>
          <w:rStyle w:val="17"/>
          <w:rFonts w:hint="eastAsia" w:ascii="宋体" w:hAnsi="宋体" w:eastAsia="宋体" w:cs="宋体"/>
          <w:b/>
          <w:bCs w:val="0"/>
          <w:color w:val="auto"/>
          <w:sz w:val="44"/>
          <w:szCs w:val="44"/>
        </w:rPr>
      </w:pPr>
    </w:p>
    <w:p w14:paraId="60164E7D">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36FA2398">
      <w:pPr>
        <w:spacing w:line="600" w:lineRule="exact"/>
        <w:jc w:val="center"/>
        <w:rPr>
          <w:rStyle w:val="17"/>
          <w:rFonts w:hint="default" w:ascii="宋体" w:hAnsi="宋体"/>
          <w:b/>
          <w:bCs w:val="0"/>
          <w:color w:val="auto"/>
          <w:sz w:val="44"/>
          <w:szCs w:val="44"/>
          <w:lang w:eastAsia="zh-CN"/>
        </w:rPr>
      </w:pPr>
      <w:r>
        <w:rPr>
          <w:rStyle w:val="17"/>
          <w:rFonts w:hint="default" w:ascii="宋体" w:hAnsi="宋体"/>
          <w:b/>
          <w:bCs w:val="0"/>
          <w:color w:val="auto"/>
          <w:sz w:val="44"/>
          <w:szCs w:val="44"/>
          <w:lang w:eastAsia="zh-CN"/>
        </w:rPr>
        <w:t>鄂尔多斯市中北煤化工有限公司色连</w:t>
      </w:r>
    </w:p>
    <w:p w14:paraId="3FC50EA6">
      <w:pPr>
        <w:spacing w:line="600" w:lineRule="exact"/>
        <w:jc w:val="center"/>
        <w:rPr>
          <w:rStyle w:val="17"/>
          <w:rFonts w:hint="default" w:ascii="宋体" w:hAnsi="宋体"/>
          <w:b/>
          <w:bCs w:val="0"/>
          <w:color w:val="auto"/>
          <w:sz w:val="44"/>
          <w:szCs w:val="44"/>
          <w:lang w:eastAsia="zh-CN"/>
        </w:rPr>
      </w:pPr>
      <w:r>
        <w:rPr>
          <w:rStyle w:val="17"/>
          <w:rFonts w:hint="default" w:ascii="宋体" w:hAnsi="宋体"/>
          <w:b/>
          <w:bCs w:val="0"/>
          <w:color w:val="auto"/>
          <w:sz w:val="44"/>
          <w:szCs w:val="44"/>
          <w:lang w:eastAsia="zh-CN"/>
        </w:rPr>
        <w:t>二矿矿井水处理系统升级改造项目</w:t>
      </w:r>
    </w:p>
    <w:p w14:paraId="78E53A33">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环境影响报告表的批复</w:t>
      </w:r>
    </w:p>
    <w:p w14:paraId="22840058">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0635F8C2">
      <w:pPr>
        <w:keepNext w:val="0"/>
        <w:keepLines w:val="0"/>
        <w:pageBreakBefore w:val="0"/>
        <w:kinsoku/>
        <w:wordWrap/>
        <w:overflowPunct/>
        <w:topLinePunct w:val="0"/>
        <w:autoSpaceDE/>
        <w:autoSpaceDN/>
        <w:bidi w:val="0"/>
        <w:adjustRightInd/>
        <w:snapToGrid/>
        <w:spacing w:line="560" w:lineRule="exact"/>
        <w:jc w:val="both"/>
        <w:rPr>
          <w:rStyle w:val="17"/>
          <w:rFonts w:hint="eastAsia" w:ascii="仿宋" w:hAnsi="仿宋" w:eastAsia="仿宋" w:cs="Times New Roman"/>
          <w:sz w:val="32"/>
          <w:szCs w:val="32"/>
          <w:lang w:val="en-US" w:eastAsia="zh-CN"/>
        </w:rPr>
      </w:pPr>
      <w:r>
        <w:rPr>
          <w:rStyle w:val="17"/>
          <w:rFonts w:hint="default" w:ascii="仿宋" w:hAnsi="仿宋" w:eastAsia="仿宋" w:cs="Times New Roman"/>
          <w:sz w:val="32"/>
          <w:szCs w:val="32"/>
          <w:lang w:val="en-US" w:eastAsia="zh-CN"/>
        </w:rPr>
        <w:t>鄂尔多斯市中北煤化工有限公司</w:t>
      </w:r>
      <w:r>
        <w:rPr>
          <w:rStyle w:val="17"/>
          <w:rFonts w:hint="eastAsia" w:ascii="仿宋" w:hAnsi="仿宋" w:eastAsia="仿宋" w:cs="Times New Roman"/>
          <w:sz w:val="32"/>
          <w:szCs w:val="32"/>
          <w:lang w:val="en-US" w:eastAsia="zh-CN"/>
        </w:rPr>
        <w:t>：</w:t>
      </w:r>
    </w:p>
    <w:p w14:paraId="38E6DE79">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7"/>
          <w:rFonts w:hint="eastAsia" w:ascii="仿宋" w:hAnsi="仿宋" w:eastAsia="仿宋"/>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lang w:val="en-US" w:eastAsia="zh-CN"/>
        </w:rPr>
        <w:t>的由</w:t>
      </w:r>
      <w:r>
        <w:rPr>
          <w:rStyle w:val="17"/>
          <w:rFonts w:hint="default" w:ascii="仿宋" w:hAnsi="仿宋" w:eastAsia="仿宋" w:cs="Times New Roman"/>
          <w:sz w:val="32"/>
          <w:szCs w:val="32"/>
          <w:lang w:val="en-US" w:eastAsia="zh-CN"/>
        </w:rPr>
        <w:t>内蒙古永鑫环保服务有限公司</w:t>
      </w:r>
      <w:r>
        <w:rPr>
          <w:rStyle w:val="17"/>
          <w:rFonts w:hint="eastAsia" w:ascii="仿宋" w:hAnsi="仿宋" w:eastAsia="仿宋" w:cs="Times New Roman"/>
          <w:sz w:val="32"/>
          <w:szCs w:val="32"/>
          <w:lang w:val="en-US" w:eastAsia="zh-CN"/>
        </w:rPr>
        <w:t>编制的《</w:t>
      </w:r>
      <w:r>
        <w:rPr>
          <w:rStyle w:val="17"/>
          <w:rFonts w:hint="default" w:ascii="仿宋" w:hAnsi="仿宋" w:eastAsia="仿宋" w:cs="Times New Roman"/>
          <w:sz w:val="32"/>
          <w:szCs w:val="32"/>
          <w:lang w:eastAsia="zh-CN"/>
        </w:rPr>
        <w:t>鄂尔多斯市中北煤化工有限公司色连二矿矿井水处理系统升级改造项目</w:t>
      </w:r>
      <w:r>
        <w:rPr>
          <w:rStyle w:val="17"/>
          <w:rFonts w:hint="eastAsia" w:ascii="仿宋" w:hAnsi="仿宋" w:eastAsia="仿宋" w:cs="Times New Roman"/>
          <w:sz w:val="32"/>
          <w:szCs w:val="32"/>
          <w:lang w:val="en-US" w:eastAsia="zh-CN"/>
        </w:rPr>
        <w:t>环境影响报告表》</w:t>
      </w:r>
      <w:r>
        <w:rPr>
          <w:rStyle w:val="17"/>
          <w:rFonts w:hint="eastAsia" w:ascii="仿宋" w:hAnsi="仿宋" w:eastAsia="仿宋" w:cs="Times New Roman"/>
          <w:sz w:val="32"/>
          <w:szCs w:val="32"/>
        </w:rPr>
        <w:t>（以下简称《报告表》）已收悉</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val="en-US" w:eastAsia="zh-CN"/>
        </w:rPr>
        <w:t>经组织专家评审，集体研究，形成如下审批意见：</w:t>
      </w:r>
    </w:p>
    <w:p w14:paraId="2BFE5329">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7"/>
          <w:rFonts w:hint="eastAsia" w:ascii="仿宋" w:hAnsi="仿宋" w:eastAsia="仿宋" w:cs="Times New Roman"/>
          <w:color w:val="0000FF"/>
          <w:sz w:val="32"/>
          <w:szCs w:val="32"/>
          <w:lang w:val="en-US" w:eastAsia="zh-CN"/>
        </w:rPr>
      </w:pPr>
      <w:r>
        <w:rPr>
          <w:rStyle w:val="17"/>
          <w:rFonts w:hint="eastAsia" w:ascii="仿宋" w:hAnsi="仿宋" w:eastAsia="仿宋" w:cs="Times New Roman"/>
          <w:sz w:val="32"/>
          <w:szCs w:val="32"/>
          <w:lang w:val="en-US" w:eastAsia="zh-CN"/>
        </w:rPr>
        <w:t>一、</w:t>
      </w:r>
      <w:r>
        <w:rPr>
          <w:rStyle w:val="17"/>
          <w:rFonts w:hint="eastAsia" w:ascii="仿宋" w:hAnsi="仿宋" w:eastAsia="仿宋" w:cs="Times New Roman"/>
          <w:sz w:val="32"/>
          <w:szCs w:val="32"/>
        </w:rPr>
        <w:t>该项目</w:t>
      </w:r>
      <w:r>
        <w:rPr>
          <w:rStyle w:val="17"/>
          <w:rFonts w:hint="eastAsia" w:ascii="仿宋" w:hAnsi="仿宋" w:eastAsia="仿宋" w:cs="Times New Roman"/>
          <w:sz w:val="32"/>
          <w:szCs w:val="32"/>
          <w:lang w:eastAsia="zh-CN"/>
        </w:rPr>
        <w:t>属于改扩建项目，位于</w:t>
      </w:r>
      <w:r>
        <w:rPr>
          <w:rStyle w:val="17"/>
          <w:rFonts w:hint="default" w:ascii="仿宋" w:hAnsi="仿宋" w:eastAsia="仿宋" w:cs="Times New Roman"/>
          <w:sz w:val="32"/>
          <w:szCs w:val="32"/>
          <w:lang w:eastAsia="zh-CN"/>
        </w:rPr>
        <w:t>东胜区罕台镇以西鄂尔多斯市中北煤化工有限公司色连二号煤矿工业场地范围内</w:t>
      </w:r>
      <w:r>
        <w:rPr>
          <w:rStyle w:val="17"/>
          <w:rFonts w:hint="eastAsia" w:ascii="仿宋" w:hAnsi="仿宋" w:eastAsia="仿宋" w:cs="Times New Roman"/>
          <w:sz w:val="32"/>
          <w:szCs w:val="32"/>
          <w:lang w:eastAsia="zh-CN"/>
        </w:rPr>
        <w:t>。</w:t>
      </w:r>
      <w:r>
        <w:rPr>
          <w:rStyle w:val="17"/>
          <w:rFonts w:hint="eastAsia" w:ascii="仿宋" w:hAnsi="仿宋" w:eastAsia="仿宋" w:cs="Times New Roman"/>
          <w:sz w:val="32"/>
          <w:szCs w:val="32"/>
          <w:lang w:val="en-US" w:eastAsia="zh-CN"/>
        </w:rPr>
        <w:t>项目总</w:t>
      </w:r>
      <w:r>
        <w:rPr>
          <w:rStyle w:val="17"/>
          <w:rFonts w:hint="eastAsia" w:ascii="仿宋" w:hAnsi="仿宋" w:eastAsia="仿宋" w:cs="Times New Roman"/>
          <w:sz w:val="32"/>
          <w:szCs w:val="32"/>
          <w:lang w:eastAsia="zh-CN"/>
        </w:rPr>
        <w:t>占地</w:t>
      </w:r>
      <w:r>
        <w:rPr>
          <w:rStyle w:val="17"/>
          <w:rFonts w:hint="eastAsia" w:ascii="仿宋" w:hAnsi="仿宋" w:eastAsia="仿宋" w:cs="Times New Roman"/>
          <w:sz w:val="32"/>
          <w:szCs w:val="32"/>
          <w:lang w:val="en-US" w:eastAsia="zh-CN"/>
        </w:rPr>
        <w:t>面积27000平</w:t>
      </w:r>
      <w:r>
        <w:rPr>
          <w:rStyle w:val="17"/>
          <w:rFonts w:hint="eastAsia" w:ascii="仿宋" w:hAnsi="仿宋" w:eastAsia="仿宋" w:cs="Times New Roman"/>
          <w:sz w:val="32"/>
          <w:szCs w:val="32"/>
          <w:lang w:eastAsia="zh-CN"/>
        </w:rPr>
        <w:t>方米，</w:t>
      </w:r>
      <w:r>
        <w:rPr>
          <w:rStyle w:val="17"/>
          <w:rFonts w:hint="default" w:ascii="仿宋" w:hAnsi="仿宋" w:eastAsia="仿宋" w:cs="Times New Roman"/>
          <w:sz w:val="32"/>
          <w:szCs w:val="32"/>
          <w:lang w:eastAsia="zh-CN"/>
        </w:rPr>
        <w:t>总投资11931.68</w:t>
      </w:r>
      <w:r>
        <w:rPr>
          <w:rStyle w:val="17"/>
          <w:rFonts w:hint="eastAsia" w:ascii="仿宋" w:hAnsi="仿宋" w:eastAsia="仿宋" w:cs="Times New Roman"/>
          <w:sz w:val="32"/>
          <w:szCs w:val="32"/>
          <w:lang w:val="en-US" w:eastAsia="zh-CN"/>
        </w:rPr>
        <w:t>万</w:t>
      </w:r>
      <w:r>
        <w:rPr>
          <w:rStyle w:val="17"/>
          <w:rFonts w:hint="default" w:ascii="仿宋" w:hAnsi="仿宋" w:eastAsia="仿宋" w:cs="Times New Roman"/>
          <w:sz w:val="32"/>
          <w:szCs w:val="32"/>
          <w:lang w:eastAsia="zh-CN"/>
        </w:rPr>
        <w:t>元</w:t>
      </w:r>
      <w:r>
        <w:rPr>
          <w:rStyle w:val="17"/>
          <w:rFonts w:hint="default" w:ascii="仿宋" w:hAnsi="仿宋" w:eastAsia="仿宋" w:cs="Times New Roman"/>
          <w:sz w:val="32"/>
          <w:szCs w:val="32"/>
        </w:rPr>
        <w:t>，</w:t>
      </w:r>
      <w:r>
        <w:rPr>
          <w:rStyle w:val="17"/>
          <w:rFonts w:hint="eastAsia" w:ascii="仿宋" w:hAnsi="仿宋" w:eastAsia="仿宋" w:cs="Times New Roman"/>
          <w:sz w:val="32"/>
          <w:szCs w:val="32"/>
          <w:lang w:eastAsia="zh-CN"/>
        </w:rPr>
        <w:t>全部为环保投资</w:t>
      </w:r>
      <w:r>
        <w:rPr>
          <w:rStyle w:val="17"/>
          <w:rFonts w:hint="eastAsia" w:ascii="仿宋" w:hAnsi="仿宋" w:eastAsia="仿宋" w:cs="Times New Roman"/>
          <w:sz w:val="32"/>
          <w:szCs w:val="32"/>
        </w:rPr>
        <w:t>。</w:t>
      </w:r>
      <w:r>
        <w:rPr>
          <w:rStyle w:val="17"/>
          <w:rFonts w:hint="eastAsia" w:ascii="仿宋" w:hAnsi="仿宋" w:eastAsia="仿宋" w:cs="Times New Roman"/>
          <w:sz w:val="32"/>
          <w:szCs w:val="32"/>
          <w:lang w:eastAsia="zh-CN"/>
        </w:rPr>
        <w:t>主要建设内容及</w:t>
      </w:r>
      <w:r>
        <w:rPr>
          <w:rStyle w:val="17"/>
          <w:rFonts w:hint="eastAsia" w:ascii="仿宋" w:hAnsi="仿宋" w:eastAsia="仿宋" w:cs="Times New Roman"/>
          <w:color w:val="auto"/>
          <w:sz w:val="32"/>
          <w:szCs w:val="32"/>
          <w:lang w:eastAsia="zh-CN"/>
        </w:rPr>
        <w:t>规模：</w:t>
      </w:r>
      <w:r>
        <w:rPr>
          <w:rStyle w:val="17"/>
          <w:rFonts w:hint="eastAsia" w:ascii="仿宋" w:hAnsi="仿宋" w:eastAsia="仿宋" w:cs="Times New Roman"/>
          <w:color w:val="auto"/>
          <w:sz w:val="32"/>
          <w:szCs w:val="32"/>
          <w:lang w:val="zh-CN" w:eastAsia="zh-CN"/>
        </w:rPr>
        <w:t>本项目将现有矿井水处理站处理规模由8650m</w:t>
      </w:r>
      <w:r>
        <w:rPr>
          <w:rStyle w:val="17"/>
          <w:rFonts w:hint="eastAsia" w:ascii="仿宋" w:hAnsi="仿宋" w:eastAsia="仿宋" w:cs="Times New Roman"/>
          <w:color w:val="auto"/>
          <w:sz w:val="32"/>
          <w:szCs w:val="32"/>
          <w:vertAlign w:val="superscript"/>
          <w:lang w:val="zh-CN" w:eastAsia="zh-CN"/>
        </w:rPr>
        <w:t>3</w:t>
      </w:r>
      <w:r>
        <w:rPr>
          <w:rStyle w:val="17"/>
          <w:rFonts w:hint="eastAsia" w:ascii="仿宋" w:hAnsi="仿宋" w:eastAsia="仿宋" w:cs="Times New Roman"/>
          <w:color w:val="auto"/>
          <w:sz w:val="32"/>
          <w:szCs w:val="32"/>
          <w:lang w:val="zh-CN" w:eastAsia="zh-CN"/>
        </w:rPr>
        <w:t>/d提高至9600m</w:t>
      </w:r>
      <w:r>
        <w:rPr>
          <w:rStyle w:val="17"/>
          <w:rFonts w:hint="eastAsia" w:ascii="仿宋" w:hAnsi="仿宋" w:eastAsia="仿宋" w:cs="Times New Roman"/>
          <w:color w:val="auto"/>
          <w:sz w:val="32"/>
          <w:szCs w:val="32"/>
          <w:vertAlign w:val="superscript"/>
          <w:lang w:val="zh-CN" w:eastAsia="zh-CN"/>
        </w:rPr>
        <w:t>3</w:t>
      </w:r>
      <w:r>
        <w:rPr>
          <w:rStyle w:val="17"/>
          <w:rFonts w:hint="eastAsia" w:ascii="仿宋" w:hAnsi="仿宋" w:eastAsia="仿宋" w:cs="Times New Roman"/>
          <w:color w:val="auto"/>
          <w:sz w:val="32"/>
          <w:szCs w:val="32"/>
          <w:lang w:val="zh-CN" w:eastAsia="zh-CN"/>
        </w:rPr>
        <w:t>/d，新增反渗透系统1套、多效蒸发结晶系统1套，</w:t>
      </w:r>
      <w:r>
        <w:rPr>
          <w:rStyle w:val="17"/>
          <w:rFonts w:hint="eastAsia" w:ascii="仿宋" w:hAnsi="仿宋" w:eastAsia="仿宋" w:cs="Times New Roman"/>
          <w:color w:val="auto"/>
          <w:sz w:val="32"/>
          <w:szCs w:val="32"/>
          <w:lang w:val="en-US" w:eastAsia="zh-CN"/>
        </w:rPr>
        <w:t>并在末端出口前配套安装在线监测设备</w:t>
      </w:r>
      <w:r>
        <w:rPr>
          <w:rStyle w:val="17"/>
          <w:rFonts w:hint="default" w:ascii="仿宋" w:hAnsi="仿宋" w:eastAsia="仿宋" w:cs="Times New Roman"/>
          <w:color w:val="auto"/>
          <w:sz w:val="32"/>
          <w:szCs w:val="32"/>
          <w:lang w:val="zh-CN" w:eastAsia="zh-CN"/>
        </w:rPr>
        <w:t>；</w:t>
      </w:r>
      <w:r>
        <w:rPr>
          <w:rStyle w:val="17"/>
          <w:rFonts w:hint="eastAsia" w:ascii="仿宋" w:hAnsi="仿宋" w:eastAsia="仿宋" w:cs="Times New Roman"/>
          <w:color w:val="auto"/>
          <w:sz w:val="32"/>
          <w:szCs w:val="32"/>
          <w:lang w:val="zh-CN" w:eastAsia="zh-CN"/>
        </w:rPr>
        <w:t>生活污水处理站处理规模由1920m</w:t>
      </w:r>
      <w:r>
        <w:rPr>
          <w:rStyle w:val="17"/>
          <w:rFonts w:hint="eastAsia" w:ascii="仿宋" w:hAnsi="仿宋" w:eastAsia="仿宋" w:cs="Times New Roman"/>
          <w:color w:val="auto"/>
          <w:sz w:val="32"/>
          <w:szCs w:val="32"/>
          <w:vertAlign w:val="superscript"/>
          <w:lang w:val="zh-CN" w:eastAsia="zh-CN"/>
        </w:rPr>
        <w:t>3</w:t>
      </w:r>
      <w:r>
        <w:rPr>
          <w:rStyle w:val="17"/>
          <w:rFonts w:hint="eastAsia" w:ascii="仿宋" w:hAnsi="仿宋" w:eastAsia="仿宋" w:cs="Times New Roman"/>
          <w:color w:val="auto"/>
          <w:sz w:val="32"/>
          <w:szCs w:val="32"/>
          <w:lang w:val="zh-CN" w:eastAsia="zh-CN"/>
        </w:rPr>
        <w:t>/d降至1200m</w:t>
      </w:r>
      <w:r>
        <w:rPr>
          <w:rStyle w:val="17"/>
          <w:rFonts w:hint="eastAsia" w:ascii="仿宋" w:hAnsi="仿宋" w:eastAsia="仿宋" w:cs="Times New Roman"/>
          <w:color w:val="auto"/>
          <w:sz w:val="32"/>
          <w:szCs w:val="32"/>
          <w:vertAlign w:val="superscript"/>
          <w:lang w:val="zh-CN" w:eastAsia="zh-CN"/>
        </w:rPr>
        <w:t>3</w:t>
      </w:r>
      <w:r>
        <w:rPr>
          <w:rStyle w:val="17"/>
          <w:rFonts w:hint="eastAsia" w:ascii="仿宋" w:hAnsi="仿宋" w:eastAsia="仿宋" w:cs="Times New Roman"/>
          <w:color w:val="auto"/>
          <w:sz w:val="32"/>
          <w:szCs w:val="32"/>
          <w:lang w:val="zh-CN" w:eastAsia="zh-CN"/>
        </w:rPr>
        <w:t>/d，处理工艺改为同步生物氧化工艺+絮凝反应沉淀+机械过滤。</w:t>
      </w:r>
      <w:r>
        <w:rPr>
          <w:rStyle w:val="17"/>
          <w:rFonts w:hint="eastAsia" w:ascii="仿宋" w:hAnsi="仿宋" w:eastAsia="仿宋" w:cs="Times New Roman"/>
          <w:color w:val="auto"/>
          <w:sz w:val="32"/>
          <w:szCs w:val="32"/>
          <w:lang w:val="en-US" w:eastAsia="zh-CN"/>
        </w:rPr>
        <w:t>新建1座128</w:t>
      </w:r>
      <w:r>
        <w:rPr>
          <w:rStyle w:val="17"/>
          <w:rFonts w:hint="eastAsia" w:ascii="仿宋" w:hAnsi="仿宋" w:eastAsia="仿宋" w:cs="Times New Roman"/>
          <w:color w:val="auto"/>
          <w:sz w:val="32"/>
          <w:szCs w:val="32"/>
          <w:lang w:val="zh-CN" w:eastAsia="zh-CN"/>
        </w:rPr>
        <w:t>平方米杂盐库</w:t>
      </w:r>
      <w:r>
        <w:rPr>
          <w:rStyle w:val="17"/>
          <w:rFonts w:hint="eastAsia" w:ascii="仿宋" w:hAnsi="仿宋" w:eastAsia="仿宋" w:cs="Times New Roman"/>
          <w:color w:val="auto"/>
          <w:sz w:val="32"/>
          <w:szCs w:val="32"/>
          <w:lang w:val="en-US" w:eastAsia="zh-CN"/>
        </w:rPr>
        <w:t>，并配套建设部分公辅工程、储运工程及环保工程等。</w:t>
      </w:r>
    </w:p>
    <w:p w14:paraId="1D9686BD">
      <w:pPr>
        <w:keepNext w:val="0"/>
        <w:keepLines w:val="0"/>
        <w:pageBreakBefore w:val="0"/>
        <w:kinsoku/>
        <w:wordWrap/>
        <w:overflowPunct/>
        <w:topLinePunct w:val="0"/>
        <w:autoSpaceDE/>
        <w:autoSpaceDN/>
        <w:bidi w:val="0"/>
        <w:adjustRightInd/>
        <w:snapToGrid/>
        <w:spacing w:line="560" w:lineRule="exact"/>
        <w:jc w:val="both"/>
        <w:rPr>
          <w:rStyle w:val="17"/>
          <w:rFonts w:hint="eastAsia" w:ascii="仿宋" w:hAnsi="仿宋" w:eastAsia="仿宋"/>
          <w:sz w:val="32"/>
          <w:szCs w:val="32"/>
        </w:rPr>
      </w:pPr>
      <w:r>
        <w:rPr>
          <w:rStyle w:val="17"/>
          <w:rFonts w:hint="eastAsia" w:ascii="仿宋" w:hAnsi="仿宋" w:eastAsia="仿宋" w:cs="Times New Roman"/>
          <w:sz w:val="32"/>
          <w:szCs w:val="32"/>
          <w:lang w:val="en-US" w:eastAsia="zh-CN"/>
        </w:rPr>
        <w:t xml:space="preserve">   </w:t>
      </w:r>
      <w:r>
        <w:rPr>
          <w:rStyle w:val="17"/>
          <w:rFonts w:hint="eastAsia" w:ascii="仿宋" w:hAnsi="仿宋" w:eastAsia="仿宋" w:cs="Times New Roman"/>
          <w:sz w:val="32"/>
          <w:szCs w:val="32"/>
        </w:rPr>
        <w:t>《报告表》认为，在全面落实各项生态环境保护和环境污</w:t>
      </w:r>
      <w:r>
        <w:rPr>
          <w:rStyle w:val="17"/>
          <w:rFonts w:hint="eastAsia" w:ascii="仿宋" w:hAnsi="仿宋" w:eastAsia="仿宋"/>
          <w:sz w:val="32"/>
          <w:szCs w:val="32"/>
        </w:rPr>
        <w:t>染防治措施的前提下，项目建设对环境的不利影响能够得到一定的缓解和控制。因此，我局原则同意你单位按照《报告表》中所列的建设项目性质、规模、地点、环境保护措施进行建设。</w:t>
      </w:r>
    </w:p>
    <w:p w14:paraId="240AC5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《报告表》</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557264F5">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7"/>
          <w:rFonts w:hint="eastAsia" w:ascii="仿宋" w:hAnsi="仿宋" w:eastAsia="仿宋" w:cs="Times New Roman"/>
          <w:sz w:val="32"/>
          <w:szCs w:val="32"/>
          <w:lang w:val="en-US" w:eastAsia="zh-CN"/>
        </w:rPr>
        <w:t>一）严格落实施工期污染防治措施</w:t>
      </w:r>
    </w:p>
    <w:p w14:paraId="28C4FB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7C9E9B55">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7"/>
          <w:rFonts w:hint="eastAsia" w:ascii="仿宋" w:hAnsi="仿宋" w:eastAsia="仿宋" w:cs="Times New Roman"/>
          <w:color w:val="auto"/>
          <w:sz w:val="32"/>
          <w:szCs w:val="32"/>
          <w:lang w:val="en-US" w:eastAsia="zh-CN" w:bidi="ar-SA"/>
        </w:rPr>
      </w:pPr>
      <w:r>
        <w:rPr>
          <w:rStyle w:val="17"/>
          <w:rFonts w:hint="eastAsia" w:ascii="仿宋" w:hAnsi="仿宋" w:eastAsia="仿宋" w:cs="Times New Roman"/>
          <w:sz w:val="32"/>
          <w:szCs w:val="32"/>
          <w:lang w:val="en-US" w:eastAsia="zh-CN"/>
        </w:rPr>
        <w:t>2、施工人员生活污水依托现有工程污水处理</w:t>
      </w:r>
      <w:r>
        <w:rPr>
          <w:rStyle w:val="17"/>
          <w:rFonts w:hint="eastAsia" w:ascii="仿宋" w:hAnsi="仿宋" w:eastAsia="仿宋" w:cs="Times New Roman"/>
          <w:color w:val="auto"/>
          <w:sz w:val="32"/>
          <w:szCs w:val="32"/>
          <w:lang w:val="en-US" w:eastAsia="zh-CN"/>
        </w:rPr>
        <w:t>设施处理</w:t>
      </w:r>
      <w:r>
        <w:rPr>
          <w:rStyle w:val="17"/>
          <w:rFonts w:hint="eastAsia" w:ascii="仿宋" w:hAnsi="仿宋" w:eastAsia="仿宋" w:cs="Times New Roman"/>
          <w:color w:val="auto"/>
          <w:sz w:val="32"/>
          <w:szCs w:val="32"/>
          <w:lang w:val="en-US" w:eastAsia="zh-CN" w:bidi="ar-SA"/>
        </w:rPr>
        <w:t>。</w:t>
      </w:r>
    </w:p>
    <w:p w14:paraId="31E939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4018C6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4、固体废物集中堆放及时清运交有关部门进行处理。</w:t>
      </w:r>
    </w:p>
    <w:p w14:paraId="4DC3CE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3A5C046E">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7"/>
          <w:rFonts w:hint="default" w:ascii="仿宋" w:hAnsi="仿宋" w:eastAsia="仿宋" w:cs="Times New Roman"/>
          <w:sz w:val="32"/>
          <w:szCs w:val="32"/>
          <w:lang w:val="en-US" w:eastAsia="zh-CN"/>
        </w:rPr>
      </w:pPr>
      <w:r>
        <w:rPr>
          <w:rFonts w:hint="eastAsia" w:ascii="仿宋" w:hAnsi="仿宋" w:eastAsia="仿宋" w:cs="仿宋"/>
          <w:color w:val="auto"/>
          <w:kern w:val="0"/>
          <w:sz w:val="32"/>
          <w:szCs w:val="32"/>
          <w:lang w:val="en-US" w:eastAsia="zh-CN" w:bidi="ar-SA"/>
        </w:rPr>
        <w:t>1、</w:t>
      </w:r>
      <w:r>
        <w:rPr>
          <w:rStyle w:val="17"/>
          <w:rFonts w:hint="default" w:ascii="仿宋" w:hAnsi="仿宋" w:eastAsia="仿宋" w:cs="Times New Roman"/>
          <w:sz w:val="32"/>
          <w:szCs w:val="32"/>
          <w:lang w:val="en-US" w:eastAsia="zh-CN"/>
        </w:rPr>
        <w:t>运营期硫酸钠干燥系统</w:t>
      </w:r>
      <w:r>
        <w:rPr>
          <w:rStyle w:val="17"/>
          <w:rFonts w:hint="eastAsia" w:ascii="仿宋" w:hAnsi="仿宋" w:eastAsia="仿宋" w:cs="Times New Roman"/>
          <w:sz w:val="32"/>
          <w:szCs w:val="32"/>
          <w:lang w:val="en-US" w:eastAsia="zh-CN"/>
        </w:rPr>
        <w:t>废气、杂盐干燥废气经收集处理后各自由一根30米高排气筒排放，</w:t>
      </w:r>
      <w:r>
        <w:rPr>
          <w:rStyle w:val="17"/>
          <w:rFonts w:hint="eastAsia" w:ascii="仿宋" w:hAnsi="仿宋" w:eastAsia="仿宋" w:cs="Times New Roman"/>
          <w:sz w:val="32"/>
          <w:szCs w:val="32"/>
          <w:lang w:eastAsia="zh-CN"/>
        </w:rPr>
        <w:t>执行</w:t>
      </w:r>
      <w:r>
        <w:rPr>
          <w:rStyle w:val="17"/>
          <w:rFonts w:hint="eastAsia" w:ascii="仿宋" w:hAnsi="仿宋" w:eastAsia="仿宋" w:cs="Times New Roman"/>
          <w:sz w:val="32"/>
          <w:szCs w:val="32"/>
        </w:rPr>
        <w:t>《大气污染物综合排放标准》（GB16297-1996）</w:t>
      </w:r>
      <w:r>
        <w:rPr>
          <w:rStyle w:val="17"/>
          <w:rFonts w:hint="eastAsia" w:ascii="仿宋" w:hAnsi="仿宋" w:eastAsia="仿宋" w:cs="Times New Roman"/>
          <w:sz w:val="32"/>
          <w:szCs w:val="32"/>
          <w:lang w:eastAsia="zh-CN"/>
        </w:rPr>
        <w:t>表</w:t>
      </w:r>
      <w:r>
        <w:rPr>
          <w:rStyle w:val="17"/>
          <w:rFonts w:hint="eastAsia" w:ascii="仿宋" w:hAnsi="仿宋" w:eastAsia="仿宋" w:cs="Times New Roman"/>
          <w:sz w:val="32"/>
          <w:szCs w:val="32"/>
          <w:lang w:val="en-US" w:eastAsia="zh-CN"/>
        </w:rPr>
        <w:t>2中二级标准。</w:t>
      </w:r>
      <w:r>
        <w:rPr>
          <w:rStyle w:val="17"/>
          <w:rFonts w:hint="default" w:ascii="仿宋" w:hAnsi="仿宋" w:eastAsia="仿宋" w:cs="Times New Roman"/>
          <w:sz w:val="32"/>
          <w:szCs w:val="32"/>
          <w:lang w:val="en-US" w:eastAsia="zh-CN"/>
        </w:rPr>
        <w:t>生活污水处理站产生的恶臭气体</w:t>
      </w:r>
      <w:r>
        <w:rPr>
          <w:rStyle w:val="17"/>
          <w:rFonts w:hint="eastAsia" w:ascii="仿宋" w:hAnsi="仿宋" w:eastAsia="仿宋" w:cs="Times New Roman"/>
          <w:sz w:val="32"/>
          <w:szCs w:val="32"/>
          <w:lang w:val="en-US" w:eastAsia="zh-CN"/>
        </w:rPr>
        <w:t>无组织排放，执行</w:t>
      </w:r>
      <w:r>
        <w:rPr>
          <w:rStyle w:val="17"/>
          <w:rFonts w:hint="default" w:ascii="仿宋" w:hAnsi="仿宋" w:eastAsia="仿宋" w:cs="Times New Roman"/>
          <w:sz w:val="32"/>
          <w:szCs w:val="32"/>
          <w:lang w:val="en-US" w:eastAsia="zh-CN"/>
        </w:rPr>
        <w:t>《恶臭污染物排放标准》（GB14554-93）表1厂界二级新扩改建限值</w:t>
      </w:r>
      <w:r>
        <w:rPr>
          <w:rStyle w:val="17"/>
          <w:rFonts w:hint="eastAsia" w:ascii="仿宋" w:hAnsi="仿宋" w:eastAsia="仿宋" w:cs="Times New Roman"/>
          <w:sz w:val="32"/>
          <w:szCs w:val="32"/>
          <w:lang w:val="en-US" w:eastAsia="zh-CN"/>
        </w:rPr>
        <w:t>。</w:t>
      </w:r>
    </w:p>
    <w:p w14:paraId="5DCE01F1">
      <w:pPr>
        <w:keepNext w:val="0"/>
        <w:keepLines w:val="0"/>
        <w:pageBreakBefore w:val="0"/>
        <w:kinsoku/>
        <w:wordWrap/>
        <w:overflowPunct/>
        <w:topLinePunct w:val="0"/>
        <w:autoSpaceDE/>
        <w:autoSpaceDN/>
        <w:bidi w:val="0"/>
        <w:adjustRightInd/>
        <w:snapToGrid/>
        <w:spacing w:line="560" w:lineRule="exact"/>
        <w:ind w:firstLine="640" w:firstLineChars="200"/>
        <w:jc w:val="both"/>
        <w:rPr>
          <w:rStyle w:val="17"/>
          <w:rFonts w:hint="default"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2、</w:t>
      </w:r>
      <w:r>
        <w:rPr>
          <w:rStyle w:val="17"/>
          <w:rFonts w:hint="default" w:ascii="仿宋" w:hAnsi="仿宋" w:eastAsia="仿宋" w:cs="Times New Roman"/>
          <w:sz w:val="32"/>
          <w:szCs w:val="32"/>
          <w:lang w:val="en-US" w:eastAsia="zh-CN"/>
        </w:rPr>
        <w:t>运</w:t>
      </w:r>
      <w:r>
        <w:rPr>
          <w:rStyle w:val="17"/>
          <w:rFonts w:hint="eastAsia" w:ascii="仿宋" w:hAnsi="仿宋" w:eastAsia="仿宋" w:cs="Times New Roman"/>
          <w:sz w:val="32"/>
          <w:szCs w:val="32"/>
          <w:lang w:val="en-US" w:eastAsia="zh-CN"/>
        </w:rPr>
        <w:t>营</w:t>
      </w:r>
      <w:r>
        <w:rPr>
          <w:rStyle w:val="17"/>
          <w:rFonts w:hint="default" w:ascii="仿宋" w:hAnsi="仿宋" w:eastAsia="仿宋" w:cs="Times New Roman"/>
          <w:sz w:val="32"/>
          <w:szCs w:val="32"/>
          <w:lang w:val="en-US" w:eastAsia="zh-CN"/>
        </w:rPr>
        <w:t>期生活污水处理站排水回用于洗煤厂，不外排。</w:t>
      </w:r>
      <w:r>
        <w:rPr>
          <w:rStyle w:val="17"/>
          <w:rFonts w:hint="eastAsia" w:ascii="仿宋" w:hAnsi="仿宋" w:eastAsia="仿宋" w:cs="Times New Roman"/>
          <w:sz w:val="32"/>
          <w:szCs w:val="32"/>
          <w:lang w:val="en-US" w:eastAsia="zh-CN"/>
        </w:rPr>
        <w:t>矿井水</w:t>
      </w:r>
      <w:r>
        <w:rPr>
          <w:rStyle w:val="17"/>
          <w:rFonts w:hint="default" w:ascii="仿宋" w:hAnsi="仿宋" w:eastAsia="仿宋" w:cs="Times New Roman"/>
          <w:sz w:val="32"/>
          <w:szCs w:val="32"/>
          <w:lang w:val="en-US" w:eastAsia="zh-CN"/>
        </w:rPr>
        <w:t>处理站</w:t>
      </w:r>
      <w:r>
        <w:rPr>
          <w:rStyle w:val="17"/>
          <w:rFonts w:hint="eastAsia" w:ascii="仿宋" w:hAnsi="仿宋" w:eastAsia="仿宋" w:cs="Times New Roman"/>
          <w:sz w:val="32"/>
          <w:szCs w:val="32"/>
          <w:lang w:val="en-US" w:eastAsia="zh-CN"/>
        </w:rPr>
        <w:t>部分</w:t>
      </w:r>
      <w:r>
        <w:rPr>
          <w:rStyle w:val="17"/>
          <w:rFonts w:hint="default" w:ascii="仿宋" w:hAnsi="仿宋" w:eastAsia="仿宋" w:cs="Times New Roman"/>
          <w:sz w:val="32"/>
          <w:szCs w:val="32"/>
          <w:lang w:val="en-US" w:eastAsia="zh-CN"/>
        </w:rPr>
        <w:t>排水</w:t>
      </w:r>
      <w:r>
        <w:rPr>
          <w:rStyle w:val="17"/>
          <w:rFonts w:hint="eastAsia" w:ascii="仿宋" w:hAnsi="仿宋" w:eastAsia="仿宋" w:cs="Times New Roman"/>
          <w:sz w:val="32"/>
          <w:szCs w:val="32"/>
          <w:lang w:val="en-US" w:eastAsia="zh-CN"/>
        </w:rPr>
        <w:t>回用于生产，其余</w:t>
      </w:r>
      <w:r>
        <w:rPr>
          <w:rStyle w:val="17"/>
          <w:rFonts w:hint="default" w:ascii="仿宋" w:hAnsi="仿宋" w:eastAsia="仿宋" w:cs="Times New Roman"/>
          <w:sz w:val="32"/>
          <w:szCs w:val="32"/>
          <w:lang w:val="en-US" w:eastAsia="zh-CN"/>
        </w:rPr>
        <w:t>外排</w:t>
      </w:r>
      <w:r>
        <w:rPr>
          <w:rStyle w:val="17"/>
          <w:rFonts w:hint="eastAsia" w:ascii="仿宋" w:hAnsi="仿宋" w:eastAsia="仿宋" w:cs="Times New Roman"/>
          <w:sz w:val="32"/>
          <w:szCs w:val="32"/>
          <w:lang w:val="en-US" w:eastAsia="zh-CN"/>
        </w:rPr>
        <w:t>废水须</w:t>
      </w:r>
      <w:r>
        <w:rPr>
          <w:rStyle w:val="17"/>
          <w:rFonts w:hint="default" w:ascii="仿宋" w:hAnsi="仿宋" w:eastAsia="仿宋" w:cs="Times New Roman"/>
          <w:sz w:val="32"/>
          <w:szCs w:val="32"/>
          <w:lang w:val="en-US" w:eastAsia="zh-CN"/>
        </w:rPr>
        <w:t>达到《地表水环境质量标准》（GB3838-2002）中Ⅲ类水质标准要求及罕台水质净化厂接纳指标，且含盐量＜1000毫克/升</w:t>
      </w:r>
      <w:r>
        <w:rPr>
          <w:rStyle w:val="17"/>
          <w:rFonts w:hint="eastAsia" w:ascii="仿宋" w:hAnsi="仿宋" w:eastAsia="仿宋" w:cs="Times New Roman"/>
          <w:sz w:val="32"/>
          <w:szCs w:val="32"/>
          <w:lang w:val="en-US" w:eastAsia="zh-CN"/>
        </w:rPr>
        <w:t>。在末端出口前配套安装在线监测设备，</w:t>
      </w:r>
      <w:r>
        <w:rPr>
          <w:rStyle w:val="17"/>
          <w:rFonts w:hint="default" w:ascii="仿宋" w:hAnsi="仿宋" w:eastAsia="仿宋" w:cs="Times New Roman"/>
          <w:sz w:val="32"/>
          <w:szCs w:val="32"/>
          <w:lang w:val="en-US" w:eastAsia="zh-CN"/>
        </w:rPr>
        <w:t>符合相关要求。</w:t>
      </w:r>
    </w:p>
    <w:p w14:paraId="310EEE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类标准。</w:t>
      </w:r>
    </w:p>
    <w:p w14:paraId="62565C58">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4、妥善处置各类固体废弃物。建设单位须严格按照《一般工业固体废物贮存和填埋污染控制标准》（GB18599-2020）处置一般固废，不得乱弃。杂盐库</w:t>
      </w:r>
      <w:r>
        <w:rPr>
          <w:rFonts w:hint="default" w:ascii="仿宋" w:hAnsi="仿宋" w:eastAsia="仿宋" w:cs="仿宋"/>
          <w:strike w:val="0"/>
          <w:dstrike w:val="0"/>
          <w:color w:val="auto"/>
          <w:kern w:val="0"/>
          <w:sz w:val="32"/>
          <w:szCs w:val="32"/>
          <w:lang w:val="en-US" w:eastAsia="zh-CN" w:bidi="ar-SA"/>
        </w:rPr>
        <w:t>须严格</w:t>
      </w:r>
      <w:r>
        <w:rPr>
          <w:rFonts w:hint="default" w:ascii="仿宋" w:hAnsi="仿宋" w:eastAsia="仿宋" w:cs="仿宋"/>
          <w:color w:val="auto"/>
          <w:sz w:val="32"/>
          <w:szCs w:val="32"/>
          <w:lang w:val="en-US"/>
        </w:rPr>
        <w:t>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rPr>
        <w:t>杂盐需鉴定危险特性，鉴定结果出具前按危险废物</w:t>
      </w:r>
      <w:r>
        <w:rPr>
          <w:rFonts w:hint="eastAsia" w:ascii="仿宋" w:hAnsi="仿宋" w:eastAsia="仿宋" w:cs="仿宋"/>
          <w:color w:val="auto"/>
          <w:sz w:val="32"/>
          <w:szCs w:val="32"/>
          <w:lang w:val="en-US" w:eastAsia="zh-CN"/>
        </w:rPr>
        <w:t>进行管理</w:t>
      </w:r>
      <w:r>
        <w:rPr>
          <w:rFonts w:hint="default" w:ascii="仿宋" w:hAnsi="仿宋" w:eastAsia="仿宋" w:cs="仿宋"/>
          <w:color w:val="auto"/>
          <w:sz w:val="32"/>
          <w:szCs w:val="32"/>
          <w:lang w:val="en-US"/>
        </w:rPr>
        <w:t>。</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p>
    <w:p w14:paraId="04D0E3EC">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14:paraId="70389347">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14:paraId="70538C5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449D9E7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1A7BD1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00574EBA">
      <w:pPr>
        <w:pStyle w:val="3"/>
        <w:keepNext w:val="0"/>
        <w:keepLines w:val="0"/>
        <w:pageBreakBefore w:val="0"/>
        <w:kinsoku/>
        <w:wordWrap/>
        <w:overflowPunct/>
        <w:topLinePunct w:val="0"/>
        <w:autoSpaceDE/>
        <w:autoSpaceDN/>
        <w:bidi w:val="0"/>
        <w:spacing w:line="560" w:lineRule="exact"/>
        <w:jc w:val="both"/>
        <w:rPr>
          <w:rFonts w:hint="default"/>
          <w:lang w:val="en-US" w:eastAsia="zh-CN"/>
        </w:rPr>
      </w:pPr>
      <w:r>
        <w:rPr>
          <w:rFonts w:hint="eastAsia"/>
          <w:color w:val="auto"/>
          <w:lang w:val="en-US" w:eastAsia="zh-CN"/>
        </w:rPr>
        <w:t xml:space="preserve">   </w:t>
      </w:r>
    </w:p>
    <w:p w14:paraId="7B0402EF">
      <w:pPr>
        <w:keepNext w:val="0"/>
        <w:keepLines w:val="0"/>
        <w:pageBreakBefore w:val="0"/>
        <w:kinsoku/>
        <w:wordWrap/>
        <w:overflowPunct/>
        <w:topLinePunct w:val="0"/>
        <w:autoSpaceDE/>
        <w:autoSpaceDN/>
        <w:bidi w:val="0"/>
        <w:spacing w:line="560" w:lineRule="exact"/>
        <w:jc w:val="left"/>
      </w:pPr>
    </w:p>
    <w:p w14:paraId="1240D659">
      <w:pPr>
        <w:keepNext w:val="0"/>
        <w:keepLines w:val="0"/>
        <w:pageBreakBefore w:val="0"/>
        <w:kinsoku/>
        <w:wordWrap/>
        <w:overflowPunct/>
        <w:topLinePunct w:val="0"/>
        <w:autoSpaceDE/>
        <w:autoSpaceDN/>
        <w:bidi w:val="0"/>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20FE845C">
      <w:pPr>
        <w:keepNext w:val="0"/>
        <w:keepLines w:val="0"/>
        <w:pageBreakBefore w:val="0"/>
        <w:kinsoku/>
        <w:wordWrap/>
        <w:overflowPunct/>
        <w:topLinePunct w:val="0"/>
        <w:autoSpaceDE/>
        <w:autoSpaceDN/>
        <w:bidi w:val="0"/>
        <w:spacing w:line="560" w:lineRule="exact"/>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15</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390DD8D5">
      <w:pPr>
        <w:pStyle w:val="26"/>
        <w:keepNext w:val="0"/>
        <w:keepLines w:val="0"/>
        <w:pageBreakBefore w:val="0"/>
        <w:kinsoku/>
        <w:wordWrap/>
        <w:overflowPunct/>
        <w:topLinePunct w:val="0"/>
        <w:autoSpaceDE/>
        <w:autoSpaceDN/>
        <w:bidi w:val="0"/>
        <w:spacing w:line="560" w:lineRule="exact"/>
        <w:rPr>
          <w:color w:val="auto"/>
        </w:rPr>
      </w:pPr>
    </w:p>
    <w:p w14:paraId="49F054C5">
      <w:pPr>
        <w:pStyle w:val="26"/>
        <w:keepNext w:val="0"/>
        <w:keepLines w:val="0"/>
        <w:pageBreakBefore w:val="0"/>
        <w:kinsoku/>
        <w:wordWrap/>
        <w:overflowPunct/>
        <w:topLinePunct w:val="0"/>
        <w:autoSpaceDE/>
        <w:autoSpaceDN/>
        <w:bidi w:val="0"/>
        <w:spacing w:line="560" w:lineRule="exact"/>
        <w:rPr>
          <w:color w:val="auto"/>
        </w:rPr>
      </w:pPr>
    </w:p>
    <w:p w14:paraId="5C971CE7">
      <w:pPr>
        <w:keepNext w:val="0"/>
        <w:keepLines w:val="0"/>
        <w:pageBreakBefore w:val="0"/>
        <w:kinsoku/>
        <w:wordWrap/>
        <w:overflowPunct/>
        <w:topLinePunct w:val="0"/>
        <w:autoSpaceDE/>
        <w:autoSpaceDN/>
        <w:bidi w:val="0"/>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7</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15</w:t>
      </w:r>
      <w:bookmarkStart w:id="0" w:name="_GoBack"/>
      <w:bookmarkEnd w:id="0"/>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3D912">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A6F88D">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43A6F88D">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0F94B9F3">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FDBF3">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1788540">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51788540">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77CD0A85">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35F2">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EF3980"/>
    <w:rsid w:val="02BA5D3C"/>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92C38"/>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EA255A"/>
    <w:rsid w:val="13464D5E"/>
    <w:rsid w:val="1398649C"/>
    <w:rsid w:val="13991169"/>
    <w:rsid w:val="139A0B1F"/>
    <w:rsid w:val="13C532EF"/>
    <w:rsid w:val="144C07C7"/>
    <w:rsid w:val="14E153AA"/>
    <w:rsid w:val="14F54230"/>
    <w:rsid w:val="15451A2B"/>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635BD"/>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71536E"/>
    <w:rsid w:val="30CD0F38"/>
    <w:rsid w:val="30E16A06"/>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C0435A9"/>
    <w:rsid w:val="3C0637C5"/>
    <w:rsid w:val="3C201861"/>
    <w:rsid w:val="3C351081"/>
    <w:rsid w:val="3C4F7E8A"/>
    <w:rsid w:val="3C545991"/>
    <w:rsid w:val="3C795E81"/>
    <w:rsid w:val="3C7C5835"/>
    <w:rsid w:val="3C885F88"/>
    <w:rsid w:val="3C9C06C9"/>
    <w:rsid w:val="3CF212C3"/>
    <w:rsid w:val="3CF56EE7"/>
    <w:rsid w:val="3D4E0D02"/>
    <w:rsid w:val="3D615C4A"/>
    <w:rsid w:val="3D9D29AC"/>
    <w:rsid w:val="3D9F0D66"/>
    <w:rsid w:val="3DB17760"/>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94255B"/>
    <w:rsid w:val="40A601F0"/>
    <w:rsid w:val="40B345F0"/>
    <w:rsid w:val="40BF08B4"/>
    <w:rsid w:val="40C94DC1"/>
    <w:rsid w:val="40D07EFD"/>
    <w:rsid w:val="411D0018"/>
    <w:rsid w:val="413328ED"/>
    <w:rsid w:val="41392B4A"/>
    <w:rsid w:val="413F1DCA"/>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77148F"/>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601B2"/>
    <w:rsid w:val="4C2274BE"/>
    <w:rsid w:val="4CD95DD7"/>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AE5043"/>
    <w:rsid w:val="4FD91C66"/>
    <w:rsid w:val="4FDF1ADA"/>
    <w:rsid w:val="4FE651D4"/>
    <w:rsid w:val="4FFB1D91"/>
    <w:rsid w:val="501660DD"/>
    <w:rsid w:val="505F24B0"/>
    <w:rsid w:val="50681DDC"/>
    <w:rsid w:val="507026E4"/>
    <w:rsid w:val="50AD3DB7"/>
    <w:rsid w:val="50C61171"/>
    <w:rsid w:val="51167CDE"/>
    <w:rsid w:val="51324DA9"/>
    <w:rsid w:val="5180327A"/>
    <w:rsid w:val="51AD2147"/>
    <w:rsid w:val="51CE1891"/>
    <w:rsid w:val="51D501ED"/>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3212FE"/>
    <w:rsid w:val="5955323E"/>
    <w:rsid w:val="59597413"/>
    <w:rsid w:val="59BA4CD4"/>
    <w:rsid w:val="59EE5797"/>
    <w:rsid w:val="59F12F67"/>
    <w:rsid w:val="5A9F6E67"/>
    <w:rsid w:val="5AAB7FEF"/>
    <w:rsid w:val="5AC272A3"/>
    <w:rsid w:val="5B307B0A"/>
    <w:rsid w:val="5B557E8F"/>
    <w:rsid w:val="5B94004E"/>
    <w:rsid w:val="5B962018"/>
    <w:rsid w:val="5BB1110B"/>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4D0F56"/>
    <w:rsid w:val="625904A9"/>
    <w:rsid w:val="628730AA"/>
    <w:rsid w:val="62A64AED"/>
    <w:rsid w:val="62B965EC"/>
    <w:rsid w:val="62BE2B8C"/>
    <w:rsid w:val="63057A83"/>
    <w:rsid w:val="632919C3"/>
    <w:rsid w:val="632D32DF"/>
    <w:rsid w:val="636B778B"/>
    <w:rsid w:val="63713FBD"/>
    <w:rsid w:val="63950102"/>
    <w:rsid w:val="63A177AC"/>
    <w:rsid w:val="63DC07E4"/>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2A50EE"/>
    <w:rsid w:val="6746660F"/>
    <w:rsid w:val="6749451C"/>
    <w:rsid w:val="674A4227"/>
    <w:rsid w:val="679300D6"/>
    <w:rsid w:val="684478D1"/>
    <w:rsid w:val="686109FC"/>
    <w:rsid w:val="686801CC"/>
    <w:rsid w:val="6881195A"/>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C21C47"/>
    <w:rsid w:val="6BE50451"/>
    <w:rsid w:val="6BEB28AD"/>
    <w:rsid w:val="6C1D1BAE"/>
    <w:rsid w:val="6C32108A"/>
    <w:rsid w:val="6C495CD7"/>
    <w:rsid w:val="6C6C7186"/>
    <w:rsid w:val="6C71153E"/>
    <w:rsid w:val="6CA67BC0"/>
    <w:rsid w:val="6CBC11B2"/>
    <w:rsid w:val="6CD74EC7"/>
    <w:rsid w:val="6CE10EDA"/>
    <w:rsid w:val="6D4F01B3"/>
    <w:rsid w:val="6D513E99"/>
    <w:rsid w:val="6D837F22"/>
    <w:rsid w:val="6D9B0E92"/>
    <w:rsid w:val="6DC319FF"/>
    <w:rsid w:val="6DD24A05"/>
    <w:rsid w:val="6E1844B8"/>
    <w:rsid w:val="6E276AFF"/>
    <w:rsid w:val="6E541954"/>
    <w:rsid w:val="6E697118"/>
    <w:rsid w:val="6E6D5C0E"/>
    <w:rsid w:val="6E7C3113"/>
    <w:rsid w:val="6EA67FA2"/>
    <w:rsid w:val="6EAB14DE"/>
    <w:rsid w:val="6EB1286D"/>
    <w:rsid w:val="6F8A6B99"/>
    <w:rsid w:val="6F957251"/>
    <w:rsid w:val="708A5268"/>
    <w:rsid w:val="70921C55"/>
    <w:rsid w:val="70B658E9"/>
    <w:rsid w:val="70E450FE"/>
    <w:rsid w:val="71283ECD"/>
    <w:rsid w:val="713D11CB"/>
    <w:rsid w:val="7147364E"/>
    <w:rsid w:val="71502437"/>
    <w:rsid w:val="71E362C3"/>
    <w:rsid w:val="7219039A"/>
    <w:rsid w:val="724B4BCF"/>
    <w:rsid w:val="731775B6"/>
    <w:rsid w:val="7358775B"/>
    <w:rsid w:val="73BA11B9"/>
    <w:rsid w:val="73D60472"/>
    <w:rsid w:val="73E831D5"/>
    <w:rsid w:val="73F53D48"/>
    <w:rsid w:val="74890514"/>
    <w:rsid w:val="7496752E"/>
    <w:rsid w:val="749D3FBF"/>
    <w:rsid w:val="755B54D7"/>
    <w:rsid w:val="75765328"/>
    <w:rsid w:val="758E6DEB"/>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4"/>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6"/>
    <w:semiHidden/>
    <w:qFormat/>
    <w:uiPriority w:val="99"/>
    <w:rPr>
      <w:color w:val="000000"/>
      <w:kern w:val="0"/>
      <w:szCs w:val="20"/>
    </w:rPr>
  </w:style>
  <w:style w:type="character" w:customStyle="1" w:styleId="23">
    <w:name w:val="日期 Char"/>
    <w:basedOn w:val="15"/>
    <w:link w:val="8"/>
    <w:semiHidden/>
    <w:qFormat/>
    <w:uiPriority w:val="99"/>
    <w:rPr>
      <w:color w:val="000000"/>
      <w:kern w:val="0"/>
      <w:szCs w:val="20"/>
    </w:rPr>
  </w:style>
  <w:style w:type="character" w:customStyle="1" w:styleId="24">
    <w:name w:val="页脚 Char"/>
    <w:basedOn w:val="17"/>
    <w:link w:val="9"/>
    <w:qFormat/>
    <w:locked/>
    <w:uiPriority w:val="99"/>
    <w:rPr>
      <w:rFonts w:cs="Times New Roman"/>
      <w:color w:val="000000"/>
      <w:sz w:val="18"/>
    </w:rPr>
  </w:style>
  <w:style w:type="character" w:customStyle="1" w:styleId="25">
    <w:name w:val="页眉 Char"/>
    <w:basedOn w:val="17"/>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 w:type="paragraph" w:styleId="51">
    <w:name w:val="List Paragraph"/>
    <w:basedOn w:val="1"/>
    <w:qFormat/>
    <w:uiPriority w:val="34"/>
    <w:pPr>
      <w:spacing w:line="240" w:lineRule="auto"/>
      <w:ind w:firstLine="420" w:firstLineChars="200"/>
    </w:pPr>
    <w:rPr>
      <w:rFonts w:ascii="仿宋_GB2312" w:hAnsi="仿宋_GB231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1731</Words>
  <Characters>1891</Characters>
  <Lines>10</Lines>
  <Paragraphs>3</Paragraphs>
  <TotalTime>21</TotalTime>
  <ScaleCrop>false</ScaleCrop>
  <LinksUpToDate>false</LinksUpToDate>
  <CharactersWithSpaces>1979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2024-07-12T09:43:30Z</cp:lastPrinted>
  <dcterms:modified xsi:type="dcterms:W3CDTF">2024-07-12T09:46:18Z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E142ACE4577842F6B7C3302057A9881E_13</vt:lpwstr>
  </property>
</Properties>
</file>