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9"/>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spacing w:line="600" w:lineRule="exact"/>
              <w:jc w:val="center"/>
              <w:rPr>
                <w:rFonts w:eastAsia="仿宋"/>
                <w:color w:val="000000"/>
              </w:rPr>
            </w:pPr>
            <w:r>
              <w:rPr>
                <w:rFonts w:hint="eastAsia" w:ascii="Times New Roman" w:hAnsi="Times New Roman" w:eastAsia="宋体" w:cs="Times New Roman"/>
                <w:szCs w:val="22"/>
                <w:lang w:val="en-US" w:eastAsia="zh-CN"/>
              </w:rPr>
              <w:t>鄂尔多斯市中北煤化工有限公司色连二矿矿井水处理系统升级改造项目</w:t>
            </w:r>
          </w:p>
        </w:tc>
        <w:tc>
          <w:tcPr>
            <w:tcW w:w="397" w:type="dxa"/>
            <w:vAlign w:val="center"/>
          </w:tcPr>
          <w:p>
            <w:pPr>
              <w:spacing w:line="600" w:lineRule="exact"/>
              <w:jc w:val="center"/>
              <w:rPr>
                <w:color w:val="000000"/>
                <w:szCs w:val="21"/>
              </w:rPr>
            </w:pPr>
            <w:r>
              <w:rPr>
                <w:rFonts w:hint="eastAsia" w:ascii="Times New Roman" w:hAnsi="Times New Roman" w:eastAsia="宋体" w:cs="Times New Roman"/>
                <w:szCs w:val="22"/>
              </w:rPr>
              <w:t>鄂尔多斯市</w:t>
            </w:r>
            <w:r>
              <w:rPr>
                <w:rFonts w:hint="eastAsia" w:ascii="Times New Roman" w:hAnsi="Times New Roman" w:eastAsia="宋体" w:cs="Times New Roman"/>
                <w:szCs w:val="22"/>
                <w:lang w:eastAsia="zh-CN"/>
              </w:rPr>
              <w:t>东胜区罕台镇以西鄂尔多斯市中北煤化工有限公司色连二号煤矿</w:t>
            </w:r>
            <w:r>
              <w:rPr>
                <w:rFonts w:hint="eastAsia" w:ascii="Times New Roman" w:hAnsi="Times New Roman" w:eastAsia="宋体" w:cs="Times New Roman"/>
                <w:szCs w:val="22"/>
              </w:rPr>
              <w:t>工业场地范围内</w:t>
            </w:r>
          </w:p>
        </w:tc>
        <w:tc>
          <w:tcPr>
            <w:tcW w:w="465" w:type="dxa"/>
            <w:vAlign w:val="center"/>
          </w:tcPr>
          <w:p>
            <w:pPr>
              <w:spacing w:line="600" w:lineRule="exact"/>
              <w:jc w:val="center"/>
              <w:rPr>
                <w:color w:val="000000"/>
                <w:szCs w:val="21"/>
              </w:rPr>
            </w:pPr>
            <w:r>
              <w:rPr>
                <w:rFonts w:hint="eastAsia" w:ascii="Times New Roman" w:hAnsi="Times New Roman" w:eastAsia="宋体" w:cs="Times New Roman"/>
                <w:szCs w:val="22"/>
                <w:lang w:val="en-US" w:eastAsia="zh-CN"/>
              </w:rPr>
              <w:t>鄂尔多斯市中北煤化工有限公司</w:t>
            </w:r>
          </w:p>
        </w:tc>
        <w:tc>
          <w:tcPr>
            <w:tcW w:w="675" w:type="dxa"/>
            <w:vAlign w:val="center"/>
          </w:tcPr>
          <w:p>
            <w:pPr>
              <w:spacing w:line="600" w:lineRule="exact"/>
              <w:jc w:val="center"/>
              <w:rPr>
                <w:color w:val="000000"/>
                <w:szCs w:val="21"/>
              </w:rPr>
            </w:pPr>
            <w:r>
              <w:rPr>
                <w:rFonts w:hint="eastAsia" w:ascii="Times New Roman" w:hAnsi="Times New Roman" w:eastAsia="宋体" w:cs="Times New Roman"/>
                <w:szCs w:val="22"/>
              </w:rPr>
              <w:t>内蒙古永鑫环保服务有限公司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w:t>
            </w:r>
            <w:r>
              <w:rPr>
                <w:rFonts w:hint="eastAsia"/>
                <w:color w:val="000000"/>
                <w:szCs w:val="21"/>
                <w:lang w:eastAsia="zh-CN"/>
              </w:rPr>
              <w:t>属于改扩建项目，位于</w:t>
            </w:r>
            <w:r>
              <w:rPr>
                <w:rFonts w:hint="default"/>
                <w:color w:val="000000"/>
                <w:szCs w:val="21"/>
                <w:lang w:eastAsia="zh-CN"/>
              </w:rPr>
              <w:t>东胜区罕台镇以西鄂尔多斯市中北煤化工有限公司色连二号煤矿工业场地范围内</w:t>
            </w:r>
            <w:r>
              <w:rPr>
                <w:rFonts w:hint="eastAsia"/>
                <w:color w:val="000000"/>
                <w:szCs w:val="21"/>
                <w:lang w:eastAsia="zh-CN"/>
              </w:rPr>
              <w:t>。</w:t>
            </w:r>
            <w:r>
              <w:rPr>
                <w:rFonts w:hint="eastAsia"/>
                <w:color w:val="000000"/>
                <w:szCs w:val="21"/>
                <w:lang w:val="en-US" w:eastAsia="zh-CN"/>
              </w:rPr>
              <w:t>项目总</w:t>
            </w:r>
            <w:r>
              <w:rPr>
                <w:rFonts w:hint="eastAsia"/>
                <w:color w:val="000000"/>
                <w:szCs w:val="21"/>
                <w:lang w:eastAsia="zh-CN"/>
              </w:rPr>
              <w:t>占地</w:t>
            </w:r>
            <w:r>
              <w:rPr>
                <w:rFonts w:hint="eastAsia"/>
                <w:color w:val="000000"/>
                <w:szCs w:val="21"/>
                <w:lang w:val="en-US" w:eastAsia="zh-CN"/>
              </w:rPr>
              <w:t>面积27000平</w:t>
            </w:r>
            <w:r>
              <w:rPr>
                <w:rFonts w:hint="eastAsia"/>
                <w:color w:val="000000"/>
                <w:szCs w:val="21"/>
                <w:lang w:eastAsia="zh-CN"/>
              </w:rPr>
              <w:t>方米，</w:t>
            </w:r>
            <w:r>
              <w:rPr>
                <w:rFonts w:hint="default"/>
                <w:color w:val="000000"/>
                <w:szCs w:val="21"/>
                <w:lang w:eastAsia="zh-CN"/>
              </w:rPr>
              <w:t>总投资11931.68</w:t>
            </w:r>
            <w:r>
              <w:rPr>
                <w:rFonts w:hint="eastAsia"/>
                <w:color w:val="000000"/>
                <w:szCs w:val="21"/>
                <w:lang w:val="en-US" w:eastAsia="zh-CN"/>
              </w:rPr>
              <w:t>万</w:t>
            </w:r>
            <w:r>
              <w:rPr>
                <w:rFonts w:hint="default"/>
                <w:color w:val="000000"/>
                <w:szCs w:val="21"/>
                <w:lang w:eastAsia="zh-CN"/>
              </w:rPr>
              <w:t>元</w:t>
            </w:r>
            <w:r>
              <w:rPr>
                <w:rFonts w:hint="default"/>
                <w:color w:val="000000"/>
                <w:szCs w:val="21"/>
              </w:rPr>
              <w:t>，</w:t>
            </w:r>
            <w:r>
              <w:rPr>
                <w:rFonts w:hint="eastAsia"/>
                <w:color w:val="000000"/>
                <w:szCs w:val="21"/>
                <w:lang w:eastAsia="zh-CN"/>
              </w:rPr>
              <w:t>全部为环保投资</w:t>
            </w:r>
            <w:r>
              <w:rPr>
                <w:rFonts w:hint="eastAsia"/>
                <w:color w:val="000000"/>
                <w:szCs w:val="21"/>
              </w:rPr>
              <w:t>。</w:t>
            </w:r>
            <w:r>
              <w:rPr>
                <w:rFonts w:hint="eastAsia"/>
                <w:color w:val="000000"/>
                <w:szCs w:val="21"/>
                <w:lang w:eastAsia="zh-CN"/>
              </w:rPr>
              <w:t>主要建设内容及规模：</w:t>
            </w:r>
            <w:r>
              <w:rPr>
                <w:rFonts w:hint="eastAsia"/>
                <w:color w:val="000000"/>
                <w:szCs w:val="21"/>
                <w:lang w:val="zh-CN" w:eastAsia="zh-CN"/>
              </w:rPr>
              <w:t>本项目将现有矿井水处理站处理规模由8650m</w:t>
            </w:r>
            <w:r>
              <w:rPr>
                <w:rFonts w:hint="eastAsia"/>
                <w:color w:val="000000"/>
                <w:szCs w:val="21"/>
                <w:vertAlign w:val="superscript"/>
                <w:lang w:val="zh-CN" w:eastAsia="zh-CN"/>
              </w:rPr>
              <w:t>3</w:t>
            </w:r>
            <w:r>
              <w:rPr>
                <w:rFonts w:hint="eastAsia"/>
                <w:color w:val="000000"/>
                <w:szCs w:val="21"/>
                <w:lang w:val="zh-CN" w:eastAsia="zh-CN"/>
              </w:rPr>
              <w:t>/d提高至9600m</w:t>
            </w:r>
            <w:r>
              <w:rPr>
                <w:rFonts w:hint="eastAsia"/>
                <w:color w:val="000000"/>
                <w:szCs w:val="21"/>
                <w:vertAlign w:val="superscript"/>
                <w:lang w:val="zh-CN" w:eastAsia="zh-CN"/>
              </w:rPr>
              <w:t>3</w:t>
            </w:r>
            <w:r>
              <w:rPr>
                <w:rFonts w:hint="eastAsia"/>
                <w:color w:val="000000"/>
                <w:szCs w:val="21"/>
                <w:lang w:val="zh-CN" w:eastAsia="zh-CN"/>
              </w:rPr>
              <w:t>/d，新增反渗透系统1套、多效蒸发结晶系统1套，</w:t>
            </w:r>
            <w:r>
              <w:rPr>
                <w:rFonts w:hint="eastAsia"/>
                <w:color w:val="000000"/>
                <w:szCs w:val="21"/>
                <w:lang w:val="en-US" w:eastAsia="zh-CN"/>
              </w:rPr>
              <w:t>并在末端出口前配套安装在线监测设备</w:t>
            </w:r>
            <w:r>
              <w:rPr>
                <w:rFonts w:hint="default"/>
                <w:color w:val="000000"/>
                <w:szCs w:val="21"/>
                <w:lang w:val="zh-CN" w:eastAsia="zh-CN"/>
              </w:rPr>
              <w:t>；</w:t>
            </w:r>
            <w:r>
              <w:rPr>
                <w:rFonts w:hint="eastAsia"/>
                <w:color w:val="000000"/>
                <w:szCs w:val="21"/>
                <w:lang w:val="zh-CN" w:eastAsia="zh-CN"/>
              </w:rPr>
              <w:t>生活污水处理站处理规模由1920m</w:t>
            </w:r>
            <w:r>
              <w:rPr>
                <w:rFonts w:hint="eastAsia"/>
                <w:color w:val="000000"/>
                <w:szCs w:val="21"/>
                <w:vertAlign w:val="superscript"/>
                <w:lang w:val="zh-CN" w:eastAsia="zh-CN"/>
              </w:rPr>
              <w:t>3</w:t>
            </w:r>
            <w:r>
              <w:rPr>
                <w:rFonts w:hint="eastAsia"/>
                <w:color w:val="000000"/>
                <w:szCs w:val="21"/>
                <w:lang w:val="zh-CN" w:eastAsia="zh-CN"/>
              </w:rPr>
              <w:t>/d降至1200m</w:t>
            </w:r>
            <w:r>
              <w:rPr>
                <w:rFonts w:hint="eastAsia"/>
                <w:color w:val="000000"/>
                <w:szCs w:val="21"/>
                <w:vertAlign w:val="superscript"/>
                <w:lang w:val="zh-CN" w:eastAsia="zh-CN"/>
              </w:rPr>
              <w:t>3</w:t>
            </w:r>
            <w:r>
              <w:rPr>
                <w:rFonts w:hint="eastAsia"/>
                <w:color w:val="000000"/>
                <w:szCs w:val="21"/>
                <w:lang w:val="zh-CN" w:eastAsia="zh-CN"/>
              </w:rPr>
              <w:t>/d，处理工艺改为同步生物氧化工艺+絮凝反应沉淀+机械过滤。</w:t>
            </w:r>
            <w:r>
              <w:rPr>
                <w:rFonts w:hint="eastAsia"/>
                <w:color w:val="000000"/>
                <w:szCs w:val="21"/>
                <w:lang w:val="en-US" w:eastAsia="zh-CN"/>
              </w:rPr>
              <w:t>新建1座128</w:t>
            </w:r>
            <w:r>
              <w:rPr>
                <w:rFonts w:hint="eastAsia"/>
                <w:color w:val="000000"/>
                <w:szCs w:val="21"/>
                <w:lang w:val="zh-CN" w:eastAsia="zh-CN"/>
              </w:rPr>
              <w:t>平方米杂盐库</w:t>
            </w:r>
            <w:r>
              <w:rPr>
                <w:rFonts w:hint="eastAsia"/>
                <w:color w:val="000000"/>
                <w:szCs w:val="21"/>
                <w:lang w:val="en-US" w:eastAsia="zh-CN"/>
              </w:rPr>
              <w:t>，并配套建设部分公辅工程、储运工程及环保工程等。</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2、施工人员生活污水依托现有工程污水处理设施处理。</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1、运营期硫酸钠干燥系统废气、杂盐干燥废气经收集处理后各自由一根30米高排气筒排放，</w:t>
            </w:r>
            <w:r>
              <w:rPr>
                <w:rFonts w:hint="eastAsia"/>
                <w:color w:val="000000"/>
                <w:szCs w:val="21"/>
                <w:lang w:eastAsia="zh-CN"/>
              </w:rPr>
              <w:t>执行</w:t>
            </w:r>
            <w:r>
              <w:rPr>
                <w:rFonts w:hint="eastAsia"/>
                <w:color w:val="000000"/>
                <w:szCs w:val="21"/>
              </w:rPr>
              <w:t>《大气污染物综合排放标准》（GB16297-1996）</w:t>
            </w:r>
            <w:r>
              <w:rPr>
                <w:rFonts w:hint="eastAsia"/>
                <w:color w:val="000000"/>
                <w:szCs w:val="21"/>
                <w:lang w:eastAsia="zh-CN"/>
              </w:rPr>
              <w:t>表</w:t>
            </w:r>
            <w:r>
              <w:rPr>
                <w:rFonts w:hint="eastAsia"/>
                <w:color w:val="000000"/>
                <w:szCs w:val="21"/>
                <w:lang w:val="en-US" w:eastAsia="zh-CN"/>
              </w:rPr>
              <w:t>2中二级标准。生活污水处理站产生的恶臭气体无组织排放，执行《恶臭污染物排放标准》（GB14554-93）表1厂界二级新扩改建限值。</w:t>
            </w:r>
          </w:p>
          <w:p>
            <w:pPr>
              <w:spacing w:line="360" w:lineRule="auto"/>
              <w:jc w:val="left"/>
              <w:rPr>
                <w:rFonts w:hint="eastAsia"/>
                <w:color w:val="000000"/>
                <w:szCs w:val="21"/>
                <w:lang w:val="en-US" w:eastAsia="zh-CN"/>
              </w:rPr>
            </w:pPr>
            <w:r>
              <w:rPr>
                <w:rFonts w:hint="eastAsia"/>
                <w:color w:val="000000"/>
                <w:szCs w:val="21"/>
                <w:lang w:val="en-US" w:eastAsia="zh-CN"/>
              </w:rPr>
              <w:t>2、运营期生活污水处理站排水回用于洗煤厂，不外排。矿井水处理站部分排水回用于生产，其余外排废水须达到《地表水环境质量标准》（GB3838-2002）中Ⅲ类水质标准要求及罕台水质净化厂接纳指标，且含盐量＜1000毫克/升。在末端出口前配套安装在线监测设备，符合相关要求。</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4、妥善处置各类固体废弃物。建设单位须严格按照《一般工业固体废物贮存和填埋污染控制标准》（GB18599-2020）处置一般固废，不得乱弃。杂盐库须严格</w:t>
            </w:r>
            <w:r>
              <w:rPr>
                <w:rFonts w:hint="eastAsia"/>
                <w:color w:val="000000"/>
                <w:szCs w:val="21"/>
                <w:lang w:val="en-US"/>
              </w:rPr>
              <w:t>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w:t>
            </w:r>
            <w:r>
              <w:rPr>
                <w:rFonts w:hint="eastAsia"/>
                <w:color w:val="000000"/>
                <w:szCs w:val="21"/>
                <w:lang w:val="en-US"/>
              </w:rPr>
              <w:t>杂盐需鉴定危险特性，鉴定结果出具前按危险废物</w:t>
            </w:r>
            <w:r>
              <w:rPr>
                <w:rFonts w:hint="eastAsia"/>
                <w:color w:val="000000"/>
                <w:szCs w:val="21"/>
                <w:lang w:val="en-US" w:eastAsia="zh-CN"/>
              </w:rPr>
              <w:t>进行管理</w:t>
            </w:r>
            <w:r>
              <w:rPr>
                <w:rFonts w:hint="eastAsia"/>
                <w:color w:val="000000"/>
                <w:szCs w:val="21"/>
                <w:lang w:val="en-US"/>
              </w:rPr>
              <w:t>。</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p>
          <w:p>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3E062DA7"/>
    <w:rsid w:val="497150DD"/>
    <w:rsid w:val="4DE41872"/>
    <w:rsid w:val="54973A8B"/>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oc 2"/>
    <w:basedOn w:val="1"/>
    <w:next w:val="1"/>
    <w:unhideWhenUsed/>
    <w:qFormat/>
    <w:uiPriority w:val="39"/>
    <w:pPr>
      <w:ind w:left="420" w:leftChars="200"/>
    </w:pPr>
  </w:style>
  <w:style w:type="paragraph" w:styleId="8">
    <w:name w:val="Body Text 2"/>
    <w:basedOn w:val="1"/>
    <w:next w:val="1"/>
    <w:qFormat/>
    <w:uiPriority w:val="0"/>
    <w:pPr>
      <w:spacing w:after="120" w:line="480" w:lineRule="auto"/>
    </w:pPr>
  </w:style>
  <w:style w:type="character" w:customStyle="1" w:styleId="11">
    <w:name w:val="页眉 字符"/>
    <w:basedOn w:val="10"/>
    <w:link w:val="6"/>
    <w:autoRedefine/>
    <w:qFormat/>
    <w:uiPriority w:val="99"/>
    <w:rPr>
      <w:sz w:val="18"/>
      <w:szCs w:val="18"/>
    </w:rPr>
  </w:style>
  <w:style w:type="character" w:customStyle="1" w:styleId="12">
    <w:name w:val="页脚 字符"/>
    <w:basedOn w:val="10"/>
    <w:link w:val="5"/>
    <w:autoRedefine/>
    <w:qFormat/>
    <w:uiPriority w:val="99"/>
    <w:rPr>
      <w:sz w:val="18"/>
      <w:szCs w:val="18"/>
    </w:rPr>
  </w:style>
  <w:style w:type="character" w:customStyle="1" w:styleId="13">
    <w:name w:val="NormalCharacter"/>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1449</Words>
  <Characters>1575</Characters>
  <Lines>11</Lines>
  <Paragraphs>3</Paragraphs>
  <TotalTime>0</TotalTime>
  <ScaleCrop>false</ScaleCrop>
  <LinksUpToDate>false</LinksUpToDate>
  <CharactersWithSpaces>1631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2024-07-08T09:52:56Z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8A8837DC28804F048B97D671515894C8_12</vt:lpwstr>
  </property>
</Properties>
</file>