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pStyle w:val="25"/>
        <w:rPr>
          <w:rStyle w:val="16"/>
          <w:color w:val="auto"/>
        </w:rPr>
      </w:pPr>
    </w:p>
    <w:p>
      <w:pPr>
        <w:snapToGrid w:val="0"/>
        <w:spacing w:line="600" w:lineRule="exact"/>
        <w:rPr>
          <w:rStyle w:val="16"/>
          <w:rFonts w:ascii="仿宋_GB2312" w:eastAsia="仿宋_GB2312"/>
          <w:color w:val="auto"/>
          <w:sz w:val="32"/>
          <w:szCs w:val="32"/>
        </w:rPr>
      </w:pPr>
    </w:p>
    <w:p>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9</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pPr>
        <w:spacing w:line="600" w:lineRule="exact"/>
        <w:jc w:val="center"/>
        <w:rPr>
          <w:rStyle w:val="16"/>
          <w:rFonts w:hint="eastAsia" w:ascii="宋体" w:hAnsi="宋体" w:eastAsia="宋体" w:cs="宋体"/>
          <w:b/>
          <w:bCs w:val="0"/>
          <w:color w:val="auto"/>
          <w:sz w:val="44"/>
          <w:szCs w:val="44"/>
        </w:rPr>
      </w:pPr>
    </w:p>
    <w:p>
      <w:pPr>
        <w:spacing w:line="600" w:lineRule="exact"/>
        <w:jc w:val="center"/>
        <w:rPr>
          <w:rStyle w:val="16"/>
          <w:rFonts w:ascii="宋体" w:hAnsi="宋体"/>
          <w:b/>
          <w:bCs w:val="0"/>
          <w:color w:val="auto"/>
          <w:sz w:val="44"/>
          <w:szCs w:val="44"/>
        </w:rPr>
      </w:pPr>
      <w:r>
        <w:rPr>
          <w:rStyle w:val="16"/>
          <w:rFonts w:hint="eastAsia" w:ascii="宋体" w:hAnsi="宋体"/>
          <w:b/>
          <w:bCs w:val="0"/>
          <w:color w:val="auto"/>
          <w:sz w:val="44"/>
          <w:szCs w:val="44"/>
        </w:rPr>
        <w:t>鄂尔多斯市生态环境局东胜区分局关于</w:t>
      </w:r>
    </w:p>
    <w:p>
      <w:pPr>
        <w:spacing w:line="600" w:lineRule="exact"/>
        <w:jc w:val="center"/>
        <w:rPr>
          <w:rStyle w:val="16"/>
          <w:rFonts w:hint="eastAsia" w:ascii="宋体" w:hAnsi="宋体" w:eastAsia="宋体" w:cs="Times New Roman"/>
          <w:b/>
          <w:bCs w:val="0"/>
          <w:color w:val="auto"/>
          <w:sz w:val="44"/>
          <w:szCs w:val="44"/>
        </w:rPr>
      </w:pPr>
      <w:r>
        <w:rPr>
          <w:rStyle w:val="16"/>
          <w:rFonts w:hint="eastAsia" w:ascii="宋体" w:hAnsi="宋体" w:eastAsia="宋体" w:cs="Times New Roman"/>
          <w:b/>
          <w:bCs w:val="0"/>
          <w:color w:val="auto"/>
          <w:sz w:val="44"/>
          <w:szCs w:val="44"/>
        </w:rPr>
        <w:t>内蒙古普泰电力设备有限公司废弃</w:t>
      </w:r>
    </w:p>
    <w:p>
      <w:pPr>
        <w:spacing w:line="600" w:lineRule="exact"/>
        <w:jc w:val="center"/>
        <w:rPr>
          <w:rStyle w:val="16"/>
          <w:rFonts w:hint="eastAsia" w:ascii="宋体" w:hAnsi="宋体" w:eastAsia="宋体" w:cs="Times New Roman"/>
          <w:b/>
          <w:bCs w:val="0"/>
          <w:color w:val="auto"/>
          <w:sz w:val="44"/>
          <w:szCs w:val="44"/>
        </w:rPr>
      </w:pPr>
      <w:r>
        <w:rPr>
          <w:rStyle w:val="16"/>
          <w:rFonts w:hint="eastAsia" w:ascii="宋体" w:hAnsi="宋体" w:eastAsia="宋体" w:cs="Times New Roman"/>
          <w:b/>
          <w:bCs w:val="0"/>
          <w:color w:val="auto"/>
          <w:sz w:val="44"/>
          <w:szCs w:val="44"/>
        </w:rPr>
        <w:t>资源综合利用</w:t>
      </w:r>
      <w:r>
        <w:rPr>
          <w:rStyle w:val="16"/>
          <w:rFonts w:hint="eastAsia" w:ascii="宋体" w:hAnsi="宋体" w:eastAsia="宋体" w:cs="Times New Roman"/>
          <w:b/>
          <w:bCs w:val="0"/>
          <w:color w:val="auto"/>
          <w:sz w:val="44"/>
          <w:szCs w:val="44"/>
          <w:lang w:eastAsia="zh-CN"/>
        </w:rPr>
        <w:t>建设项目</w:t>
      </w:r>
      <w:r>
        <w:rPr>
          <w:rStyle w:val="16"/>
          <w:rFonts w:hint="eastAsia" w:ascii="宋体" w:hAnsi="宋体" w:eastAsia="宋体" w:cs="Times New Roman"/>
          <w:b/>
          <w:bCs w:val="0"/>
          <w:color w:val="auto"/>
          <w:sz w:val="44"/>
          <w:szCs w:val="44"/>
        </w:rPr>
        <w:t>环境</w:t>
      </w:r>
    </w:p>
    <w:p>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eastAsia="宋体" w:cs="Times New Roman"/>
          <w:b/>
          <w:bCs w:val="0"/>
          <w:color w:val="auto"/>
          <w:sz w:val="44"/>
          <w:szCs w:val="44"/>
        </w:rPr>
        <w:t>影响报告表的批</w:t>
      </w:r>
      <w:r>
        <w:rPr>
          <w:rStyle w:val="16"/>
          <w:rFonts w:hint="eastAsia" w:ascii="宋体" w:hAnsi="宋体" w:eastAsia="宋体" w:cs="宋体"/>
          <w:b/>
          <w:bCs w:val="0"/>
          <w:color w:val="auto"/>
          <w:sz w:val="44"/>
          <w:szCs w:val="44"/>
        </w:rPr>
        <w:t>复</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lang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Style w:val="16"/>
          <w:rFonts w:hint="eastAsia" w:ascii="仿宋" w:hAnsi="仿宋" w:eastAsia="仿宋" w:cs="Times New Roman"/>
          <w:sz w:val="32"/>
          <w:szCs w:val="32"/>
          <w:lang w:eastAsia="zh-CN"/>
        </w:rPr>
      </w:pPr>
      <w:r>
        <w:rPr>
          <w:rStyle w:val="16"/>
          <w:rFonts w:hint="eastAsia" w:ascii="仿宋" w:hAnsi="仿宋" w:eastAsia="仿宋" w:cs="Times New Roman"/>
          <w:sz w:val="32"/>
          <w:szCs w:val="32"/>
        </w:rPr>
        <w:t>内蒙古普泰电力设备有限公司</w:t>
      </w:r>
      <w:r>
        <w:rPr>
          <w:rStyle w:val="16"/>
          <w:rFonts w:hint="eastAsia" w:ascii="仿宋" w:hAnsi="仿宋" w:eastAsia="仿宋"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lang w:val="en-US" w:eastAsia="zh-CN"/>
        </w:rPr>
      </w:pPr>
      <w:r>
        <w:rPr>
          <w:rStyle w:val="16"/>
          <w:rFonts w:hint="eastAsia" w:ascii="仿宋" w:hAnsi="仿宋" w:eastAsia="仿宋"/>
          <w:sz w:val="32"/>
          <w:szCs w:val="32"/>
        </w:rPr>
        <w:t>你</w:t>
      </w:r>
      <w:r>
        <w:rPr>
          <w:rStyle w:val="16"/>
          <w:rFonts w:hint="eastAsia" w:ascii="仿宋" w:hAnsi="仿宋" w:eastAsia="仿宋"/>
          <w:sz w:val="32"/>
          <w:szCs w:val="32"/>
          <w:lang w:val="en-US" w:eastAsia="zh-CN"/>
        </w:rPr>
        <w:t>单位</w:t>
      </w:r>
      <w:r>
        <w:rPr>
          <w:rStyle w:val="16"/>
          <w:rFonts w:hint="eastAsia" w:ascii="仿宋" w:hAnsi="仿宋" w:eastAsia="仿宋"/>
          <w:sz w:val="32"/>
          <w:szCs w:val="32"/>
        </w:rPr>
        <w:t>报送的</w:t>
      </w:r>
      <w:r>
        <w:rPr>
          <w:rStyle w:val="16"/>
          <w:rFonts w:hint="eastAsia" w:ascii="仿宋" w:hAnsi="仿宋" w:eastAsia="仿宋" w:cs="Times New Roman"/>
          <w:sz w:val="32"/>
          <w:szCs w:val="32"/>
        </w:rPr>
        <w:t>由</w:t>
      </w:r>
      <w:r>
        <w:rPr>
          <w:rStyle w:val="16"/>
          <w:rFonts w:hint="eastAsia" w:ascii="仿宋" w:hAnsi="仿宋" w:eastAsia="仿宋" w:cs="Times New Roman"/>
          <w:sz w:val="32"/>
          <w:szCs w:val="32"/>
          <w:lang w:val="en-US" w:eastAsia="zh-CN"/>
        </w:rPr>
        <w:t>内蒙古腾烽环境检测有限公司编</w:t>
      </w:r>
      <w:r>
        <w:rPr>
          <w:rStyle w:val="16"/>
          <w:rFonts w:hint="eastAsia" w:ascii="仿宋" w:hAnsi="仿宋" w:eastAsia="仿宋" w:cs="Times New Roman"/>
          <w:sz w:val="32"/>
          <w:szCs w:val="32"/>
        </w:rPr>
        <w:t>制</w:t>
      </w:r>
      <w:r>
        <w:rPr>
          <w:rStyle w:val="16"/>
          <w:rFonts w:hint="eastAsia" w:ascii="仿宋" w:hAnsi="仿宋" w:eastAsia="仿宋"/>
          <w:sz w:val="32"/>
          <w:szCs w:val="32"/>
        </w:rPr>
        <w:t>的</w:t>
      </w:r>
      <w:r>
        <w:rPr>
          <w:rStyle w:val="16"/>
          <w:rFonts w:hint="eastAsia" w:ascii="仿宋" w:hAnsi="仿宋" w:eastAsia="仿宋" w:cs="Times New Roman"/>
          <w:sz w:val="32"/>
          <w:szCs w:val="32"/>
          <w:lang w:eastAsia="zh-CN"/>
        </w:rPr>
        <w:t>《内蒙古普泰电力设备有限公司废弃资源综合利用建设</w:t>
      </w:r>
      <w:r>
        <w:rPr>
          <w:rStyle w:val="16"/>
          <w:rFonts w:hint="default" w:ascii="仿宋" w:hAnsi="仿宋" w:eastAsia="仿宋" w:cs="Times New Roman"/>
          <w:sz w:val="32"/>
          <w:szCs w:val="32"/>
          <w:lang w:eastAsia="zh-CN"/>
        </w:rPr>
        <w:t>项目</w:t>
      </w:r>
      <w:r>
        <w:rPr>
          <w:rStyle w:val="16"/>
          <w:rFonts w:hint="eastAsia" w:ascii="仿宋" w:hAnsi="仿宋" w:eastAsia="仿宋" w:cs="Times New Roman"/>
          <w:sz w:val="32"/>
          <w:szCs w:val="32"/>
        </w:rPr>
        <w:t>环境</w:t>
      </w:r>
      <w:r>
        <w:rPr>
          <w:rStyle w:val="16"/>
          <w:rFonts w:hint="eastAsia" w:ascii="仿宋" w:hAnsi="仿宋" w:eastAsia="仿宋"/>
          <w:sz w:val="32"/>
          <w:szCs w:val="32"/>
        </w:rPr>
        <w:t>影响报告表》（以下简称《报告表》）已收悉</w:t>
      </w:r>
      <w:r>
        <w:rPr>
          <w:rStyle w:val="16"/>
          <w:rFonts w:hint="eastAsia" w:ascii="仿宋" w:hAnsi="仿宋" w:eastAsia="仿宋"/>
          <w:sz w:val="32"/>
          <w:szCs w:val="32"/>
          <w:lang w:eastAsia="zh-CN"/>
        </w:rPr>
        <w:t>。</w:t>
      </w:r>
      <w:r>
        <w:rPr>
          <w:rStyle w:val="16"/>
          <w:rFonts w:hint="eastAsia" w:ascii="仿宋" w:hAnsi="仿宋" w:eastAsia="仿宋"/>
          <w:sz w:val="32"/>
          <w:szCs w:val="32"/>
          <w:lang w:val="en-US" w:eastAsia="zh-CN"/>
        </w:rPr>
        <w:t>经组织专家评审，集体研究，形成如下审批意见：</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sz w:val="32"/>
          <w:szCs w:val="32"/>
          <w:lang w:val="en-US" w:eastAsia="zh-CN"/>
        </w:rPr>
        <w:t>一、</w:t>
      </w:r>
      <w:r>
        <w:rPr>
          <w:rStyle w:val="16"/>
          <w:rFonts w:hint="eastAsia" w:ascii="仿宋" w:hAnsi="仿宋" w:eastAsia="仿宋"/>
          <w:sz w:val="32"/>
          <w:szCs w:val="32"/>
        </w:rPr>
        <w:t>该项目属于新建项目，位于</w:t>
      </w:r>
      <w:r>
        <w:rPr>
          <w:rStyle w:val="16"/>
          <w:rFonts w:hint="default" w:ascii="仿宋" w:hAnsi="仿宋" w:eastAsia="仿宋" w:cs="Times New Roman"/>
          <w:sz w:val="32"/>
          <w:szCs w:val="32"/>
          <w:lang w:val="en-US" w:eastAsia="zh-CN"/>
        </w:rPr>
        <w:t>鄂尔多斯高新技术产业开发区装备制造产业园</w:t>
      </w:r>
      <w:r>
        <w:rPr>
          <w:rStyle w:val="16"/>
          <w:rFonts w:hint="default" w:ascii="仿宋" w:hAnsi="仿宋" w:eastAsia="仿宋" w:cs="Times New Roman"/>
          <w:sz w:val="32"/>
          <w:szCs w:val="32"/>
        </w:rPr>
        <w:t xml:space="preserve"> F-06-01地块</w:t>
      </w:r>
      <w:r>
        <w:rPr>
          <w:rStyle w:val="16"/>
          <w:rFonts w:hint="eastAsia" w:ascii="仿宋" w:hAnsi="仿宋" w:eastAsia="仿宋" w:cs="Times New Roman"/>
          <w:sz w:val="32"/>
          <w:szCs w:val="32"/>
          <w:lang w:eastAsia="zh-CN"/>
        </w:rPr>
        <w:t>，</w:t>
      </w:r>
      <w:r>
        <w:rPr>
          <w:rStyle w:val="16"/>
          <w:rFonts w:hint="default" w:ascii="仿宋" w:hAnsi="仿宋" w:eastAsia="仿宋" w:cs="Times New Roman"/>
          <w:sz w:val="32"/>
          <w:szCs w:val="32"/>
        </w:rPr>
        <w:t>纬六路南、经二路东、纬五路北、经一路西</w:t>
      </w:r>
      <w:r>
        <w:rPr>
          <w:rStyle w:val="16"/>
          <w:rFonts w:hint="eastAsia" w:ascii="仿宋" w:hAnsi="仿宋" w:eastAsia="仿宋" w:cs="Times New Roman"/>
          <w:sz w:val="32"/>
          <w:szCs w:val="32"/>
          <w:lang w:val="en-US" w:eastAsia="zh-CN"/>
        </w:rPr>
        <w:t>。项目总</w:t>
      </w:r>
      <w:r>
        <w:rPr>
          <w:rStyle w:val="16"/>
          <w:rFonts w:hint="eastAsia" w:ascii="仿宋" w:hAnsi="仿宋" w:eastAsia="仿宋" w:cs="Times New Roman"/>
          <w:sz w:val="32"/>
          <w:szCs w:val="32"/>
          <w:lang w:eastAsia="zh-CN"/>
        </w:rPr>
        <w:t>占地面积</w:t>
      </w:r>
      <w:r>
        <w:rPr>
          <w:rStyle w:val="16"/>
          <w:rFonts w:hint="eastAsia" w:ascii="仿宋" w:hAnsi="仿宋" w:eastAsia="仿宋" w:cs="Times New Roman"/>
          <w:sz w:val="32"/>
          <w:szCs w:val="32"/>
          <w:lang w:val="en-US" w:eastAsia="zh-CN"/>
        </w:rPr>
        <w:t>15427.36</w:t>
      </w:r>
      <w:r>
        <w:rPr>
          <w:rStyle w:val="16"/>
          <w:rFonts w:hint="eastAsia" w:ascii="仿宋" w:hAnsi="仿宋" w:eastAsia="仿宋" w:cs="Times New Roman"/>
          <w:sz w:val="32"/>
          <w:szCs w:val="32"/>
          <w:lang w:eastAsia="zh-CN"/>
        </w:rPr>
        <w:t>平方米，</w:t>
      </w:r>
      <w:r>
        <w:rPr>
          <w:rStyle w:val="16"/>
          <w:rFonts w:hint="default" w:ascii="仿宋" w:hAnsi="仿宋" w:eastAsia="仿宋" w:cs="Times New Roman"/>
          <w:sz w:val="32"/>
          <w:szCs w:val="32"/>
        </w:rPr>
        <w:t>总投资</w:t>
      </w:r>
      <w:r>
        <w:rPr>
          <w:rStyle w:val="16"/>
          <w:rFonts w:hint="eastAsia" w:ascii="仿宋" w:hAnsi="仿宋" w:eastAsia="仿宋" w:cs="Times New Roman"/>
          <w:sz w:val="32"/>
          <w:szCs w:val="32"/>
          <w:lang w:val="en-US" w:eastAsia="zh-CN"/>
        </w:rPr>
        <w:t>5655</w:t>
      </w:r>
      <w:r>
        <w:rPr>
          <w:rStyle w:val="16"/>
          <w:rFonts w:hint="eastAsia" w:ascii="仿宋" w:hAnsi="仿宋" w:eastAsia="仿宋"/>
          <w:sz w:val="32"/>
          <w:szCs w:val="32"/>
          <w:lang w:val="en-US" w:eastAsia="zh-CN"/>
        </w:rPr>
        <w:t>万</w:t>
      </w:r>
      <w:r>
        <w:rPr>
          <w:rStyle w:val="16"/>
          <w:rFonts w:hint="default" w:ascii="仿宋" w:hAnsi="仿宋" w:eastAsia="仿宋"/>
          <w:sz w:val="32"/>
          <w:szCs w:val="32"/>
        </w:rPr>
        <w:t>元，</w:t>
      </w:r>
      <w:r>
        <w:rPr>
          <w:rStyle w:val="16"/>
          <w:rFonts w:hint="eastAsia" w:ascii="仿宋" w:hAnsi="仿宋" w:eastAsia="仿宋"/>
          <w:sz w:val="32"/>
          <w:szCs w:val="32"/>
          <w:lang w:eastAsia="zh-CN"/>
        </w:rPr>
        <w:t>其中</w:t>
      </w:r>
      <w:r>
        <w:rPr>
          <w:rStyle w:val="16"/>
          <w:rFonts w:hint="default" w:ascii="仿宋" w:hAnsi="仿宋" w:eastAsia="仿宋"/>
          <w:sz w:val="32"/>
          <w:szCs w:val="32"/>
        </w:rPr>
        <w:t>环保投资</w:t>
      </w:r>
      <w:r>
        <w:rPr>
          <w:rStyle w:val="16"/>
          <w:rFonts w:hint="eastAsia" w:ascii="仿宋" w:hAnsi="仿宋" w:eastAsia="仿宋"/>
          <w:sz w:val="32"/>
          <w:szCs w:val="32"/>
          <w:lang w:val="en-US" w:eastAsia="zh-CN"/>
        </w:rPr>
        <w:t>155万元</w:t>
      </w:r>
      <w:r>
        <w:rPr>
          <w:rStyle w:val="16"/>
          <w:rFonts w:hint="eastAsia" w:ascii="仿宋" w:hAnsi="仿宋" w:eastAsia="仿宋"/>
          <w:sz w:val="32"/>
          <w:szCs w:val="32"/>
        </w:rPr>
        <w:t>。</w:t>
      </w:r>
      <w:r>
        <w:rPr>
          <w:rStyle w:val="16"/>
          <w:rFonts w:hint="eastAsia" w:ascii="仿宋" w:hAnsi="仿宋" w:eastAsia="仿宋"/>
          <w:sz w:val="32"/>
          <w:szCs w:val="32"/>
          <w:lang w:eastAsia="zh-CN"/>
        </w:rPr>
        <w:t>主要建设内容及规模：</w:t>
      </w:r>
      <w:r>
        <w:rPr>
          <w:rStyle w:val="16"/>
          <w:rFonts w:hint="eastAsia" w:ascii="仿宋" w:hAnsi="仿宋" w:eastAsia="仿宋" w:cs="Times New Roman"/>
          <w:sz w:val="32"/>
          <w:szCs w:val="32"/>
          <w:lang w:val="en-US" w:eastAsia="zh-CN"/>
        </w:rPr>
        <w:t>建设废弃路面材料回收处理生产线1条，循环利用沥青混凝土生产线1条，循环利用水稳混凝土生产线1条，新建1座10</w:t>
      </w:r>
      <w:r>
        <w:rPr>
          <w:rStyle w:val="16"/>
          <w:rFonts w:hint="eastAsia" w:ascii="仿宋" w:hAnsi="仿宋" w:eastAsia="仿宋" w:cs="Times New Roman"/>
          <w:sz w:val="32"/>
          <w:szCs w:val="32"/>
          <w:lang w:eastAsia="zh-CN"/>
        </w:rPr>
        <w:t>平方米</w:t>
      </w:r>
      <w:r>
        <w:rPr>
          <w:rStyle w:val="16"/>
          <w:rFonts w:hint="eastAsia" w:ascii="仿宋" w:hAnsi="仿宋" w:eastAsia="仿宋" w:cs="Times New Roman"/>
          <w:sz w:val="32"/>
          <w:szCs w:val="32"/>
          <w:lang w:val="en-US" w:eastAsia="zh-CN"/>
        </w:rPr>
        <w:t>危废暂存间，并配套建设公辅工程、储运工程及环保工程等。项目建成后年处置废弃路面材料40万吨。</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default" w:ascii="仿宋" w:hAnsi="仿宋" w:eastAsia="仿宋"/>
          <w:color w:val="auto"/>
          <w:sz w:val="32"/>
          <w:szCs w:val="32"/>
          <w:lang w:val="en-US"/>
        </w:rPr>
      </w:pPr>
      <w:r>
        <w:rPr>
          <w:rStyle w:val="16"/>
          <w:rFonts w:hint="eastAsia" w:ascii="仿宋" w:hAnsi="仿宋" w:eastAsia="仿宋"/>
          <w:sz w:val="32"/>
          <w:szCs w:val="32"/>
          <w:lang w:val="en-US" w:eastAsia="zh-CN"/>
        </w:rPr>
        <w:t>二、在项目工程设计、建设和环境管理中，你单位必须严格落实</w:t>
      </w:r>
      <w:r>
        <w:rPr>
          <w:rStyle w:val="16"/>
          <w:rFonts w:hint="eastAsia" w:ascii="仿宋" w:hAnsi="仿宋" w:eastAsia="仿宋"/>
          <w:sz w:val="32"/>
          <w:szCs w:val="32"/>
        </w:rPr>
        <w:t>《报告表》</w:t>
      </w:r>
      <w:r>
        <w:rPr>
          <w:rStyle w:val="16"/>
          <w:rFonts w:hint="eastAsia" w:ascii="仿宋" w:hAnsi="仿宋" w:eastAsia="仿宋"/>
          <w:sz w:val="32"/>
          <w:szCs w:val="32"/>
          <w:lang w:val="en-US" w:eastAsia="zh-CN"/>
        </w:rPr>
        <w:t>中提出的各项环保措施和要求，确保各项污染物稳定达标排放，并须着重做好以下工作：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（一）严格落实施工期污染防治措施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Style w:val="16"/>
          <w:rFonts w:hint="eastAsia" w:ascii="仿宋" w:hAnsi="仿宋" w:eastAsia="仿宋"/>
          <w:color w:val="0D0D0D" w:themeColor="text1" w:themeTint="F2"/>
          <w:sz w:val="32"/>
          <w:szCs w:val="32"/>
          <w:lang w:val="en-US" w:eastAsia="zh-CN"/>
          <w14:textFill>
            <w14:solidFill>
              <w14:schemeClr w14:val="tx1">
                <w14:lumMod w14:val="95000"/>
                <w14:lumOff w14:val="5000"/>
              </w14:schemeClr>
            </w14:solidFill>
          </w14:textFill>
        </w:rPr>
        <w:t>1、</w:t>
      </w:r>
      <w:r>
        <w:rPr>
          <w:rStyle w:val="16"/>
          <w:rFonts w:hint="eastAsia" w:ascii="仿宋" w:hAnsi="仿宋" w:eastAsia="仿宋"/>
          <w:color w:val="0D0D0D" w:themeColor="text1" w:themeTint="F2"/>
          <w:sz w:val="32"/>
          <w:szCs w:val="32"/>
          <w14:textFill>
            <w14:solidFill>
              <w14:schemeClr w14:val="tx1">
                <w14:lumMod w14:val="95000"/>
                <w14:lumOff w14:val="5000"/>
              </w14:schemeClr>
            </w14:solidFill>
          </w14:textFill>
        </w:rPr>
        <w:t>加强</w:t>
      </w:r>
      <w:r>
        <w:rPr>
          <w:rStyle w:val="16"/>
          <w:rFonts w:hint="eastAsia" w:ascii="仿宋" w:hAnsi="仿宋" w:eastAsia="仿宋" w:cs="Times New Roman"/>
          <w:color w:val="0D0D0D" w:themeColor="text1" w:themeTint="F2"/>
          <w:sz w:val="32"/>
          <w:szCs w:val="32"/>
          <w14:textFill>
            <w14:solidFill>
              <w14:schemeClr w14:val="tx1">
                <w14:lumMod w14:val="95000"/>
                <w14:lumOff w14:val="5000"/>
              </w14:schemeClr>
            </w14:solidFill>
          </w14:textFill>
        </w:rPr>
        <w:t>施工期环境管理，配备足够的洒水车、篷布等防尘设备，有效控制施工期挖土、物料装卸、物料运输过程中产生的扬尘污染。</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中无组织排放监控浓度限值。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2、施工人员生活污水经</w:t>
      </w:r>
      <w:r>
        <w:rPr>
          <w:rFonts w:hint="eastAsia" w:ascii="仿宋" w:hAnsi="仿宋" w:eastAsia="仿宋" w:cs="仿宋"/>
          <w:color w:val="auto"/>
          <w:sz w:val="32"/>
          <w:szCs w:val="32"/>
        </w:rPr>
        <w:t>化粪池沉淀后拉运处理。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3、选用低噪声施工设备，合理安排作业时间，避免夜间施工，控制车辆时速。施工期噪声执行《建筑施工场界环境噪声排放标准》（GB12523-2011）。</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4、固体废物集中堆放及时清运交有关部门进行相关处理。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（二）严格落实运营期污染防治措施</w:t>
      </w:r>
    </w:p>
    <w:p>
      <w:pPr>
        <w:keepNext w:val="0"/>
        <w:keepLines w:val="0"/>
        <w:pageBreakBefore w:val="0"/>
        <w:widowControl/>
        <w:numPr>
          <w:ilvl w:val="-1"/>
          <w:numId w:val="0"/>
        </w:numPr>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color w:val="auto"/>
          <w:sz w:val="32"/>
          <w:szCs w:val="32"/>
          <w:highlight w:val="none"/>
          <w:lang w:val="en-US" w:eastAsia="zh-CN"/>
        </w:rPr>
      </w:pPr>
      <w:r>
        <w:rPr>
          <w:rFonts w:hint="eastAsia" w:ascii="仿宋" w:hAnsi="仿宋" w:eastAsia="仿宋" w:cs="仿宋"/>
          <w:color w:val="auto"/>
          <w:kern w:val="0"/>
          <w:sz w:val="32"/>
          <w:szCs w:val="32"/>
          <w:lang w:val="en-US" w:eastAsia="zh-CN" w:bidi="ar-SA"/>
        </w:rPr>
        <w:t>1、</w:t>
      </w:r>
      <w:r>
        <w:rPr>
          <w:rFonts w:hint="default" w:ascii="仿宋" w:hAnsi="仿宋" w:eastAsia="仿宋" w:cs="仿宋"/>
          <w:color w:val="auto"/>
          <w:kern w:val="0"/>
          <w:sz w:val="32"/>
          <w:szCs w:val="32"/>
          <w:lang w:val="en-US" w:eastAsia="zh-CN" w:bidi="ar-SA"/>
        </w:rPr>
        <w:t>运营期</w:t>
      </w:r>
      <w:r>
        <w:rPr>
          <w:rFonts w:hint="eastAsia" w:ascii="仿宋" w:hAnsi="仿宋" w:eastAsia="仿宋" w:cs="仿宋"/>
          <w:color w:val="auto"/>
          <w:kern w:val="0"/>
          <w:sz w:val="32"/>
          <w:szCs w:val="32"/>
          <w:lang w:val="en-US" w:eastAsia="zh-CN" w:bidi="ar-SA"/>
        </w:rPr>
        <w:t>物</w:t>
      </w:r>
      <w:r>
        <w:rPr>
          <w:rFonts w:hint="default" w:ascii="仿宋" w:hAnsi="仿宋" w:eastAsia="仿宋" w:cs="仿宋"/>
          <w:color w:val="auto"/>
          <w:kern w:val="0"/>
          <w:sz w:val="32"/>
          <w:szCs w:val="32"/>
          <w:lang w:val="en-US" w:eastAsia="zh-CN" w:bidi="ar-SA"/>
        </w:rPr>
        <w:t>料储存、装卸、输送、生产过程全封闭</w:t>
      </w:r>
      <w:r>
        <w:rPr>
          <w:rFonts w:hint="eastAsia" w:ascii="仿宋" w:hAnsi="仿宋" w:eastAsia="仿宋" w:cs="仿宋"/>
          <w:color w:val="auto"/>
          <w:kern w:val="0"/>
          <w:sz w:val="32"/>
          <w:szCs w:val="32"/>
          <w:lang w:val="en-US" w:eastAsia="zh-CN" w:bidi="ar-SA"/>
        </w:rPr>
        <w:t>。废弃路面材料破碎筛分、</w:t>
      </w:r>
      <w:r>
        <w:rPr>
          <w:rFonts w:hint="default" w:ascii="仿宋" w:hAnsi="仿宋" w:eastAsia="仿宋" w:cs="仿宋"/>
          <w:color w:val="auto"/>
          <w:kern w:val="0"/>
          <w:sz w:val="32"/>
          <w:szCs w:val="32"/>
          <w:lang w:val="en-US" w:eastAsia="zh-CN" w:bidi="ar-SA"/>
        </w:rPr>
        <w:t>骨料配料</w:t>
      </w:r>
      <w:r>
        <w:rPr>
          <w:rFonts w:hint="eastAsia" w:ascii="仿宋" w:hAnsi="仿宋" w:eastAsia="仿宋" w:cs="仿宋"/>
          <w:color w:val="auto"/>
          <w:kern w:val="0"/>
          <w:sz w:val="32"/>
          <w:szCs w:val="32"/>
          <w:lang w:val="en-US" w:eastAsia="zh-CN" w:bidi="ar-SA"/>
        </w:rPr>
        <w:t>颗粒物经</w:t>
      </w:r>
      <w:r>
        <w:rPr>
          <w:rFonts w:hint="default" w:ascii="仿宋" w:hAnsi="仿宋" w:eastAsia="仿宋" w:cs="仿宋"/>
          <w:color w:val="auto"/>
          <w:kern w:val="0"/>
          <w:sz w:val="32"/>
          <w:szCs w:val="32"/>
          <w:lang w:val="en-US" w:eastAsia="zh-CN" w:bidi="ar-SA"/>
        </w:rPr>
        <w:t>收集</w:t>
      </w:r>
      <w:r>
        <w:rPr>
          <w:rFonts w:hint="eastAsia" w:ascii="仿宋" w:hAnsi="仿宋" w:eastAsia="仿宋" w:cs="仿宋"/>
          <w:color w:val="auto"/>
          <w:kern w:val="0"/>
          <w:sz w:val="32"/>
          <w:szCs w:val="32"/>
          <w:lang w:val="en-US" w:eastAsia="zh-CN" w:bidi="ar-SA"/>
        </w:rPr>
        <w:t>处理</w:t>
      </w:r>
      <w:r>
        <w:rPr>
          <w:rFonts w:hint="default" w:ascii="仿宋" w:hAnsi="仿宋" w:eastAsia="仿宋" w:cs="仿宋"/>
          <w:color w:val="auto"/>
          <w:kern w:val="0"/>
          <w:sz w:val="32"/>
          <w:szCs w:val="32"/>
          <w:lang w:val="en-US" w:eastAsia="zh-CN" w:bidi="ar-SA"/>
        </w:rPr>
        <w:t>后</w:t>
      </w:r>
      <w:r>
        <w:rPr>
          <w:rFonts w:hint="eastAsia" w:ascii="仿宋" w:hAnsi="仿宋" w:eastAsia="仿宋" w:cs="仿宋"/>
          <w:color w:val="auto"/>
          <w:kern w:val="0"/>
          <w:sz w:val="32"/>
          <w:szCs w:val="32"/>
          <w:lang w:val="en-US" w:eastAsia="zh-CN" w:bidi="ar-SA"/>
        </w:rPr>
        <w:t>由</w:t>
      </w:r>
      <w:r>
        <w:rPr>
          <w:rFonts w:hint="default" w:ascii="仿宋" w:hAnsi="仿宋" w:eastAsia="仿宋" w:cs="仿宋"/>
          <w:color w:val="auto"/>
          <w:kern w:val="0"/>
          <w:sz w:val="32"/>
          <w:szCs w:val="32"/>
          <w:lang w:val="en-US" w:eastAsia="zh-CN" w:bidi="ar-SA"/>
        </w:rPr>
        <w:t>1根</w:t>
      </w:r>
      <w:r>
        <w:rPr>
          <w:rFonts w:hint="eastAsia" w:ascii="仿宋" w:hAnsi="仿宋" w:eastAsia="仿宋" w:cs="仿宋"/>
          <w:color w:val="auto"/>
          <w:kern w:val="0"/>
          <w:sz w:val="32"/>
          <w:szCs w:val="32"/>
          <w:lang w:val="en-US" w:eastAsia="zh-CN" w:bidi="ar-SA"/>
        </w:rPr>
        <w:t>15米高</w:t>
      </w:r>
      <w:r>
        <w:rPr>
          <w:rFonts w:hint="default" w:ascii="仿宋" w:hAnsi="仿宋" w:eastAsia="仿宋" w:cs="仿宋"/>
          <w:color w:val="auto"/>
          <w:kern w:val="0"/>
          <w:sz w:val="32"/>
          <w:szCs w:val="32"/>
          <w:lang w:val="en-US" w:eastAsia="zh-CN" w:bidi="ar-SA"/>
        </w:rPr>
        <w:t>排气筒排放</w:t>
      </w:r>
      <w:r>
        <w:rPr>
          <w:rFonts w:hint="eastAsia" w:ascii="仿宋" w:hAnsi="仿宋" w:eastAsia="仿宋" w:cs="仿宋"/>
          <w:color w:val="auto"/>
          <w:kern w:val="0"/>
          <w:sz w:val="32"/>
          <w:szCs w:val="32"/>
          <w:lang w:val="en-US" w:eastAsia="zh-CN" w:bidi="ar-SA"/>
        </w:rPr>
        <w:t>，执行《大气污染物综合排放标准》（</w:t>
      </w:r>
      <w:r>
        <w:rPr>
          <w:rStyle w:val="16"/>
          <w:rFonts w:hint="eastAsia" w:ascii="仿宋" w:hAnsi="仿宋" w:eastAsia="仿宋" w:cs="Times New Roman"/>
          <w:color w:val="auto"/>
          <w:sz w:val="32"/>
          <w:szCs w:val="32"/>
          <w:highlight w:val="none"/>
          <w:lang w:val="en-US" w:eastAsia="zh-CN"/>
        </w:rPr>
        <w:t>GB16297-1996）表2中二级标准。骨料干燥、热提、筛分工序废气经</w:t>
      </w:r>
      <w:r>
        <w:rPr>
          <w:rFonts w:hint="eastAsia" w:ascii="仿宋" w:hAnsi="仿宋" w:eastAsia="仿宋" w:cs="仿宋"/>
          <w:color w:val="auto"/>
          <w:kern w:val="0"/>
          <w:sz w:val="32"/>
          <w:szCs w:val="32"/>
          <w:lang w:val="en-US" w:eastAsia="zh-CN" w:bidi="ar-SA"/>
        </w:rPr>
        <w:t>收集处理后由</w:t>
      </w:r>
      <w:r>
        <w:rPr>
          <w:rStyle w:val="16"/>
          <w:rFonts w:hint="eastAsia" w:ascii="仿宋" w:hAnsi="仿宋" w:eastAsia="仿宋" w:cs="Times New Roman"/>
          <w:color w:val="auto"/>
          <w:sz w:val="32"/>
          <w:szCs w:val="32"/>
          <w:highlight w:val="none"/>
          <w:lang w:val="en-US" w:eastAsia="zh-CN"/>
        </w:rPr>
        <w:t>1根15米高排</w:t>
      </w:r>
      <w:r>
        <w:rPr>
          <w:rStyle w:val="16"/>
          <w:rFonts w:hint="eastAsia" w:ascii="仿宋" w:hAnsi="仿宋" w:eastAsia="仿宋" w:cs="Times New Roman"/>
          <w:color w:val="000000" w:themeColor="text1"/>
          <w:sz w:val="32"/>
          <w:szCs w:val="32"/>
          <w:highlight w:val="none"/>
          <w:lang w:val="en-US" w:eastAsia="zh-CN"/>
          <w14:textFill>
            <w14:solidFill>
              <w14:schemeClr w14:val="tx1"/>
            </w14:solidFill>
          </w14:textFill>
        </w:rPr>
        <w:t>气筒排放，颗粒物执行《工业炉窑大气污染物排放标准》(GB9078-1996）表2中干燥炉、窑二级标准，二氧化硫、</w:t>
      </w:r>
      <w:r>
        <w:rPr>
          <w:rFonts w:hint="eastAsia" w:ascii="仿宋" w:hAnsi="仿宋" w:eastAsia="仿宋" w:cs="仿宋"/>
          <w:color w:val="000000" w:themeColor="text1"/>
          <w:sz w:val="32"/>
          <w:szCs w:val="32"/>
          <w:lang w:val="en-US" w:eastAsia="zh-CN"/>
          <w14:textFill>
            <w14:solidFill>
              <w14:schemeClr w14:val="tx1"/>
            </w14:solidFill>
          </w14:textFill>
        </w:rPr>
        <w:t>氮氧化物执行《大气污染物综合排放标准》（GB</w:t>
      </w:r>
      <w:bookmarkStart w:id="0" w:name="_GoBack"/>
      <w:bookmarkEnd w:id="0"/>
      <w:r>
        <w:rPr>
          <w:rFonts w:hint="eastAsia" w:ascii="仿宋" w:hAnsi="仿宋" w:eastAsia="仿宋" w:cs="仿宋"/>
          <w:color w:val="000000" w:themeColor="text1"/>
          <w:sz w:val="32"/>
          <w:szCs w:val="32"/>
          <w:lang w:val="en-US" w:eastAsia="zh-CN"/>
          <w14:textFill>
            <w14:solidFill>
              <w14:schemeClr w14:val="tx1"/>
            </w14:solidFill>
          </w14:textFill>
        </w:rPr>
        <w:t>16297-1996）表2中二级标准</w:t>
      </w:r>
      <w:r>
        <w:rPr>
          <w:rStyle w:val="16"/>
          <w:rFonts w:hint="eastAsia" w:ascii="仿宋" w:hAnsi="仿宋" w:eastAsia="仿宋" w:cs="Times New Roman"/>
          <w:color w:val="000000" w:themeColor="text1"/>
          <w:sz w:val="32"/>
          <w:szCs w:val="32"/>
          <w:highlight w:val="none"/>
          <w:lang w:val="en-US" w:eastAsia="zh-CN"/>
          <w14:textFill>
            <w14:solidFill>
              <w14:schemeClr w14:val="tx1"/>
            </w14:solidFill>
          </w14:textFill>
        </w:rPr>
        <w:t>。沥青罐呼吸废气、搅拌缸及出料口废气、沥青铣刨料干燥废气经收集处理后由1根15米高排气筒排放，</w:t>
      </w:r>
      <w:r>
        <w:rPr>
          <w:rFonts w:hint="eastAsia" w:ascii="仿宋" w:hAnsi="仿宋" w:eastAsia="仿宋" w:cs="仿宋"/>
          <w:color w:val="000000" w:themeColor="text1"/>
          <w:kern w:val="0"/>
          <w:sz w:val="32"/>
          <w:szCs w:val="32"/>
          <w:lang w:val="en-US" w:eastAsia="zh-CN" w:bidi="ar-SA"/>
          <w14:textFill>
            <w14:solidFill>
              <w14:schemeClr w14:val="tx1"/>
            </w14:solidFill>
          </w14:textFill>
        </w:rPr>
        <w:t>颗粒物执行《工业炉窑大气污染物排放标准》（GB9078－1996）表2</w:t>
      </w:r>
      <w:r>
        <w:rPr>
          <w:rStyle w:val="16"/>
          <w:rFonts w:hint="eastAsia" w:ascii="仿宋" w:hAnsi="仿宋" w:eastAsia="仿宋" w:cs="Times New Roman"/>
          <w:color w:val="000000" w:themeColor="text1"/>
          <w:sz w:val="32"/>
          <w:szCs w:val="32"/>
          <w:highlight w:val="none"/>
          <w:lang w:val="en-US" w:eastAsia="zh-CN"/>
          <w14:textFill>
            <w14:solidFill>
              <w14:schemeClr w14:val="tx1"/>
            </w14:solidFill>
          </w14:textFill>
        </w:rPr>
        <w:t>中干燥炉、窑二级标准</w:t>
      </w:r>
      <w:r>
        <w:rPr>
          <w:rFonts w:hint="eastAsia"/>
          <w:color w:val="000000" w:themeColor="text1"/>
          <w:sz w:val="24"/>
          <w14:textFill>
            <w14:solidFill>
              <w14:schemeClr w14:val="tx1"/>
            </w14:solidFill>
          </w14:textFill>
        </w:rPr>
        <w:t>；</w:t>
      </w:r>
      <w:r>
        <w:rPr>
          <w:rStyle w:val="16"/>
          <w:rFonts w:hint="eastAsia" w:ascii="仿宋" w:hAnsi="仿宋" w:eastAsia="仿宋" w:cs="Times New Roman"/>
          <w:color w:val="000000" w:themeColor="text1"/>
          <w:sz w:val="32"/>
          <w:szCs w:val="32"/>
          <w:highlight w:val="none"/>
          <w:lang w:val="en-US" w:eastAsia="zh-CN"/>
          <w14:textFill>
            <w14:solidFill>
              <w14:schemeClr w14:val="tx1"/>
            </w14:solidFill>
          </w14:textFill>
        </w:rPr>
        <w:t>沥青烟执行《工业炉窑大气污染物排放标准》（GB9078－1996）表4中新、改、扩建的工业炉窑二级标准；二氧化硫</w:t>
      </w:r>
      <w:r>
        <w:rPr>
          <w:rStyle w:val="16"/>
          <w:rFonts w:hint="eastAsia" w:ascii="仿宋" w:hAnsi="仿宋" w:eastAsia="仿宋" w:cs="Times New Roman"/>
          <w:color w:val="auto"/>
          <w:sz w:val="32"/>
          <w:szCs w:val="32"/>
          <w:highlight w:val="none"/>
          <w:lang w:val="en-US" w:eastAsia="zh-CN"/>
        </w:rPr>
        <w:t>、</w:t>
      </w:r>
      <w:r>
        <w:rPr>
          <w:rFonts w:hint="eastAsia" w:ascii="仿宋" w:hAnsi="仿宋" w:eastAsia="仿宋" w:cs="仿宋"/>
          <w:color w:val="auto"/>
          <w:sz w:val="32"/>
          <w:szCs w:val="32"/>
          <w:lang w:val="en-US" w:eastAsia="zh-CN"/>
        </w:rPr>
        <w:t>氮氧化</w:t>
      </w:r>
      <w:r>
        <w:rPr>
          <w:rFonts w:hint="eastAsia" w:ascii="仿宋" w:hAnsi="仿宋" w:eastAsia="仿宋" w:cs="仿宋"/>
          <w:color w:val="0D0D0D" w:themeColor="text1" w:themeTint="F2"/>
          <w:sz w:val="32"/>
          <w:szCs w:val="32"/>
          <w:lang w:val="en-US" w:eastAsia="zh-CN"/>
          <w14:textFill>
            <w14:solidFill>
              <w14:schemeClr w14:val="tx1">
                <w14:lumMod w14:val="95000"/>
                <w14:lumOff w14:val="5000"/>
              </w14:schemeClr>
            </w14:solidFill>
          </w14:textFill>
        </w:rPr>
        <w:t>物</w:t>
      </w:r>
      <w:r>
        <w:rPr>
          <w:rStyle w:val="16"/>
          <w:rFonts w:hint="eastAsia" w:ascii="仿宋" w:hAnsi="仿宋" w:eastAsia="仿宋" w:cs="Times New Roman"/>
          <w:color w:val="auto"/>
          <w:sz w:val="32"/>
          <w:szCs w:val="32"/>
          <w:highlight w:val="none"/>
          <w:lang w:val="en-US" w:eastAsia="zh-CN"/>
        </w:rPr>
        <w:t>、苯并[a]芘、非甲烷总烃执行《大气污染物综合排放标准》（GB16297－1996）表2中二级标准。项目厂界无组织沥青烟、苯并[a]芘、非甲烷总烃排放执行《大气污染物综合排放标准》（GB16297-1996）表2中无组织排放监控浓度限值。厂界无组织颗粒物执行《水泥工业大气污染物排放标准》（GB4915-2013）表3大气污染物无组织排放限值。</w:t>
      </w:r>
    </w:p>
    <w:p>
      <w:pPr>
        <w:pStyle w:val="50"/>
        <w:adjustRightInd/>
        <w:snapToGrid/>
        <w:ind w:firstLine="640" w:firstLineChars="200"/>
        <w:jc w:val="both"/>
        <w:rPr>
          <w:rStyle w:val="16"/>
          <w:rFonts w:hint="eastAsia" w:ascii="仿宋" w:hAnsi="仿宋" w:eastAsia="仿宋" w:cs="Times New Roman"/>
          <w:b w:val="0"/>
          <w:color w:val="auto"/>
          <w:sz w:val="32"/>
          <w:szCs w:val="32"/>
          <w:lang w:val="en-US" w:eastAsia="zh-CN" w:bidi="ar-SA"/>
        </w:rPr>
      </w:pPr>
      <w:r>
        <w:rPr>
          <w:rStyle w:val="16"/>
          <w:rFonts w:hint="eastAsia" w:ascii="仿宋" w:hAnsi="仿宋" w:eastAsia="仿宋" w:cs="Times New Roman"/>
          <w:b w:val="0"/>
          <w:color w:val="auto"/>
          <w:sz w:val="32"/>
          <w:szCs w:val="32"/>
          <w:lang w:val="en-US" w:eastAsia="zh-CN" w:bidi="ar-SA"/>
        </w:rPr>
        <w:t>2、</w:t>
      </w:r>
      <w:r>
        <w:rPr>
          <w:rStyle w:val="16"/>
          <w:rFonts w:hint="default" w:ascii="仿宋" w:hAnsi="仿宋" w:eastAsia="仿宋" w:cs="Times New Roman"/>
          <w:b w:val="0"/>
          <w:color w:val="auto"/>
          <w:sz w:val="32"/>
          <w:szCs w:val="32"/>
          <w:lang w:val="en-US" w:eastAsia="zh-CN" w:bidi="ar-SA"/>
        </w:rPr>
        <w:t>运</w:t>
      </w:r>
      <w:r>
        <w:rPr>
          <w:rStyle w:val="16"/>
          <w:rFonts w:hint="eastAsia" w:ascii="仿宋" w:hAnsi="仿宋" w:eastAsia="仿宋" w:cs="Times New Roman"/>
          <w:b w:val="0"/>
          <w:color w:val="auto"/>
          <w:sz w:val="32"/>
          <w:szCs w:val="32"/>
          <w:lang w:val="en-US" w:eastAsia="zh-CN" w:bidi="ar-SA"/>
        </w:rPr>
        <w:t>营</w:t>
      </w:r>
      <w:r>
        <w:rPr>
          <w:rStyle w:val="16"/>
          <w:rFonts w:hint="default" w:ascii="仿宋" w:hAnsi="仿宋" w:eastAsia="仿宋" w:cs="Times New Roman"/>
          <w:b w:val="0"/>
          <w:color w:val="auto"/>
          <w:sz w:val="32"/>
          <w:szCs w:val="32"/>
          <w:lang w:val="en-US" w:eastAsia="zh-CN" w:bidi="ar-SA"/>
        </w:rPr>
        <w:t>期</w:t>
      </w:r>
      <w:r>
        <w:rPr>
          <w:rStyle w:val="16"/>
          <w:rFonts w:hint="eastAsia" w:ascii="仿宋" w:hAnsi="仿宋" w:eastAsia="仿宋" w:cs="Times New Roman"/>
          <w:b w:val="0"/>
          <w:color w:val="auto"/>
          <w:sz w:val="32"/>
          <w:szCs w:val="32"/>
          <w:lang w:val="en-US" w:eastAsia="zh-CN" w:bidi="ar-SA"/>
        </w:rPr>
        <w:t>不产生生产废水。</w:t>
      </w:r>
      <w:r>
        <w:rPr>
          <w:rStyle w:val="16"/>
          <w:rFonts w:hint="default" w:ascii="仿宋" w:hAnsi="仿宋" w:eastAsia="仿宋" w:cs="Times New Roman"/>
          <w:b w:val="0"/>
          <w:color w:val="auto"/>
          <w:sz w:val="32"/>
          <w:szCs w:val="32"/>
          <w:lang w:val="en-US" w:eastAsia="zh-CN" w:bidi="ar-SA"/>
        </w:rPr>
        <w:t>生活污水经化粪池</w:t>
      </w:r>
      <w:r>
        <w:rPr>
          <w:rStyle w:val="16"/>
          <w:rFonts w:hint="eastAsia" w:ascii="仿宋" w:hAnsi="仿宋" w:eastAsia="仿宋" w:cs="Times New Roman"/>
          <w:b w:val="0"/>
          <w:color w:val="auto"/>
          <w:sz w:val="32"/>
          <w:szCs w:val="32"/>
          <w:lang w:val="en-US" w:eastAsia="zh-CN" w:bidi="ar-SA"/>
        </w:rPr>
        <w:t>沉淀</w:t>
      </w:r>
      <w:r>
        <w:rPr>
          <w:rStyle w:val="16"/>
          <w:rFonts w:hint="default" w:ascii="仿宋" w:hAnsi="仿宋" w:eastAsia="仿宋" w:cs="Times New Roman"/>
          <w:b w:val="0"/>
          <w:color w:val="auto"/>
          <w:sz w:val="32"/>
          <w:szCs w:val="32"/>
          <w:lang w:val="en-US" w:eastAsia="zh-CN" w:bidi="ar-SA"/>
        </w:rPr>
        <w:t>后</w:t>
      </w:r>
      <w:r>
        <w:rPr>
          <w:rStyle w:val="16"/>
          <w:rFonts w:hint="eastAsia" w:ascii="仿宋" w:hAnsi="仿宋" w:eastAsia="仿宋" w:cs="Times New Roman"/>
          <w:b w:val="0"/>
          <w:color w:val="auto"/>
          <w:sz w:val="32"/>
          <w:szCs w:val="32"/>
          <w:lang w:val="en-US" w:eastAsia="zh-CN" w:bidi="ar-SA"/>
        </w:rPr>
        <w:t>排入园区污水管网。</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pP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运营期厂界噪声执行《工业企业厂界环境噪声排放</w:t>
      </w:r>
      <w:r>
        <w:rPr>
          <w:rStyle w:val="16"/>
          <w:rFonts w:hint="eastAsia" w:ascii="仿宋" w:hAnsi="仿宋" w:eastAsia="仿宋"/>
          <w:color w:val="auto"/>
          <w:sz w:val="32"/>
          <w:szCs w:val="32"/>
          <w:lang w:val="en-US" w:eastAsia="zh-CN"/>
        </w:rPr>
        <w:t>标</w:t>
      </w:r>
      <w:r>
        <w:rPr>
          <w:rStyle w:val="16"/>
          <w:rFonts w:hint="eastAsia" w:ascii="仿宋" w:hAnsi="仿宋" w:eastAsia="仿宋"/>
          <w:color w:val="auto"/>
          <w:sz w:val="32"/>
          <w:szCs w:val="32"/>
        </w:rPr>
        <w:t>准》（GB12348-2008）中</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类标准。</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4、妥善处置各类固体废弃物。建设单位须严格按照《一般工业固体废物贮存和填埋污染控制标准》（GB18599-2020）处置一般固废，不得乱弃。</w:t>
      </w:r>
      <w:r>
        <w:rPr>
          <w:rFonts w:hint="default" w:ascii="仿宋" w:hAnsi="仿宋" w:eastAsia="仿宋" w:cs="仿宋"/>
          <w:color w:val="auto"/>
          <w:sz w:val="32"/>
          <w:szCs w:val="32"/>
          <w:lang w:val="en-US"/>
        </w:rPr>
        <w:t>危废暂存库须严格按照《危险废物贮存污染控制标准》（GB18597-20</w:t>
      </w:r>
      <w:r>
        <w:rPr>
          <w:rFonts w:hint="eastAsia" w:ascii="仿宋" w:hAnsi="仿宋" w:eastAsia="仿宋" w:cs="仿宋"/>
          <w:color w:val="auto"/>
          <w:sz w:val="32"/>
          <w:szCs w:val="32"/>
          <w:lang w:val="en-US" w:eastAsia="zh-CN"/>
        </w:rPr>
        <w:t>23</w:t>
      </w:r>
      <w:r>
        <w:rPr>
          <w:rFonts w:hint="default" w:ascii="仿宋" w:hAnsi="仿宋" w:eastAsia="仿宋" w:cs="仿宋"/>
          <w:color w:val="auto"/>
          <w:sz w:val="32"/>
          <w:szCs w:val="32"/>
          <w:lang w:val="en-US"/>
        </w:rPr>
        <w:t>）进行设计、建设和管理。</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w:t>
      </w:r>
      <w:r>
        <w:rPr>
          <w:rFonts w:hint="eastAsia" w:ascii="仿宋" w:hAnsi="仿宋" w:eastAsia="仿宋" w:cs="仿宋"/>
          <w:color w:val="auto"/>
          <w:sz w:val="32"/>
          <w:szCs w:val="32"/>
          <w:highlight w:val="none"/>
          <w:lang w:val="en-US" w:eastAsia="zh-CN"/>
        </w:rPr>
        <w:t>况下泄露的</w:t>
      </w:r>
      <w:r>
        <w:rPr>
          <w:rFonts w:hint="eastAsia" w:ascii="仿宋" w:hAnsi="仿宋" w:eastAsia="仿宋" w:cs="仿宋"/>
          <w:color w:val="auto"/>
          <w:sz w:val="32"/>
          <w:szCs w:val="32"/>
          <w:lang w:val="en-US" w:eastAsia="zh-CN"/>
        </w:rPr>
        <w:t>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pPr>
      <w:r>
        <w:rPr>
          <w:rStyle w:val="16"/>
          <w:rFonts w:hint="eastAsia" w:ascii="仿宋" w:hAnsi="仿宋" w:eastAsia="仿宋"/>
          <w:color w:val="auto"/>
          <w:sz w:val="32"/>
          <w:szCs w:val="32"/>
          <w:lang w:val="en-US" w:eastAsia="zh-CN"/>
        </w:rPr>
        <w:t>5、地面须按相关要求做好防渗措施，确保不会对地下水造成影响。</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pPr>
      <w:r>
        <w:rPr>
          <w:rFonts w:hint="eastAsia" w:ascii="仿宋" w:hAnsi="仿宋" w:eastAsia="仿宋" w:cs="仿宋"/>
          <w:strike w:val="0"/>
          <w:dstrike w:val="0"/>
          <w:color w:val="auto"/>
          <w:kern w:val="0"/>
          <w:sz w:val="32"/>
          <w:szCs w:val="32"/>
          <w:lang w:val="en-US" w:eastAsia="zh-CN" w:bidi="ar-SA"/>
        </w:rPr>
        <w:t>6、强化环境风险防范，制定突发环境事件应急预案，落实环境风险事故防范措施，提高事故风险防范和污染控制能力。</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7、按照《排污口规范化整治技术要求》（环监〔1996〕470号）规范设置排污口。</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strike w:val="0"/>
          <w:dstrike w:val="0"/>
          <w:color w:val="auto"/>
          <w:kern w:val="0"/>
          <w:sz w:val="32"/>
          <w:szCs w:val="32"/>
          <w:lang w:val="en-US" w:eastAsia="zh-CN" w:bidi="ar-SA"/>
        </w:rPr>
        <w:t>本项目申请二氧化硫和氮氧化物总量分别为0.23吨/年和1.74吨/年</w:t>
      </w:r>
      <w:r>
        <w:rPr>
          <w:rFonts w:hint="eastAsia" w:ascii="仿宋" w:hAnsi="仿宋" w:eastAsia="仿宋" w:cs="仿宋"/>
          <w:color w:val="auto"/>
          <w:sz w:val="32"/>
          <w:szCs w:val="32"/>
          <w:lang w:val="en-US" w:eastAsia="zh-CN"/>
        </w:rPr>
        <w:t>（鄂环气字〔2024〕2号）。</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6"/>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6"/>
          <w:rFonts w:hint="eastAsia" w:ascii="仿宋" w:hAnsi="仿宋" w:eastAsia="仿宋" w:cs="Times New Roman"/>
          <w:color w:val="auto"/>
          <w:sz w:val="32"/>
          <w:szCs w:val="32"/>
          <w:lang w:eastAsia="zh-CN"/>
        </w:rPr>
        <w:t>。</w:t>
      </w:r>
      <w:r>
        <w:rPr>
          <w:rStyle w:val="16"/>
          <w:rFonts w:hint="eastAsia" w:ascii="仿宋" w:hAnsi="仿宋" w:eastAsia="仿宋"/>
          <w:color w:val="auto"/>
          <w:sz w:val="32"/>
          <w:szCs w:val="32"/>
        </w:rPr>
        <w:t>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6"/>
          <w:rFonts w:ascii="仿宋" w:hAnsi="仿宋" w:eastAsia="仿宋"/>
          <w:color w:val="auto"/>
          <w:sz w:val="32"/>
          <w:szCs w:val="32"/>
        </w:rPr>
        <w:t xml:space="preserve">                                       </w:t>
      </w:r>
    </w:p>
    <w:p>
      <w:pPr>
        <w:pStyle w:val="3"/>
        <w:jc w:val="left"/>
        <w:rPr>
          <w:rFonts w:hint="eastAsia"/>
          <w:color w:val="auto"/>
          <w:lang w:val="en-US" w:eastAsia="zh-CN"/>
        </w:rPr>
      </w:pPr>
      <w:r>
        <w:rPr>
          <w:rFonts w:hint="eastAsia"/>
          <w:color w:val="auto"/>
          <w:lang w:val="en-US" w:eastAsia="zh-CN"/>
        </w:rPr>
        <w:t xml:space="preserve">   </w:t>
      </w:r>
    </w:p>
    <w:p>
      <w:pPr>
        <w:rPr>
          <w:rFonts w:hint="eastAsia"/>
          <w:color w:val="auto"/>
          <w:lang w:val="en-US" w:eastAsia="zh-CN"/>
        </w:rPr>
      </w:pPr>
    </w:p>
    <w:p>
      <w:pPr>
        <w:pStyle w:val="2"/>
        <w:rPr>
          <w:rFonts w:hint="eastAsia"/>
          <w:lang w:val="en-US" w:eastAsia="zh-CN"/>
        </w:rPr>
      </w:pPr>
    </w:p>
    <w:p>
      <w:pPr>
        <w:pStyle w:val="2"/>
        <w:rPr>
          <w:rFonts w:hint="default"/>
          <w:lang w:val="en-US" w:eastAsia="zh-CN"/>
        </w:rPr>
      </w:pPr>
    </w:p>
    <w:p>
      <w:pPr>
        <w:jc w:val="left"/>
      </w:pPr>
    </w:p>
    <w:p>
      <w:pPr>
        <w:spacing w:line="360" w:lineRule="auto"/>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pPr>
        <w:spacing w:line="360" w:lineRule="auto"/>
        <w:ind w:firstLine="640" w:firstLineChars="200"/>
        <w:textAlignment w:val="auto"/>
        <w:rPr>
          <w:color w:val="auto"/>
        </w:rPr>
      </w:pP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2</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20</w:t>
      </w:r>
      <w:r>
        <w:rPr>
          <w:rStyle w:val="16"/>
          <w:rFonts w:hint="eastAsia" w:ascii="仿宋" w:hAnsi="仿宋" w:eastAsia="仿宋"/>
          <w:color w:val="auto"/>
          <w:sz w:val="32"/>
          <w:szCs w:val="32"/>
        </w:rPr>
        <w:t>日</w:t>
      </w:r>
      <w:r>
        <w:rPr>
          <w:rStyle w:val="16"/>
          <w:rFonts w:ascii="仿宋" w:hAnsi="仿宋" w:eastAsia="仿宋"/>
          <w:color w:val="auto"/>
          <w:sz w:val="32"/>
          <w:szCs w:val="32"/>
        </w:rPr>
        <w:t xml:space="preserve">  </w:t>
      </w: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202</w:t>
      </w:r>
      <w:r>
        <w:rPr>
          <w:rStyle w:val="16"/>
          <w:rFonts w:hint="eastAsia" w:ascii="仿宋" w:hAnsi="仿宋" w:eastAsia="仿宋"/>
          <w:color w:val="auto"/>
          <w:sz w:val="28"/>
          <w:szCs w:val="28"/>
          <w:lang w:val="en-US" w:eastAsia="zh-CN"/>
        </w:rPr>
        <w:t>4</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2</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20</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kNTk1MmVhODkwYTdlM2UzNDI2NDIyNmU0MzQwNDk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DD4C33"/>
    <w:rsid w:val="02DD5B4F"/>
    <w:rsid w:val="02F3233D"/>
    <w:rsid w:val="03086AA8"/>
    <w:rsid w:val="0358144A"/>
    <w:rsid w:val="03A03DE5"/>
    <w:rsid w:val="03A05D81"/>
    <w:rsid w:val="03A96EC4"/>
    <w:rsid w:val="03C1757D"/>
    <w:rsid w:val="03F37592"/>
    <w:rsid w:val="03F963FB"/>
    <w:rsid w:val="042E1659"/>
    <w:rsid w:val="044E4F55"/>
    <w:rsid w:val="0476323E"/>
    <w:rsid w:val="048A4438"/>
    <w:rsid w:val="048A4FCC"/>
    <w:rsid w:val="04916917"/>
    <w:rsid w:val="04F715EE"/>
    <w:rsid w:val="04F72C71"/>
    <w:rsid w:val="05337BE9"/>
    <w:rsid w:val="059A4722"/>
    <w:rsid w:val="05D94866"/>
    <w:rsid w:val="05DD113B"/>
    <w:rsid w:val="060A1C1B"/>
    <w:rsid w:val="06191689"/>
    <w:rsid w:val="06CA02D1"/>
    <w:rsid w:val="06CC5F39"/>
    <w:rsid w:val="06E35A8B"/>
    <w:rsid w:val="06F42603"/>
    <w:rsid w:val="06F55023"/>
    <w:rsid w:val="071479B9"/>
    <w:rsid w:val="075C516B"/>
    <w:rsid w:val="075E259A"/>
    <w:rsid w:val="075F5B44"/>
    <w:rsid w:val="07A019A5"/>
    <w:rsid w:val="07E24DC5"/>
    <w:rsid w:val="081345BB"/>
    <w:rsid w:val="0822685D"/>
    <w:rsid w:val="08660559"/>
    <w:rsid w:val="088554D8"/>
    <w:rsid w:val="08A1120A"/>
    <w:rsid w:val="08AD4A87"/>
    <w:rsid w:val="08B51389"/>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B440899"/>
    <w:rsid w:val="0B6446A4"/>
    <w:rsid w:val="0BA55642"/>
    <w:rsid w:val="0BD72E57"/>
    <w:rsid w:val="0BDE1694"/>
    <w:rsid w:val="0C2B3A73"/>
    <w:rsid w:val="0C301322"/>
    <w:rsid w:val="0C5555BE"/>
    <w:rsid w:val="0CAF1FCC"/>
    <w:rsid w:val="0CC65836"/>
    <w:rsid w:val="0CFC12E8"/>
    <w:rsid w:val="0D693F98"/>
    <w:rsid w:val="0D830185"/>
    <w:rsid w:val="0DF20A80"/>
    <w:rsid w:val="0E2F5220"/>
    <w:rsid w:val="0E364873"/>
    <w:rsid w:val="0E385A18"/>
    <w:rsid w:val="0E570138"/>
    <w:rsid w:val="0E846C5B"/>
    <w:rsid w:val="0E9A33FF"/>
    <w:rsid w:val="0EB72A51"/>
    <w:rsid w:val="0EC36AE6"/>
    <w:rsid w:val="0EF75580"/>
    <w:rsid w:val="0F130789"/>
    <w:rsid w:val="0F1B51C5"/>
    <w:rsid w:val="0F7E2F3B"/>
    <w:rsid w:val="0F8B77A7"/>
    <w:rsid w:val="0FB279DE"/>
    <w:rsid w:val="0FD03B40"/>
    <w:rsid w:val="0FF94348"/>
    <w:rsid w:val="101C23A5"/>
    <w:rsid w:val="103352A9"/>
    <w:rsid w:val="10376624"/>
    <w:rsid w:val="10395A2B"/>
    <w:rsid w:val="107347CB"/>
    <w:rsid w:val="10830D1C"/>
    <w:rsid w:val="10B61351"/>
    <w:rsid w:val="10C170FD"/>
    <w:rsid w:val="10C26E79"/>
    <w:rsid w:val="10C7603A"/>
    <w:rsid w:val="10C86C16"/>
    <w:rsid w:val="11131BAC"/>
    <w:rsid w:val="11356D45"/>
    <w:rsid w:val="11534193"/>
    <w:rsid w:val="11611336"/>
    <w:rsid w:val="116C0377"/>
    <w:rsid w:val="11CD325E"/>
    <w:rsid w:val="11D2180D"/>
    <w:rsid w:val="12EA255A"/>
    <w:rsid w:val="13464D5E"/>
    <w:rsid w:val="1398649C"/>
    <w:rsid w:val="139A0B1F"/>
    <w:rsid w:val="13C532EF"/>
    <w:rsid w:val="144C07C7"/>
    <w:rsid w:val="1562595D"/>
    <w:rsid w:val="156264EB"/>
    <w:rsid w:val="15652C35"/>
    <w:rsid w:val="156D1455"/>
    <w:rsid w:val="15712BD2"/>
    <w:rsid w:val="15E91737"/>
    <w:rsid w:val="16015C16"/>
    <w:rsid w:val="16041455"/>
    <w:rsid w:val="168C74C9"/>
    <w:rsid w:val="16FF6904"/>
    <w:rsid w:val="171F5F2F"/>
    <w:rsid w:val="1747459A"/>
    <w:rsid w:val="178F5508"/>
    <w:rsid w:val="17D90483"/>
    <w:rsid w:val="17E15C23"/>
    <w:rsid w:val="181C5F12"/>
    <w:rsid w:val="18207E93"/>
    <w:rsid w:val="188A5136"/>
    <w:rsid w:val="18A37FC9"/>
    <w:rsid w:val="18AE27A5"/>
    <w:rsid w:val="18CC5434"/>
    <w:rsid w:val="18E54146"/>
    <w:rsid w:val="19473B43"/>
    <w:rsid w:val="19AC1F9C"/>
    <w:rsid w:val="19EA6791"/>
    <w:rsid w:val="19F825D9"/>
    <w:rsid w:val="1A437161"/>
    <w:rsid w:val="1A6C6995"/>
    <w:rsid w:val="1A805ECF"/>
    <w:rsid w:val="1AFA27E4"/>
    <w:rsid w:val="1B944F25"/>
    <w:rsid w:val="1BBA357C"/>
    <w:rsid w:val="1BBC5800"/>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197ECC"/>
    <w:rsid w:val="1F7A6B27"/>
    <w:rsid w:val="1F9A03FC"/>
    <w:rsid w:val="1F9F4FD0"/>
    <w:rsid w:val="1FB13B43"/>
    <w:rsid w:val="1FFD3A90"/>
    <w:rsid w:val="203E5C2F"/>
    <w:rsid w:val="20723F75"/>
    <w:rsid w:val="208B0C0A"/>
    <w:rsid w:val="209F2E8C"/>
    <w:rsid w:val="20BD316F"/>
    <w:rsid w:val="20C94FCD"/>
    <w:rsid w:val="20CF0133"/>
    <w:rsid w:val="212154AC"/>
    <w:rsid w:val="21500F9E"/>
    <w:rsid w:val="217D77E0"/>
    <w:rsid w:val="21DC075D"/>
    <w:rsid w:val="21EF70BE"/>
    <w:rsid w:val="220E66BC"/>
    <w:rsid w:val="221B45B1"/>
    <w:rsid w:val="2265588B"/>
    <w:rsid w:val="228C2292"/>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60007C3"/>
    <w:rsid w:val="260E7B42"/>
    <w:rsid w:val="261325BB"/>
    <w:rsid w:val="267000E4"/>
    <w:rsid w:val="269E1BDF"/>
    <w:rsid w:val="26C86AE1"/>
    <w:rsid w:val="27063174"/>
    <w:rsid w:val="2745621A"/>
    <w:rsid w:val="274B306C"/>
    <w:rsid w:val="28150F91"/>
    <w:rsid w:val="288E0726"/>
    <w:rsid w:val="289A0EE5"/>
    <w:rsid w:val="28A2177B"/>
    <w:rsid w:val="28DA25CC"/>
    <w:rsid w:val="2956242B"/>
    <w:rsid w:val="29625978"/>
    <w:rsid w:val="29BE7B24"/>
    <w:rsid w:val="29EC1002"/>
    <w:rsid w:val="2A173A82"/>
    <w:rsid w:val="2A27019D"/>
    <w:rsid w:val="2A4A7282"/>
    <w:rsid w:val="2A77431C"/>
    <w:rsid w:val="2A920FD4"/>
    <w:rsid w:val="2AB8571B"/>
    <w:rsid w:val="2ABD6442"/>
    <w:rsid w:val="2ACD268E"/>
    <w:rsid w:val="2AF53CB3"/>
    <w:rsid w:val="2B065713"/>
    <w:rsid w:val="2B496FAB"/>
    <w:rsid w:val="2B5F7DC4"/>
    <w:rsid w:val="2BD26C46"/>
    <w:rsid w:val="2BDE5B5E"/>
    <w:rsid w:val="2C3F708C"/>
    <w:rsid w:val="2C871D94"/>
    <w:rsid w:val="2C9034E6"/>
    <w:rsid w:val="2CAE4D3A"/>
    <w:rsid w:val="2CE7407F"/>
    <w:rsid w:val="2CFB6C68"/>
    <w:rsid w:val="2D5C4C74"/>
    <w:rsid w:val="2D5E1836"/>
    <w:rsid w:val="2D5F771D"/>
    <w:rsid w:val="2DD61302"/>
    <w:rsid w:val="2E1A5EC1"/>
    <w:rsid w:val="2E653EAF"/>
    <w:rsid w:val="2E6B1F05"/>
    <w:rsid w:val="2EA85B70"/>
    <w:rsid w:val="2EB60EB6"/>
    <w:rsid w:val="2EF21325"/>
    <w:rsid w:val="2F1876BA"/>
    <w:rsid w:val="2F837265"/>
    <w:rsid w:val="2F8C2E25"/>
    <w:rsid w:val="2F8E3C27"/>
    <w:rsid w:val="2FC328DF"/>
    <w:rsid w:val="2FE05822"/>
    <w:rsid w:val="2FEA3599"/>
    <w:rsid w:val="301223CD"/>
    <w:rsid w:val="30276045"/>
    <w:rsid w:val="30552879"/>
    <w:rsid w:val="3071536E"/>
    <w:rsid w:val="30CD0F38"/>
    <w:rsid w:val="312C0E37"/>
    <w:rsid w:val="31451F91"/>
    <w:rsid w:val="3166710B"/>
    <w:rsid w:val="31B97443"/>
    <w:rsid w:val="31E74361"/>
    <w:rsid w:val="322F75E5"/>
    <w:rsid w:val="3231204D"/>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352E7D"/>
    <w:rsid w:val="3587701E"/>
    <w:rsid w:val="35D97CAC"/>
    <w:rsid w:val="35DE6483"/>
    <w:rsid w:val="361479B3"/>
    <w:rsid w:val="362A341F"/>
    <w:rsid w:val="36CB51E2"/>
    <w:rsid w:val="36D33EE3"/>
    <w:rsid w:val="37010A46"/>
    <w:rsid w:val="37075CEA"/>
    <w:rsid w:val="371F6C8E"/>
    <w:rsid w:val="372344BA"/>
    <w:rsid w:val="37334EA2"/>
    <w:rsid w:val="375C4DD9"/>
    <w:rsid w:val="375D3876"/>
    <w:rsid w:val="37663248"/>
    <w:rsid w:val="37966A72"/>
    <w:rsid w:val="37D77582"/>
    <w:rsid w:val="37E5426D"/>
    <w:rsid w:val="37FF7133"/>
    <w:rsid w:val="38114125"/>
    <w:rsid w:val="38176CB5"/>
    <w:rsid w:val="38252AC8"/>
    <w:rsid w:val="389B5401"/>
    <w:rsid w:val="38B32843"/>
    <w:rsid w:val="39625ABB"/>
    <w:rsid w:val="39750C1A"/>
    <w:rsid w:val="39815D3F"/>
    <w:rsid w:val="39910B3F"/>
    <w:rsid w:val="39CB16C6"/>
    <w:rsid w:val="39CE6D77"/>
    <w:rsid w:val="39CF3432"/>
    <w:rsid w:val="3A102EB3"/>
    <w:rsid w:val="3A1559AB"/>
    <w:rsid w:val="3A1716A8"/>
    <w:rsid w:val="3A2C25BF"/>
    <w:rsid w:val="3A4100A2"/>
    <w:rsid w:val="3A420ECD"/>
    <w:rsid w:val="3AEA62F0"/>
    <w:rsid w:val="3B164E12"/>
    <w:rsid w:val="3B433FA0"/>
    <w:rsid w:val="3B7405F8"/>
    <w:rsid w:val="3B8024AE"/>
    <w:rsid w:val="3BCA2CB8"/>
    <w:rsid w:val="3C201861"/>
    <w:rsid w:val="3C351081"/>
    <w:rsid w:val="3C4F7E8A"/>
    <w:rsid w:val="3C545991"/>
    <w:rsid w:val="3C795E81"/>
    <w:rsid w:val="3C885F88"/>
    <w:rsid w:val="3C9C06C9"/>
    <w:rsid w:val="3CAE0613"/>
    <w:rsid w:val="3CF212C3"/>
    <w:rsid w:val="3D2C2DB7"/>
    <w:rsid w:val="3D4E0D02"/>
    <w:rsid w:val="3D615C4A"/>
    <w:rsid w:val="3D9D29AC"/>
    <w:rsid w:val="3DB17760"/>
    <w:rsid w:val="3DD06792"/>
    <w:rsid w:val="3E6216DB"/>
    <w:rsid w:val="3E6D2368"/>
    <w:rsid w:val="3E8C50F6"/>
    <w:rsid w:val="3E9E6EFC"/>
    <w:rsid w:val="3EA147B7"/>
    <w:rsid w:val="3EAA1A98"/>
    <w:rsid w:val="3ED64314"/>
    <w:rsid w:val="3EDA3818"/>
    <w:rsid w:val="3EE12A57"/>
    <w:rsid w:val="3EEF2E69"/>
    <w:rsid w:val="3F267EF6"/>
    <w:rsid w:val="3F544D41"/>
    <w:rsid w:val="3F7635AF"/>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2C3859"/>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9540677"/>
    <w:rsid w:val="49926C6C"/>
    <w:rsid w:val="49AA4FB0"/>
    <w:rsid w:val="49DB78B5"/>
    <w:rsid w:val="49E97A04"/>
    <w:rsid w:val="49EA569C"/>
    <w:rsid w:val="4A494A22"/>
    <w:rsid w:val="4A7162AD"/>
    <w:rsid w:val="4A911B79"/>
    <w:rsid w:val="4ADF223E"/>
    <w:rsid w:val="4AF07DCC"/>
    <w:rsid w:val="4B125F29"/>
    <w:rsid w:val="4B620F05"/>
    <w:rsid w:val="4B9F6E4A"/>
    <w:rsid w:val="4BA42C32"/>
    <w:rsid w:val="4BAD0F90"/>
    <w:rsid w:val="4C2274BE"/>
    <w:rsid w:val="4C286E40"/>
    <w:rsid w:val="4CD95DD7"/>
    <w:rsid w:val="4D137AF0"/>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1167CDE"/>
    <w:rsid w:val="51324DA9"/>
    <w:rsid w:val="51AD2147"/>
    <w:rsid w:val="51CE1891"/>
    <w:rsid w:val="51D501ED"/>
    <w:rsid w:val="522D7F16"/>
    <w:rsid w:val="523952D8"/>
    <w:rsid w:val="523B2FBD"/>
    <w:rsid w:val="52400F9E"/>
    <w:rsid w:val="52473BB8"/>
    <w:rsid w:val="52642B9B"/>
    <w:rsid w:val="5288313B"/>
    <w:rsid w:val="52D27DE3"/>
    <w:rsid w:val="52F33045"/>
    <w:rsid w:val="531F408E"/>
    <w:rsid w:val="53406525"/>
    <w:rsid w:val="534B5C0F"/>
    <w:rsid w:val="53646721"/>
    <w:rsid w:val="53E44017"/>
    <w:rsid w:val="5432323D"/>
    <w:rsid w:val="54331B24"/>
    <w:rsid w:val="54583460"/>
    <w:rsid w:val="545E2289"/>
    <w:rsid w:val="54686A39"/>
    <w:rsid w:val="54BC6CBF"/>
    <w:rsid w:val="54E641C3"/>
    <w:rsid w:val="54EC6DF6"/>
    <w:rsid w:val="54F16F78"/>
    <w:rsid w:val="55215714"/>
    <w:rsid w:val="554D7806"/>
    <w:rsid w:val="555B0286"/>
    <w:rsid w:val="55876BE5"/>
    <w:rsid w:val="55A94050"/>
    <w:rsid w:val="55CA36B6"/>
    <w:rsid w:val="56175BFF"/>
    <w:rsid w:val="561D29E1"/>
    <w:rsid w:val="567F5F3C"/>
    <w:rsid w:val="56DB6AC7"/>
    <w:rsid w:val="56DF16DC"/>
    <w:rsid w:val="57184CF1"/>
    <w:rsid w:val="57780B5F"/>
    <w:rsid w:val="57B96494"/>
    <w:rsid w:val="57DD76E9"/>
    <w:rsid w:val="57FC658A"/>
    <w:rsid w:val="57FE5FE5"/>
    <w:rsid w:val="586A1F97"/>
    <w:rsid w:val="58827EFF"/>
    <w:rsid w:val="589C6ECF"/>
    <w:rsid w:val="589D03F0"/>
    <w:rsid w:val="593212FE"/>
    <w:rsid w:val="59581068"/>
    <w:rsid w:val="59597413"/>
    <w:rsid w:val="59BA4CD4"/>
    <w:rsid w:val="59EE5797"/>
    <w:rsid w:val="5AC272A3"/>
    <w:rsid w:val="5B307B0A"/>
    <w:rsid w:val="5B557E8F"/>
    <w:rsid w:val="5BB1110B"/>
    <w:rsid w:val="5C2B7BE1"/>
    <w:rsid w:val="5C621337"/>
    <w:rsid w:val="5C7F01BD"/>
    <w:rsid w:val="5CDA23D8"/>
    <w:rsid w:val="5D6C33D5"/>
    <w:rsid w:val="5DA25547"/>
    <w:rsid w:val="5DC5227C"/>
    <w:rsid w:val="5DD32B36"/>
    <w:rsid w:val="5DEC6C8E"/>
    <w:rsid w:val="5DF951D1"/>
    <w:rsid w:val="5DFA4819"/>
    <w:rsid w:val="5EFB79A1"/>
    <w:rsid w:val="5F2A616C"/>
    <w:rsid w:val="5F3C052E"/>
    <w:rsid w:val="5F6C71D0"/>
    <w:rsid w:val="5F785148"/>
    <w:rsid w:val="5FA8049F"/>
    <w:rsid w:val="5FC04A97"/>
    <w:rsid w:val="5FE94B7D"/>
    <w:rsid w:val="5FF2718E"/>
    <w:rsid w:val="5FFF4EA8"/>
    <w:rsid w:val="602B2726"/>
    <w:rsid w:val="60417BB4"/>
    <w:rsid w:val="60854409"/>
    <w:rsid w:val="60B2650C"/>
    <w:rsid w:val="611D40E2"/>
    <w:rsid w:val="614462DE"/>
    <w:rsid w:val="61B516C4"/>
    <w:rsid w:val="61EF4764"/>
    <w:rsid w:val="624217A0"/>
    <w:rsid w:val="625904A9"/>
    <w:rsid w:val="628730AA"/>
    <w:rsid w:val="62A64AED"/>
    <w:rsid w:val="62BE2B8C"/>
    <w:rsid w:val="632D32DF"/>
    <w:rsid w:val="636B778B"/>
    <w:rsid w:val="63713FBD"/>
    <w:rsid w:val="63950102"/>
    <w:rsid w:val="641D5FD9"/>
    <w:rsid w:val="64566E62"/>
    <w:rsid w:val="647677D7"/>
    <w:rsid w:val="64770209"/>
    <w:rsid w:val="65042865"/>
    <w:rsid w:val="651360F5"/>
    <w:rsid w:val="651B024D"/>
    <w:rsid w:val="65571260"/>
    <w:rsid w:val="65620EA6"/>
    <w:rsid w:val="65636D4C"/>
    <w:rsid w:val="65AB3C61"/>
    <w:rsid w:val="65B25CB4"/>
    <w:rsid w:val="65CE2481"/>
    <w:rsid w:val="65DC4ACB"/>
    <w:rsid w:val="65E120E1"/>
    <w:rsid w:val="65FB616C"/>
    <w:rsid w:val="661125F2"/>
    <w:rsid w:val="6611695D"/>
    <w:rsid w:val="66194DC3"/>
    <w:rsid w:val="66267FAE"/>
    <w:rsid w:val="668D09A2"/>
    <w:rsid w:val="669764AC"/>
    <w:rsid w:val="66D55C0F"/>
    <w:rsid w:val="672A40B7"/>
    <w:rsid w:val="6746660F"/>
    <w:rsid w:val="6749451C"/>
    <w:rsid w:val="674A4227"/>
    <w:rsid w:val="679300D6"/>
    <w:rsid w:val="684478D1"/>
    <w:rsid w:val="686109FC"/>
    <w:rsid w:val="686801CC"/>
    <w:rsid w:val="688C32E6"/>
    <w:rsid w:val="68D84C26"/>
    <w:rsid w:val="69482477"/>
    <w:rsid w:val="694D466A"/>
    <w:rsid w:val="695143FB"/>
    <w:rsid w:val="698A3A01"/>
    <w:rsid w:val="698D0D6B"/>
    <w:rsid w:val="69E6116E"/>
    <w:rsid w:val="6A051C1C"/>
    <w:rsid w:val="6A461941"/>
    <w:rsid w:val="6AA33CF1"/>
    <w:rsid w:val="6AAE5669"/>
    <w:rsid w:val="6ABD1719"/>
    <w:rsid w:val="6ACC25CE"/>
    <w:rsid w:val="6B275374"/>
    <w:rsid w:val="6BB23A02"/>
    <w:rsid w:val="6BEB28AD"/>
    <w:rsid w:val="6C1B2CFB"/>
    <w:rsid w:val="6C1D1BAE"/>
    <w:rsid w:val="6C32108A"/>
    <w:rsid w:val="6C495CD7"/>
    <w:rsid w:val="6C6C7186"/>
    <w:rsid w:val="6C71153E"/>
    <w:rsid w:val="6CA67BC0"/>
    <w:rsid w:val="6CE10EDA"/>
    <w:rsid w:val="6D4F01B3"/>
    <w:rsid w:val="6D9B0E92"/>
    <w:rsid w:val="6DC319FF"/>
    <w:rsid w:val="6DD24A05"/>
    <w:rsid w:val="6E1844B8"/>
    <w:rsid w:val="6E541954"/>
    <w:rsid w:val="6E6D5C0E"/>
    <w:rsid w:val="6E7C3113"/>
    <w:rsid w:val="6EA67FA2"/>
    <w:rsid w:val="6F957251"/>
    <w:rsid w:val="70921C55"/>
    <w:rsid w:val="70B658E9"/>
    <w:rsid w:val="71283ECD"/>
    <w:rsid w:val="713D11CB"/>
    <w:rsid w:val="7147364E"/>
    <w:rsid w:val="71502437"/>
    <w:rsid w:val="71E362C3"/>
    <w:rsid w:val="7219039A"/>
    <w:rsid w:val="731775B6"/>
    <w:rsid w:val="73BA11B9"/>
    <w:rsid w:val="73D60472"/>
    <w:rsid w:val="73F53D48"/>
    <w:rsid w:val="7496752E"/>
    <w:rsid w:val="755B54D7"/>
    <w:rsid w:val="75765328"/>
    <w:rsid w:val="75A177EE"/>
    <w:rsid w:val="75C71031"/>
    <w:rsid w:val="75D86CD4"/>
    <w:rsid w:val="760E7139"/>
    <w:rsid w:val="76496AA8"/>
    <w:rsid w:val="76745CA5"/>
    <w:rsid w:val="768559AF"/>
    <w:rsid w:val="76A05F87"/>
    <w:rsid w:val="76A730E4"/>
    <w:rsid w:val="76F33AE6"/>
    <w:rsid w:val="76F41191"/>
    <w:rsid w:val="7711215A"/>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C30024"/>
    <w:rsid w:val="79E24199"/>
    <w:rsid w:val="7A281851"/>
    <w:rsid w:val="7A550F13"/>
    <w:rsid w:val="7A773BB5"/>
    <w:rsid w:val="7AC34054"/>
    <w:rsid w:val="7AD20151"/>
    <w:rsid w:val="7AE069B4"/>
    <w:rsid w:val="7B345817"/>
    <w:rsid w:val="7B5573A2"/>
    <w:rsid w:val="7B5D3DBD"/>
    <w:rsid w:val="7B62786A"/>
    <w:rsid w:val="7BAD7F79"/>
    <w:rsid w:val="7BE82E7A"/>
    <w:rsid w:val="7C047330"/>
    <w:rsid w:val="7C1A0DC0"/>
    <w:rsid w:val="7C614B37"/>
    <w:rsid w:val="7CE039CF"/>
    <w:rsid w:val="7D54267F"/>
    <w:rsid w:val="7D7C739E"/>
    <w:rsid w:val="7DBD5F66"/>
    <w:rsid w:val="7DC17EA6"/>
    <w:rsid w:val="7E0D5B2C"/>
    <w:rsid w:val="7E2115B9"/>
    <w:rsid w:val="7E7F66A4"/>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3"/>
    <w:autoRedefine/>
    <w:qFormat/>
    <w:uiPriority w:val="0"/>
    <w:pPr>
      <w:ind w:firstLine="420"/>
    </w:pPr>
  </w:style>
  <w:style w:type="paragraph" w:styleId="3">
    <w:name w:val="Body Text First Indent 2"/>
    <w:basedOn w:val="4"/>
    <w:next w:val="1"/>
    <w:autoRedefine/>
    <w:qFormat/>
    <w:uiPriority w:val="99"/>
    <w:pPr>
      <w:spacing w:line="240" w:lineRule="auto"/>
      <w:ind w:firstLine="420"/>
    </w:pPr>
  </w:style>
  <w:style w:type="paragraph" w:styleId="4">
    <w:name w:val="Body Text Indent"/>
    <w:basedOn w:val="1"/>
    <w:next w:val="1"/>
    <w:autoRedefine/>
    <w:qFormat/>
    <w:uiPriority w:val="99"/>
    <w:pPr>
      <w:ind w:left="420" w:leftChars="200"/>
    </w:pPr>
  </w:style>
  <w:style w:type="paragraph" w:styleId="5">
    <w:name w:val="annotation text"/>
    <w:basedOn w:val="1"/>
    <w:autoRedefine/>
    <w:qFormat/>
    <w:uiPriority w:val="0"/>
    <w:pPr>
      <w:jc w:val="left"/>
    </w:pPr>
  </w:style>
  <w:style w:type="paragraph" w:styleId="6">
    <w:name w:val="Body Text"/>
    <w:basedOn w:val="1"/>
    <w:link w:val="21"/>
    <w:autoRedefine/>
    <w:qFormat/>
    <w:uiPriority w:val="99"/>
    <w:pPr>
      <w:spacing w:after="120"/>
    </w:pPr>
    <w:rPr>
      <w:rFonts w:ascii="Calibri" w:hAnsi="Calibri"/>
      <w:szCs w:val="22"/>
    </w:rPr>
  </w:style>
  <w:style w:type="paragraph" w:styleId="7">
    <w:name w:val="Plain Text"/>
    <w:basedOn w:val="1"/>
    <w:autoRedefine/>
    <w:qFormat/>
    <w:uiPriority w:val="0"/>
    <w:rPr>
      <w:rFonts w:ascii="宋体" w:hAnsi="Courier New"/>
      <w:szCs w:val="21"/>
    </w:rPr>
  </w:style>
  <w:style w:type="paragraph" w:styleId="8">
    <w:name w:val="Date"/>
    <w:basedOn w:val="1"/>
    <w:next w:val="1"/>
    <w:link w:val="22"/>
    <w:autoRedefine/>
    <w:qFormat/>
    <w:uiPriority w:val="99"/>
    <w:pPr>
      <w:ind w:left="100" w:leftChars="2500"/>
    </w:pPr>
  </w:style>
  <w:style w:type="paragraph" w:styleId="9">
    <w:name w:val="footer"/>
    <w:basedOn w:val="1"/>
    <w:link w:val="23"/>
    <w:autoRedefine/>
    <w:qFormat/>
    <w:uiPriority w:val="99"/>
    <w:pPr>
      <w:tabs>
        <w:tab w:val="center" w:pos="4153"/>
        <w:tab w:val="right" w:pos="8306"/>
      </w:tabs>
      <w:snapToGrid w:val="0"/>
      <w:jc w:val="left"/>
    </w:pPr>
    <w:rPr>
      <w:sz w:val="18"/>
    </w:rPr>
  </w:style>
  <w:style w:type="paragraph" w:styleId="10">
    <w:name w:val="header"/>
    <w:basedOn w:val="1"/>
    <w:link w:val="24"/>
    <w:autoRedefine/>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autoRedefine/>
    <w:qFormat/>
    <w:uiPriority w:val="0"/>
    <w:rPr>
      <w:sz w:val="24"/>
      <w:szCs w:val="22"/>
    </w:rPr>
  </w:style>
  <w:style w:type="paragraph" w:styleId="12">
    <w:name w:val="Body Text First Indent"/>
    <w:basedOn w:val="6"/>
    <w:next w:val="1"/>
    <w:autoRedefine/>
    <w:qFormat/>
    <w:uiPriority w:val="0"/>
    <w:pPr>
      <w:spacing w:after="120"/>
      <w:ind w:firstLine="420" w:firstLineChars="100"/>
    </w:pPr>
  </w:style>
  <w:style w:type="character" w:styleId="15">
    <w:name w:val="Strong"/>
    <w:basedOn w:val="16"/>
    <w:autoRedefine/>
    <w:qFormat/>
    <w:uiPriority w:val="99"/>
    <w:rPr>
      <w:rFonts w:cs="Times New Roman"/>
      <w:b/>
    </w:rPr>
  </w:style>
  <w:style w:type="character" w:customStyle="1" w:styleId="16">
    <w:name w:val="NormalCharacter"/>
    <w:autoRedefine/>
    <w:semiHidden/>
    <w:qFormat/>
    <w:uiPriority w:val="99"/>
  </w:style>
  <w:style w:type="character" w:styleId="17">
    <w:name w:val="annotation reference"/>
    <w:autoRedefine/>
    <w:qFormat/>
    <w:uiPriority w:val="0"/>
    <w:rPr>
      <w:sz w:val="21"/>
      <w:szCs w:val="21"/>
    </w:rPr>
  </w:style>
  <w:style w:type="paragraph" w:customStyle="1" w:styleId="18">
    <w:name w:val="样式 正文缩进正文缩进2正文缩进 Char Char正文缩进 Char Char Char Char正文缩进 Char ..."/>
    <w:basedOn w:val="2"/>
    <w:autoRedefine/>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19">
    <w:name w:val="正文首行缩进 21"/>
    <w:basedOn w:val="4"/>
    <w:next w:val="1"/>
    <w:autoRedefine/>
    <w:qFormat/>
    <w:uiPriority w:val="0"/>
    <w:pPr>
      <w:spacing w:afterLines="0"/>
      <w:ind w:left="420" w:firstLine="420" w:firstLineChars="200"/>
    </w:pPr>
    <w:rPr>
      <w:lang w:eastAsia="zh-CN" w:bidi="ar-SA"/>
    </w:rPr>
  </w:style>
  <w:style w:type="paragraph" w:customStyle="1" w:styleId="20">
    <w:name w:val="0正文"/>
    <w:autoRedefine/>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Char"/>
    <w:basedOn w:val="14"/>
    <w:link w:val="6"/>
    <w:autoRedefine/>
    <w:semiHidden/>
    <w:qFormat/>
    <w:uiPriority w:val="99"/>
    <w:rPr>
      <w:color w:val="000000"/>
      <w:kern w:val="0"/>
      <w:szCs w:val="20"/>
    </w:rPr>
  </w:style>
  <w:style w:type="character" w:customStyle="1" w:styleId="22">
    <w:name w:val="日期 Char"/>
    <w:basedOn w:val="14"/>
    <w:link w:val="8"/>
    <w:autoRedefine/>
    <w:semiHidden/>
    <w:qFormat/>
    <w:uiPriority w:val="99"/>
    <w:rPr>
      <w:color w:val="000000"/>
      <w:kern w:val="0"/>
      <w:szCs w:val="20"/>
    </w:rPr>
  </w:style>
  <w:style w:type="character" w:customStyle="1" w:styleId="23">
    <w:name w:val="页脚 Char"/>
    <w:basedOn w:val="16"/>
    <w:link w:val="9"/>
    <w:autoRedefine/>
    <w:qFormat/>
    <w:locked/>
    <w:uiPriority w:val="99"/>
    <w:rPr>
      <w:rFonts w:cs="Times New Roman"/>
      <w:color w:val="000000"/>
      <w:sz w:val="18"/>
    </w:rPr>
  </w:style>
  <w:style w:type="character" w:customStyle="1" w:styleId="24">
    <w:name w:val="页眉 Char"/>
    <w:basedOn w:val="16"/>
    <w:link w:val="10"/>
    <w:autoRedefine/>
    <w:qFormat/>
    <w:locked/>
    <w:uiPriority w:val="99"/>
    <w:rPr>
      <w:rFonts w:cs="Times New Roman"/>
      <w:color w:val="000000"/>
      <w:sz w:val="18"/>
      <w:szCs w:val="18"/>
    </w:rPr>
  </w:style>
  <w:style w:type="paragraph" w:customStyle="1" w:styleId="25">
    <w:name w:val="BodyText"/>
    <w:basedOn w:val="1"/>
    <w:autoRedefine/>
    <w:qFormat/>
    <w:uiPriority w:val="99"/>
    <w:pPr>
      <w:spacing w:after="120"/>
    </w:pPr>
    <w:rPr>
      <w:rFonts w:ascii="Calibri" w:hAnsi="Calibri"/>
      <w:szCs w:val="22"/>
    </w:rPr>
  </w:style>
  <w:style w:type="table" w:customStyle="1" w:styleId="26">
    <w:name w:val="TableNormal"/>
    <w:autoRedefine/>
    <w:semiHidden/>
    <w:qFormat/>
    <w:uiPriority w:val="99"/>
    <w:tblPr>
      <w:tblCellMar>
        <w:top w:w="0" w:type="dxa"/>
        <w:left w:w="0" w:type="dxa"/>
        <w:bottom w:w="0" w:type="dxa"/>
        <w:right w:w="0" w:type="dxa"/>
      </w:tblCellMar>
    </w:tblPr>
  </w:style>
  <w:style w:type="character" w:customStyle="1" w:styleId="27">
    <w:name w:val="UserStyle_0"/>
    <w:basedOn w:val="16"/>
    <w:autoRedefine/>
    <w:qFormat/>
    <w:uiPriority w:val="99"/>
    <w:rPr>
      <w:rFonts w:ascii="Times New Roman" w:eastAsia="宋体" w:cs="Times New Roman"/>
      <w:color w:val="0000FF"/>
      <w:sz w:val="21"/>
      <w:u w:val="single"/>
      <w:lang w:val="en-US" w:eastAsia="zh-CN"/>
    </w:rPr>
  </w:style>
  <w:style w:type="character" w:customStyle="1" w:styleId="28">
    <w:name w:val="AnnotationReference"/>
    <w:autoRedefine/>
    <w:qFormat/>
    <w:uiPriority w:val="99"/>
    <w:rPr>
      <w:sz w:val="21"/>
    </w:rPr>
  </w:style>
  <w:style w:type="character" w:customStyle="1" w:styleId="29">
    <w:name w:val="UserStyle_2"/>
    <w:basedOn w:val="16"/>
    <w:autoRedefine/>
    <w:qFormat/>
    <w:uiPriority w:val="99"/>
    <w:rPr>
      <w:rFonts w:ascii="Times New Roman" w:eastAsia="宋体" w:cs="Times New Roman"/>
      <w:color w:val="0000FF"/>
      <w:sz w:val="21"/>
      <w:u w:val="single"/>
      <w:lang w:val="en-US" w:eastAsia="zh-CN"/>
    </w:rPr>
  </w:style>
  <w:style w:type="character" w:customStyle="1" w:styleId="30">
    <w:name w:val="UserStyle_3"/>
    <w:autoRedefine/>
    <w:semiHidden/>
    <w:qFormat/>
    <w:uiPriority w:val="99"/>
    <w:rPr>
      <w:rFonts w:ascii="Times New Roman" w:hAnsi="Times New Roman" w:eastAsia="宋体"/>
      <w:kern w:val="2"/>
      <w:sz w:val="21"/>
      <w:lang w:val="en-US" w:eastAsia="zh-CN"/>
    </w:rPr>
  </w:style>
  <w:style w:type="paragraph" w:customStyle="1" w:styleId="31">
    <w:name w:val="UserStyle_5"/>
    <w:basedOn w:val="1"/>
    <w:next w:val="32"/>
    <w:autoRedefine/>
    <w:qFormat/>
    <w:uiPriority w:val="99"/>
    <w:pPr>
      <w:spacing w:before="566" w:after="544" w:line="566" w:lineRule="atLeast"/>
      <w:jc w:val="center"/>
    </w:pPr>
    <w:rPr>
      <w:rFonts w:ascii="Arial" w:eastAsia="黑体"/>
      <w:sz w:val="54"/>
    </w:rPr>
  </w:style>
  <w:style w:type="paragraph" w:customStyle="1" w:styleId="32">
    <w:name w:val="UserStyle_6"/>
    <w:basedOn w:val="1"/>
    <w:next w:val="33"/>
    <w:autoRedefine/>
    <w:qFormat/>
    <w:uiPriority w:val="99"/>
    <w:pPr>
      <w:spacing w:before="187" w:after="175" w:line="374" w:lineRule="atLeast"/>
      <w:jc w:val="center"/>
    </w:pPr>
    <w:rPr>
      <w:sz w:val="36"/>
    </w:rPr>
  </w:style>
  <w:style w:type="paragraph" w:customStyle="1" w:styleId="33">
    <w:name w:val="UserStyle_16"/>
    <w:basedOn w:val="1"/>
    <w:next w:val="34"/>
    <w:autoRedefine/>
    <w:qFormat/>
    <w:uiPriority w:val="99"/>
    <w:pPr>
      <w:spacing w:before="158" w:after="153" w:line="323" w:lineRule="atLeast"/>
      <w:jc w:val="center"/>
    </w:pPr>
    <w:rPr>
      <w:rFonts w:ascii="Arial" w:eastAsia="黑体"/>
      <w:sz w:val="31"/>
    </w:rPr>
  </w:style>
  <w:style w:type="paragraph" w:customStyle="1" w:styleId="34">
    <w:name w:val="UserStyle_10"/>
    <w:basedOn w:val="1"/>
    <w:next w:val="35"/>
    <w:autoRedefine/>
    <w:qFormat/>
    <w:uiPriority w:val="99"/>
    <w:pPr>
      <w:spacing w:line="289" w:lineRule="atLeast"/>
      <w:jc w:val="center"/>
    </w:pPr>
    <w:rPr>
      <w:sz w:val="28"/>
    </w:rPr>
  </w:style>
  <w:style w:type="paragraph" w:customStyle="1" w:styleId="35">
    <w:name w:val="UserStyle_11"/>
    <w:basedOn w:val="1"/>
    <w:next w:val="1"/>
    <w:autoRedefine/>
    <w:qFormat/>
    <w:uiPriority w:val="99"/>
    <w:pPr>
      <w:spacing w:before="175" w:after="102" w:line="351" w:lineRule="atLeast"/>
    </w:pPr>
    <w:rPr>
      <w:rFonts w:eastAsia="黑体"/>
    </w:rPr>
  </w:style>
  <w:style w:type="paragraph" w:customStyle="1" w:styleId="36">
    <w:name w:val="UserStyle_7"/>
    <w:basedOn w:val="1"/>
    <w:next w:val="1"/>
    <w:autoRedefine/>
    <w:qFormat/>
    <w:uiPriority w:val="99"/>
    <w:pPr>
      <w:tabs>
        <w:tab w:val="left" w:leader="dot" w:pos="8503"/>
      </w:tabs>
      <w:spacing w:line="317" w:lineRule="atLeast"/>
      <w:ind w:firstLine="629"/>
    </w:pPr>
  </w:style>
  <w:style w:type="paragraph" w:customStyle="1" w:styleId="37">
    <w:name w:val="UserStyle_8"/>
    <w:basedOn w:val="1"/>
    <w:next w:val="1"/>
    <w:autoRedefine/>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autoRedefine/>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autoRedefine/>
    <w:qFormat/>
    <w:uiPriority w:val="99"/>
    <w:pPr>
      <w:tabs>
        <w:tab w:val="left" w:leader="dot" w:pos="8503"/>
      </w:tabs>
      <w:spacing w:line="317" w:lineRule="atLeast"/>
      <w:ind w:firstLine="419"/>
    </w:pPr>
  </w:style>
  <w:style w:type="paragraph" w:customStyle="1" w:styleId="40">
    <w:name w:val="UserStyle_12"/>
    <w:basedOn w:val="1"/>
    <w:next w:val="1"/>
    <w:autoRedefine/>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autoRedefine/>
    <w:qFormat/>
    <w:uiPriority w:val="99"/>
    <w:pPr>
      <w:spacing w:line="240" w:lineRule="auto"/>
      <w:textAlignment w:val="auto"/>
    </w:pPr>
    <w:rPr>
      <w:sz w:val="32"/>
      <w:szCs w:val="32"/>
    </w:rPr>
  </w:style>
  <w:style w:type="paragraph" w:customStyle="1" w:styleId="42">
    <w:name w:val="UserStyle_14"/>
    <w:basedOn w:val="1"/>
    <w:autoRedefine/>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autoRedefine/>
    <w:qFormat/>
    <w:uiPriority w:val="99"/>
    <w:pPr>
      <w:tabs>
        <w:tab w:val="left" w:leader="dot" w:pos="8503"/>
      </w:tabs>
      <w:spacing w:line="317" w:lineRule="atLeast"/>
      <w:ind w:firstLine="209"/>
    </w:pPr>
  </w:style>
  <w:style w:type="paragraph" w:customStyle="1" w:styleId="44">
    <w:name w:val="UserStyle_17"/>
    <w:basedOn w:val="1"/>
    <w:autoRedefine/>
    <w:qFormat/>
    <w:uiPriority w:val="99"/>
    <w:pPr>
      <w:spacing w:line="480" w:lineRule="exact"/>
      <w:ind w:firstLine="420" w:firstLineChars="200"/>
      <w:textAlignment w:val="auto"/>
    </w:pPr>
    <w:rPr>
      <w:kern w:val="2"/>
      <w:sz w:val="24"/>
      <w:szCs w:val="24"/>
    </w:rPr>
  </w:style>
  <w:style w:type="table" w:customStyle="1" w:styleId="45">
    <w:name w:val="TableGrid"/>
    <w:basedOn w:val="26"/>
    <w:autoRedefine/>
    <w:qFormat/>
    <w:uiPriority w:val="99"/>
    <w:tblPr>
      <w:tblCellMar>
        <w:top w:w="0" w:type="dxa"/>
        <w:left w:w="0" w:type="dxa"/>
        <w:bottom w:w="0" w:type="dxa"/>
        <w:right w:w="0" w:type="dxa"/>
      </w:tblCellMar>
    </w:tblPr>
  </w:style>
  <w:style w:type="paragraph" w:customStyle="1" w:styleId="46">
    <w:name w:val="BodyTextIndent"/>
    <w:basedOn w:val="1"/>
    <w:autoRedefine/>
    <w:qFormat/>
    <w:uiPriority w:val="99"/>
    <w:pPr>
      <w:spacing w:after="120"/>
      <w:ind w:left="420" w:leftChars="200"/>
    </w:pPr>
  </w:style>
  <w:style w:type="paragraph" w:customStyle="1" w:styleId="47">
    <w:name w:val="BodyText1I2"/>
    <w:basedOn w:val="46"/>
    <w:autoRedefine/>
    <w:qFormat/>
    <w:uiPriority w:val="99"/>
    <w:pPr>
      <w:ind w:firstLine="420" w:firstLineChars="200"/>
    </w:pPr>
  </w:style>
  <w:style w:type="paragraph" w:customStyle="1" w:styleId="48">
    <w:name w:val="ZSZW-正文"/>
    <w:basedOn w:val="1"/>
    <w:autoRedefine/>
    <w:qFormat/>
    <w:uiPriority w:val="0"/>
    <w:pPr>
      <w:adjustRightInd w:val="0"/>
      <w:snapToGrid w:val="0"/>
      <w:spacing w:line="360" w:lineRule="auto"/>
      <w:ind w:firstLine="200" w:firstLineChars="200"/>
    </w:pPr>
    <w:rPr>
      <w:color w:val="000000"/>
      <w:kern w:val="0"/>
      <w:sz w:val="24"/>
    </w:rPr>
  </w:style>
  <w:style w:type="paragraph" w:customStyle="1" w:styleId="49">
    <w:name w:val="Table Paragraph"/>
    <w:basedOn w:val="1"/>
    <w:autoRedefine/>
    <w:qFormat/>
    <w:uiPriority w:val="1"/>
  </w:style>
  <w:style w:type="paragraph" w:customStyle="1" w:styleId="50">
    <w:name w:val="图表"/>
    <w:basedOn w:val="4"/>
    <w:autoRedefine/>
    <w:qFormat/>
    <w:uiPriority w:val="0"/>
    <w:pPr>
      <w:widowControl/>
      <w:autoSpaceDE w:val="0"/>
      <w:autoSpaceDN w:val="0"/>
      <w:adjustRightInd w:val="0"/>
      <w:snapToGrid w:val="0"/>
      <w:spacing w:after="0" w:line="360" w:lineRule="auto"/>
      <w:ind w:left="0" w:leftChars="0"/>
      <w:jc w:val="center"/>
    </w:pPr>
    <w:rPr>
      <w:b/>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1840</Words>
  <Characters>2002</Characters>
  <Lines>10</Lines>
  <Paragraphs>3</Paragraphs>
  <TotalTime>0</TotalTime>
  <ScaleCrop>false</ScaleCrop>
  <LinksUpToDate>false</LinksUpToDate>
  <CharactersWithSpaces>2084</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2024-02-19T07:30:00Z</cp:lastPrinted>
  <dcterms:modified xsi:type="dcterms:W3CDTF">2024-02-19T08:03:26Z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4B223CA2B5B24F0BBC3925F45DAE3489</vt:lpwstr>
  </property>
</Properties>
</file>