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6"/>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8</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鄂尔多斯市能都科技有限公司</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Times New Roman"/>
          <w:b/>
          <w:bCs w:val="0"/>
          <w:color w:val="auto"/>
          <w:sz w:val="44"/>
          <w:szCs w:val="44"/>
        </w:rPr>
        <w:t>30万吨型煤建设项目</w:t>
      </w:r>
      <w:r>
        <w:rPr>
          <w:rStyle w:val="17"/>
          <w:rFonts w:hint="eastAsia" w:ascii="宋体" w:hAnsi="宋体" w:eastAsia="宋体" w:cs="宋体"/>
          <w:b/>
          <w:bCs w:val="0"/>
          <w:color w:val="auto"/>
          <w:sz w:val="44"/>
          <w:szCs w:val="44"/>
        </w:rPr>
        <w:t>环境</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rPr>
        <w:t>鄂尔多斯市能都科技有限公司</w:t>
      </w:r>
      <w:r>
        <w:rPr>
          <w:rStyle w:val="17"/>
          <w:rFonts w:hint="eastAsia" w:ascii="仿宋" w:hAnsi="仿宋" w:eastAsia="仿宋"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w:t>
      </w:r>
      <w:r>
        <w:rPr>
          <w:rStyle w:val="17"/>
          <w:rFonts w:hint="eastAsia" w:ascii="仿宋" w:hAnsi="仿宋" w:eastAsia="仿宋" w:cs="Times New Roman"/>
          <w:sz w:val="32"/>
          <w:szCs w:val="32"/>
        </w:rPr>
        <w:t>由</w:t>
      </w:r>
      <w:r>
        <w:rPr>
          <w:rStyle w:val="17"/>
          <w:rFonts w:hint="eastAsia" w:ascii="仿宋" w:hAnsi="仿宋" w:eastAsia="仿宋" w:cs="Times New Roman"/>
          <w:sz w:val="32"/>
          <w:szCs w:val="32"/>
          <w:lang w:val="en-US" w:eastAsia="zh-CN"/>
        </w:rPr>
        <w:t>内蒙古乐洁绿色生态环境科技有限公司编</w:t>
      </w:r>
      <w:r>
        <w:rPr>
          <w:rStyle w:val="17"/>
          <w:rFonts w:hint="eastAsia" w:ascii="仿宋" w:hAnsi="仿宋" w:eastAsia="仿宋" w:cs="Times New Roman"/>
          <w:sz w:val="32"/>
          <w:szCs w:val="32"/>
        </w:rPr>
        <w:t>制</w:t>
      </w:r>
      <w:r>
        <w:rPr>
          <w:rStyle w:val="17"/>
          <w:rFonts w:hint="eastAsia" w:ascii="仿宋" w:hAnsi="仿宋" w:eastAsia="仿宋"/>
          <w:sz w:val="32"/>
          <w:szCs w:val="32"/>
        </w:rPr>
        <w:t>的《</w:t>
      </w:r>
      <w:r>
        <w:rPr>
          <w:rStyle w:val="17"/>
          <w:rFonts w:hint="eastAsia" w:ascii="仿宋" w:hAnsi="仿宋" w:eastAsia="仿宋" w:cs="Times New Roman"/>
          <w:sz w:val="32"/>
          <w:szCs w:val="32"/>
        </w:rPr>
        <w:t>鄂尔多斯市能都科技有限公司30万吨型煤建设项目环境影</w:t>
      </w:r>
      <w:r>
        <w:rPr>
          <w:rStyle w:val="17"/>
          <w:rFonts w:hint="eastAsia" w:ascii="仿宋" w:hAnsi="仿宋" w:eastAsia="仿宋"/>
          <w:sz w:val="32"/>
          <w:szCs w:val="32"/>
        </w:rPr>
        <w:t>响报告表》（以下简称《报告表》）已收悉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lang w:val="en-US" w:eastAsia="zh-CN"/>
        </w:rPr>
        <w:t>经组织专家评审，集体研究，形成如下审批意见：</w:t>
      </w:r>
    </w:p>
    <w:p>
      <w:pPr>
        <w:pStyle w:val="8"/>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Style w:val="17"/>
          <w:rFonts w:hint="eastAsia" w:ascii="仿宋" w:hAnsi="仿宋" w:eastAsia="仿宋" w:cs="Times New Roman"/>
          <w:sz w:val="32"/>
          <w:szCs w:val="32"/>
          <w:lang w:val="en-US" w:eastAsia="zh-CN"/>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该项目属于新建项目</w:t>
      </w:r>
      <w:r>
        <w:rPr>
          <w:rStyle w:val="17"/>
          <w:rFonts w:hint="eastAsia" w:ascii="仿宋" w:hAnsi="仿宋" w:eastAsia="仿宋" w:cs="Times New Roman"/>
          <w:sz w:val="32"/>
          <w:szCs w:val="32"/>
        </w:rPr>
        <w:t>，位于东胜区铜川镇麻黄湾建材园区</w:t>
      </w:r>
      <w:r>
        <w:rPr>
          <w:rStyle w:val="17"/>
          <w:rFonts w:hint="eastAsia" w:ascii="仿宋" w:hAnsi="仿宋" w:eastAsia="仿宋" w:cs="Times New Roman"/>
          <w:sz w:val="32"/>
          <w:szCs w:val="32"/>
          <w:lang w:val="en-US" w:eastAsia="zh-CN"/>
        </w:rPr>
        <w:t>。项目总</w:t>
      </w:r>
      <w:r>
        <w:rPr>
          <w:rStyle w:val="17"/>
          <w:rFonts w:hint="eastAsia" w:ascii="仿宋" w:hAnsi="仿宋" w:eastAsia="仿宋" w:cs="Times New Roman"/>
          <w:sz w:val="32"/>
          <w:szCs w:val="32"/>
          <w:lang w:eastAsia="zh-CN"/>
        </w:rPr>
        <w:t>占地面积</w:t>
      </w:r>
      <w:r>
        <w:rPr>
          <w:rStyle w:val="17"/>
          <w:rFonts w:hint="eastAsia" w:ascii="仿宋" w:hAnsi="仿宋" w:eastAsia="仿宋" w:cs="Times New Roman"/>
          <w:sz w:val="32"/>
          <w:szCs w:val="32"/>
          <w:lang w:val="en-US" w:eastAsia="zh-CN"/>
        </w:rPr>
        <w:t>28666.67</w:t>
      </w:r>
      <w:r>
        <w:rPr>
          <w:rStyle w:val="17"/>
          <w:rFonts w:hint="eastAsia" w:ascii="仿宋" w:hAnsi="仿宋" w:eastAsia="仿宋" w:cs="Times New Roman"/>
          <w:sz w:val="32"/>
          <w:szCs w:val="32"/>
          <w:lang w:eastAsia="zh-CN"/>
        </w:rPr>
        <w:t>平方米，</w:t>
      </w:r>
      <w:r>
        <w:rPr>
          <w:rStyle w:val="17"/>
          <w:rFonts w:hint="default" w:ascii="仿宋" w:hAnsi="仿宋" w:eastAsia="仿宋" w:cs="Times New Roman"/>
          <w:sz w:val="32"/>
          <w:szCs w:val="32"/>
        </w:rPr>
        <w:t>总投资</w:t>
      </w:r>
      <w:r>
        <w:rPr>
          <w:rStyle w:val="17"/>
          <w:rFonts w:hint="eastAsia" w:ascii="仿宋" w:hAnsi="仿宋" w:eastAsia="仿宋" w:cs="Times New Roman"/>
          <w:sz w:val="32"/>
          <w:szCs w:val="32"/>
          <w:lang w:val="en-US" w:eastAsia="zh-CN"/>
        </w:rPr>
        <w:t>450</w:t>
      </w:r>
      <w:r>
        <w:rPr>
          <w:rStyle w:val="17"/>
          <w:rFonts w:hint="eastAsia" w:ascii="仿宋" w:hAnsi="仿宋" w:eastAsia="仿宋"/>
          <w:sz w:val="32"/>
          <w:szCs w:val="32"/>
          <w:lang w:val="en-US" w:eastAsia="zh-CN"/>
        </w:rPr>
        <w:t>万</w:t>
      </w:r>
      <w:r>
        <w:rPr>
          <w:rStyle w:val="17"/>
          <w:rFonts w:hint="default" w:ascii="仿宋" w:hAnsi="仿宋" w:eastAsia="仿宋"/>
          <w:sz w:val="32"/>
          <w:szCs w:val="32"/>
        </w:rPr>
        <w:t>元，</w:t>
      </w:r>
      <w:r>
        <w:rPr>
          <w:rStyle w:val="17"/>
          <w:rFonts w:hint="eastAsia" w:ascii="仿宋" w:hAnsi="仿宋" w:eastAsia="仿宋"/>
          <w:sz w:val="32"/>
          <w:szCs w:val="32"/>
          <w:lang w:eastAsia="zh-CN"/>
        </w:rPr>
        <w:t>其中</w:t>
      </w:r>
      <w:r>
        <w:rPr>
          <w:rStyle w:val="17"/>
          <w:rFonts w:hint="default" w:ascii="仿宋" w:hAnsi="仿宋" w:eastAsia="仿宋"/>
          <w:sz w:val="32"/>
          <w:szCs w:val="32"/>
        </w:rPr>
        <w:t>环保投资</w:t>
      </w:r>
      <w:r>
        <w:rPr>
          <w:rStyle w:val="17"/>
          <w:rFonts w:hint="eastAsia" w:ascii="仿宋" w:hAnsi="仿宋" w:eastAsia="仿宋"/>
          <w:sz w:val="32"/>
          <w:szCs w:val="32"/>
          <w:lang w:val="en-US" w:eastAsia="zh-CN"/>
        </w:rPr>
        <w:t>54.2万元</w:t>
      </w:r>
      <w:r>
        <w:rPr>
          <w:rStyle w:val="17"/>
          <w:rFonts w:hint="eastAsia" w:ascii="仿宋" w:hAnsi="仿宋" w:eastAsia="仿宋"/>
          <w:sz w:val="32"/>
          <w:szCs w:val="32"/>
        </w:rPr>
        <w:t>。</w:t>
      </w:r>
      <w:r>
        <w:rPr>
          <w:rStyle w:val="17"/>
          <w:rFonts w:hint="eastAsia" w:ascii="仿宋" w:hAnsi="仿宋" w:eastAsia="仿宋"/>
          <w:sz w:val="32"/>
          <w:szCs w:val="32"/>
          <w:lang w:eastAsia="zh-CN"/>
        </w:rPr>
        <w:t>主要建设内容及规模：</w:t>
      </w:r>
      <w:r>
        <w:rPr>
          <w:rStyle w:val="17"/>
          <w:rFonts w:hint="eastAsia" w:ascii="仿宋" w:hAnsi="仿宋" w:eastAsia="仿宋" w:cs="Times New Roman"/>
          <w:sz w:val="32"/>
          <w:szCs w:val="32"/>
          <w:lang w:val="en-US" w:eastAsia="zh-CN"/>
        </w:rPr>
        <w:t>本项目租用内蒙古星茹混凝土有限公司</w:t>
      </w:r>
      <w:r>
        <w:rPr>
          <w:rStyle w:val="17"/>
          <w:rFonts w:hint="eastAsia" w:ascii="仿宋" w:hAnsi="仿宋" w:eastAsia="仿宋"/>
          <w:sz w:val="32"/>
          <w:szCs w:val="32"/>
          <w:lang w:val="en-US" w:eastAsia="zh-CN"/>
        </w:rPr>
        <w:t>现有厂区，</w:t>
      </w:r>
      <w:r>
        <w:rPr>
          <w:rStyle w:val="17"/>
          <w:rFonts w:hint="eastAsia" w:ascii="仿宋" w:hAnsi="仿宋" w:eastAsia="仿宋"/>
          <w:sz w:val="32"/>
          <w:szCs w:val="32"/>
          <w:highlight w:val="none"/>
          <w:lang w:val="en-US" w:eastAsia="zh-CN"/>
        </w:rPr>
        <w:t>依托</w:t>
      </w:r>
      <w:r>
        <w:rPr>
          <w:rStyle w:val="17"/>
          <w:rFonts w:hint="eastAsia" w:ascii="仿宋" w:hAnsi="仿宋" w:eastAsia="仿宋" w:cs="Times New Roman"/>
          <w:sz w:val="32"/>
          <w:szCs w:val="32"/>
          <w:lang w:val="en-US" w:eastAsia="zh-CN"/>
        </w:rPr>
        <w:t>15600</w:t>
      </w:r>
      <w:r>
        <w:rPr>
          <w:rStyle w:val="17"/>
          <w:rFonts w:hint="eastAsia" w:ascii="仿宋" w:hAnsi="仿宋" w:eastAsia="仿宋"/>
          <w:sz w:val="32"/>
          <w:szCs w:val="32"/>
          <w:lang w:val="en-US" w:eastAsia="zh-CN"/>
        </w:rPr>
        <w:t>平方米</w:t>
      </w:r>
      <w:r>
        <w:rPr>
          <w:rStyle w:val="17"/>
          <w:rFonts w:hint="default" w:ascii="仿宋" w:hAnsi="仿宋" w:eastAsia="仿宋"/>
          <w:sz w:val="32"/>
          <w:szCs w:val="32"/>
          <w:lang w:val="en-US" w:eastAsia="zh-CN"/>
        </w:rPr>
        <w:t>全封闭</w:t>
      </w:r>
      <w:r>
        <w:rPr>
          <w:rStyle w:val="17"/>
          <w:rFonts w:hint="eastAsia" w:ascii="仿宋" w:hAnsi="仿宋" w:eastAsia="仿宋"/>
          <w:sz w:val="32"/>
          <w:szCs w:val="32"/>
          <w:lang w:val="en-US" w:eastAsia="zh-CN"/>
        </w:rPr>
        <w:t>厂房建设1条型</w:t>
      </w:r>
      <w:r>
        <w:rPr>
          <w:rStyle w:val="17"/>
          <w:rFonts w:hint="eastAsia" w:ascii="仿宋" w:hAnsi="仿宋" w:eastAsia="仿宋" w:cs="Times New Roman"/>
          <w:sz w:val="32"/>
          <w:szCs w:val="32"/>
          <w:lang w:val="en-US" w:eastAsia="zh-CN"/>
        </w:rPr>
        <w:t>煤生产线，建设2台1t/h生物质锅炉和1台1t/h生物质蒸汽锅炉,新建1座10</w:t>
      </w:r>
      <w:r>
        <w:rPr>
          <w:rStyle w:val="17"/>
          <w:rFonts w:hint="eastAsia" w:ascii="仿宋" w:hAnsi="仿宋" w:eastAsia="仿宋" w:cs="Times New Roman"/>
          <w:sz w:val="32"/>
          <w:szCs w:val="32"/>
          <w:lang w:eastAsia="zh-CN"/>
        </w:rPr>
        <w:t>平方米</w:t>
      </w:r>
      <w:r>
        <w:rPr>
          <w:rStyle w:val="17"/>
          <w:rFonts w:hint="eastAsia" w:ascii="仿宋" w:hAnsi="仿宋" w:eastAsia="仿宋" w:cs="Times New Roman"/>
          <w:sz w:val="32"/>
          <w:szCs w:val="32"/>
          <w:lang w:val="en-US" w:eastAsia="zh-CN"/>
        </w:rPr>
        <w:t>危险废物暂存库，并配套建设公辅工程、储运工程及环保工程等。项目建成后年产型煤30万吨。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default" w:ascii="仿宋" w:hAnsi="仿宋" w:eastAsia="仿宋"/>
          <w:color w:val="auto"/>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7"/>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7"/>
          <w:rFonts w:hint="eastAsia" w:ascii="仿宋" w:hAnsi="仿宋" w:eastAsia="仿宋"/>
          <w:sz w:val="32"/>
          <w:szCs w:val="32"/>
        </w:rPr>
        <w:t>加强施工期环境管理，配备足够的洒水车、篷布等防尘设备，有效控制施工期挖土、物料装卸、物料运输过程中产生的扬尘污染。施工</w:t>
      </w:r>
      <w:r>
        <w:rPr>
          <w:rFonts w:ascii="仿宋" w:hAnsi="仿宋" w:eastAsia="仿宋" w:cs="仿宋"/>
          <w:color w:val="auto"/>
          <w:sz w:val="32"/>
          <w:szCs w:val="32"/>
        </w:rPr>
        <w:t>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2、施工人员生活污水经</w:t>
      </w:r>
      <w:r>
        <w:rPr>
          <w:rFonts w:hint="eastAsia" w:ascii="仿宋" w:hAnsi="仿宋" w:eastAsia="仿宋" w:cs="仿宋"/>
          <w:color w:val="auto"/>
          <w:sz w:val="32"/>
          <w:szCs w:val="32"/>
        </w:rPr>
        <w:t>化粪池沉淀</w:t>
      </w:r>
      <w:r>
        <w:rPr>
          <w:rFonts w:hint="eastAsia" w:ascii="仿宋" w:hAnsi="仿宋" w:eastAsia="仿宋" w:cs="仿宋"/>
          <w:color w:val="auto"/>
          <w:sz w:val="32"/>
          <w:szCs w:val="32"/>
          <w:lang w:val="en-US" w:eastAsia="zh-CN"/>
        </w:rPr>
        <w:t>后拉运处理。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widowControl w:val="0"/>
        <w:spacing w:line="360" w:lineRule="auto"/>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sz w:val="32"/>
          <w:szCs w:val="32"/>
          <w:lang w:val="en-US" w:eastAsia="zh-CN"/>
        </w:rPr>
        <w:t>运营期</w:t>
      </w:r>
      <w:r>
        <w:rPr>
          <w:rFonts w:hint="eastAsia" w:ascii="仿宋" w:hAnsi="仿宋" w:eastAsia="仿宋" w:cs="仿宋"/>
          <w:color w:val="auto"/>
          <w:sz w:val="32"/>
          <w:szCs w:val="32"/>
          <w:lang w:val="en-US" w:eastAsia="zh-CN"/>
        </w:rPr>
        <w:t>物</w:t>
      </w:r>
      <w:r>
        <w:rPr>
          <w:rFonts w:hint="default" w:ascii="仿宋" w:hAnsi="仿宋" w:eastAsia="仿宋" w:cs="仿宋"/>
          <w:color w:val="auto"/>
          <w:sz w:val="32"/>
          <w:szCs w:val="32"/>
          <w:lang w:val="en-US" w:eastAsia="zh-CN"/>
        </w:rPr>
        <w:t>料储存、装卸、输送、生产过程全封闭</w:t>
      </w:r>
      <w:r>
        <w:rPr>
          <w:rFonts w:hint="eastAsia" w:ascii="仿宋" w:hAnsi="仿宋" w:eastAsia="仿宋" w:cs="仿宋"/>
          <w:color w:val="auto"/>
          <w:sz w:val="32"/>
          <w:szCs w:val="32"/>
          <w:lang w:val="en-US" w:eastAsia="zh-CN"/>
        </w:rPr>
        <w:t>。生物质热风炉烘干原料废气和烘干型煤废气经各自布袋除尘器处理后分别由15米高排气筒排放。颗粒物排放执行《工业炉窑大气污染物排放标准》（GB9078-1996）表2中非金属热处理炉二级标准，二氧化硫排放执行《工业炉窑大气污染物排放标准》（GB9078-1996）表4中新改扩建工业炉窑中燃煤（油）炉窑二级标准，氮氧化物参照执行《大气污染物综合排放标准》（GB16297-1996）表2中二级标准。破碎粉尘经收集处理后由1根15米高排气筒排放，执行</w:t>
      </w:r>
      <w:r>
        <w:rPr>
          <w:rFonts w:hint="default" w:ascii="仿宋" w:hAnsi="仿宋" w:eastAsia="仿宋" w:cs="仿宋"/>
          <w:color w:val="auto"/>
          <w:sz w:val="32"/>
          <w:szCs w:val="32"/>
          <w:lang w:val="en-US" w:eastAsia="zh-CN"/>
        </w:rPr>
        <w:t>《煤炭工业污染物排放标准》（GB20426-2006）表4煤炭工业</w:t>
      </w:r>
      <w:bookmarkStart w:id="0" w:name="_GoBack"/>
      <w:bookmarkEnd w:id="0"/>
      <w:r>
        <w:rPr>
          <w:rFonts w:hint="default" w:ascii="仿宋" w:hAnsi="仿宋" w:eastAsia="仿宋" w:cs="仿宋"/>
          <w:color w:val="auto"/>
          <w:sz w:val="32"/>
          <w:szCs w:val="32"/>
          <w:lang w:val="en-US" w:eastAsia="zh-CN"/>
        </w:rPr>
        <w:t>大气污染物排放限值要求</w:t>
      </w:r>
      <w:r>
        <w:rPr>
          <w:rFonts w:hint="eastAsia" w:ascii="仿宋" w:hAnsi="仿宋" w:eastAsia="仿宋" w:cs="仿宋"/>
          <w:color w:val="auto"/>
          <w:sz w:val="32"/>
          <w:szCs w:val="32"/>
          <w:lang w:val="en-US" w:eastAsia="zh-CN"/>
        </w:rPr>
        <w:t>。生物质蒸汽锅炉废气经收集处理后由1根15米高排气筒排放，执行</w:t>
      </w:r>
      <w:r>
        <w:rPr>
          <w:rFonts w:hint="default" w:ascii="仿宋" w:hAnsi="仿宋" w:eastAsia="仿宋" w:cs="仿宋"/>
          <w:color w:val="auto"/>
          <w:sz w:val="32"/>
          <w:szCs w:val="32"/>
          <w:lang w:val="en-US" w:eastAsia="zh-CN"/>
        </w:rPr>
        <w:t>《锅炉大气污染物排放标准》（GB13271-2014</w:t>
      </w:r>
      <w:r>
        <w:rPr>
          <w:rFonts w:hint="default" w:ascii="仿宋" w:hAnsi="仿宋" w:eastAsia="仿宋" w:cs="仿宋"/>
          <w:color w:val="auto"/>
          <w:sz w:val="32"/>
          <w:szCs w:val="32"/>
          <w:lang w:eastAsia="zh-CN"/>
        </w:rPr>
        <w:t>）</w:t>
      </w:r>
      <w:r>
        <w:rPr>
          <w:rFonts w:hint="eastAsia" w:ascii="仿宋" w:hAnsi="仿宋" w:eastAsia="仿宋" w:cs="仿宋"/>
          <w:color w:val="auto"/>
          <w:sz w:val="32"/>
          <w:szCs w:val="32"/>
          <w:lang w:eastAsia="zh-CN"/>
        </w:rPr>
        <w:t>表</w:t>
      </w:r>
      <w:r>
        <w:rPr>
          <w:rFonts w:hint="eastAsia" w:ascii="仿宋" w:hAnsi="仿宋" w:eastAsia="仿宋" w:cs="仿宋"/>
          <w:color w:val="auto"/>
          <w:sz w:val="32"/>
          <w:szCs w:val="32"/>
          <w:lang w:val="en-US" w:eastAsia="zh-CN"/>
        </w:rPr>
        <w:t>2</w:t>
      </w:r>
      <w:r>
        <w:rPr>
          <w:rFonts w:hint="default" w:ascii="仿宋" w:hAnsi="仿宋" w:eastAsia="仿宋" w:cs="仿宋"/>
          <w:color w:val="auto"/>
          <w:sz w:val="32"/>
          <w:szCs w:val="32"/>
          <w:lang w:eastAsia="zh-CN"/>
        </w:rPr>
        <w:t>新建锅炉大气污染物排放</w:t>
      </w:r>
      <w:r>
        <w:rPr>
          <w:rFonts w:hint="eastAsia" w:ascii="仿宋" w:hAnsi="仿宋" w:eastAsia="仿宋" w:cs="仿宋"/>
          <w:color w:val="auto"/>
          <w:sz w:val="32"/>
          <w:szCs w:val="32"/>
          <w:lang w:eastAsia="zh-CN"/>
        </w:rPr>
        <w:t>浓度</w:t>
      </w:r>
      <w:r>
        <w:rPr>
          <w:rFonts w:hint="default" w:ascii="仿宋" w:hAnsi="仿宋" w:eastAsia="仿宋" w:cs="仿宋"/>
          <w:color w:val="auto"/>
          <w:sz w:val="32"/>
          <w:szCs w:val="32"/>
          <w:lang w:eastAsia="zh-CN"/>
        </w:rPr>
        <w:t>限值</w:t>
      </w:r>
      <w:r>
        <w:rPr>
          <w:rFonts w:hint="eastAsia" w:ascii="仿宋" w:hAnsi="仿宋" w:eastAsia="仿宋" w:cs="仿宋"/>
          <w:color w:val="auto"/>
          <w:sz w:val="32"/>
          <w:szCs w:val="32"/>
          <w:lang w:eastAsia="zh-CN"/>
        </w:rPr>
        <w:t>中燃煤锅炉标准。</w:t>
      </w:r>
      <w:r>
        <w:rPr>
          <w:rFonts w:hint="eastAsia" w:ascii="仿宋" w:hAnsi="仿宋" w:eastAsia="仿宋" w:cs="仿宋"/>
          <w:color w:val="auto"/>
          <w:sz w:val="32"/>
          <w:szCs w:val="32"/>
        </w:rPr>
        <w:t>项目</w:t>
      </w:r>
      <w:r>
        <w:rPr>
          <w:rFonts w:ascii="仿宋" w:hAnsi="仿宋" w:eastAsia="仿宋" w:cs="仿宋"/>
          <w:color w:val="auto"/>
          <w:sz w:val="32"/>
          <w:szCs w:val="32"/>
        </w:rPr>
        <w:t>无组织粉尘</w:t>
      </w:r>
      <w:r>
        <w:rPr>
          <w:rFonts w:hint="eastAsia" w:ascii="仿宋" w:hAnsi="仿宋" w:eastAsia="仿宋" w:cs="仿宋"/>
          <w:color w:val="auto"/>
          <w:sz w:val="32"/>
          <w:szCs w:val="32"/>
        </w:rPr>
        <w:t>排放</w:t>
      </w:r>
      <w:r>
        <w:rPr>
          <w:rFonts w:ascii="仿宋" w:hAnsi="仿宋" w:eastAsia="仿宋" w:cs="仿宋"/>
          <w:color w:val="auto"/>
          <w:sz w:val="32"/>
          <w:szCs w:val="32"/>
        </w:rPr>
        <w:t>执行《煤炭工业污染物排放标准》（GB20426-2006）表5煤炭工业无组织排放限值</w:t>
      </w:r>
      <w:r>
        <w:rPr>
          <w:rFonts w:hint="eastAsia" w:ascii="仿宋" w:hAnsi="仿宋" w:eastAsia="仿宋" w:cs="仿宋"/>
          <w:color w:val="auto"/>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color w:val="auto"/>
          <w:sz w:val="32"/>
          <w:szCs w:val="32"/>
        </w:rPr>
      </w:pP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Style w:val="17"/>
          <w:rFonts w:hint="default" w:ascii="仿宋" w:hAnsi="仿宋" w:eastAsia="仿宋" w:cs="Times New Roman"/>
          <w:color w:val="auto"/>
          <w:sz w:val="32"/>
          <w:szCs w:val="32"/>
          <w:lang w:val="en-US" w:eastAsia="zh-CN"/>
        </w:rPr>
        <w:t>期</w:t>
      </w:r>
      <w:r>
        <w:rPr>
          <w:rStyle w:val="17"/>
          <w:rFonts w:hint="eastAsia" w:ascii="仿宋" w:hAnsi="仿宋" w:eastAsia="仿宋" w:cs="Times New Roman"/>
          <w:color w:val="auto"/>
          <w:sz w:val="32"/>
          <w:szCs w:val="32"/>
          <w:lang w:val="en-US" w:eastAsia="zh-CN"/>
        </w:rPr>
        <w:t>不产生生产废水。</w:t>
      </w:r>
      <w:r>
        <w:rPr>
          <w:rStyle w:val="17"/>
          <w:rFonts w:hint="default" w:ascii="仿宋" w:hAnsi="仿宋" w:eastAsia="仿宋" w:cs="Times New Roman"/>
          <w:color w:val="auto"/>
          <w:sz w:val="32"/>
          <w:szCs w:val="32"/>
          <w:lang w:val="en-US" w:eastAsia="zh-CN"/>
        </w:rPr>
        <w:t>生活污水经化粪池</w:t>
      </w:r>
      <w:r>
        <w:rPr>
          <w:rStyle w:val="17"/>
          <w:rFonts w:hint="eastAsia" w:ascii="仿宋" w:hAnsi="仿宋" w:eastAsia="仿宋" w:cs="Times New Roman"/>
          <w:color w:val="auto"/>
          <w:sz w:val="32"/>
          <w:szCs w:val="32"/>
          <w:lang w:val="en-US" w:eastAsia="zh-CN"/>
        </w:rPr>
        <w:t>沉淀</w:t>
      </w:r>
      <w:r>
        <w:rPr>
          <w:rStyle w:val="17"/>
          <w:rFonts w:hint="default" w:ascii="仿宋" w:hAnsi="仿宋" w:eastAsia="仿宋" w:cs="Times New Roman"/>
          <w:color w:val="auto"/>
          <w:sz w:val="32"/>
          <w:szCs w:val="32"/>
          <w:lang w:val="en-US" w:eastAsia="zh-CN"/>
        </w:rPr>
        <w:t>后</w:t>
      </w:r>
      <w:r>
        <w:rPr>
          <w:rStyle w:val="17"/>
          <w:rFonts w:hint="eastAsia" w:ascii="仿宋" w:hAnsi="仿宋" w:eastAsia="仿宋" w:cs="Times New Roman"/>
          <w:color w:val="auto"/>
          <w:sz w:val="32"/>
          <w:szCs w:val="32"/>
          <w:lang w:val="en-US" w:eastAsia="zh-CN"/>
        </w:rPr>
        <w:t>拉运</w:t>
      </w:r>
      <w:r>
        <w:rPr>
          <w:rStyle w:val="17"/>
          <w:rFonts w:hint="eastAsia" w:ascii="仿宋" w:hAnsi="仿宋" w:eastAsia="仿宋" w:cs="Times New Roman"/>
          <w:color w:val="auto"/>
          <w:sz w:val="32"/>
          <w:szCs w:val="32"/>
        </w:rPr>
        <w:t>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7"/>
          <w:rFonts w:hint="eastAsia" w:ascii="仿宋" w:hAnsi="仿宋" w:eastAsia="仿宋"/>
          <w:color w:val="auto"/>
          <w:sz w:val="32"/>
          <w:szCs w:val="32"/>
          <w:lang w:val="en-US" w:eastAsia="zh-CN"/>
        </w:rPr>
        <w:t>5、地面须按相关要求做好防渗措施，确保不会对地下水造成影响。</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本项目申请二氧化硫和氮氧化物总量分别为1.88吨/年和5.89吨/年（鄂环气字〔2023〕100号）。</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7"/>
          <w:rFonts w:hint="eastAsia" w:ascii="仿宋" w:hAnsi="仿宋" w:eastAsia="仿宋" w:cs="Times New Roman"/>
          <w:color w:val="auto"/>
          <w:sz w:val="32"/>
          <w:szCs w:val="32"/>
          <w:lang w:eastAsia="zh-CN"/>
        </w:rPr>
        <w:t>。</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pPr>
        <w:pStyle w:val="3"/>
        <w:jc w:val="both"/>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2"/>
        <w:rPr>
          <w:rFonts w:hint="eastAsia"/>
          <w:lang w:val="en-US" w:eastAsia="zh-CN"/>
        </w:rPr>
      </w:pPr>
    </w:p>
    <w:p>
      <w:pPr>
        <w:pStyle w:val="3"/>
        <w:rPr>
          <w:rFonts w:hint="eastAsia"/>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2</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2</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5</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9D5CD8"/>
    <w:multiLevelType w:val="singleLevel"/>
    <w:tmpl w:val="F39D5CD8"/>
    <w:lvl w:ilvl="0" w:tentative="0">
      <w:start w:val="2"/>
      <w:numFmt w:val="decimal"/>
      <w:suff w:val="nothing"/>
      <w:lvlText w:val="%1、"/>
      <w:lvlJc w:val="left"/>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EE4E98"/>
    <w:rsid w:val="00F5710E"/>
    <w:rsid w:val="00F634D8"/>
    <w:rsid w:val="00F7548A"/>
    <w:rsid w:val="00FA618D"/>
    <w:rsid w:val="01210341"/>
    <w:rsid w:val="01AC556B"/>
    <w:rsid w:val="01C506B1"/>
    <w:rsid w:val="023F0464"/>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057A5A"/>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91C3C"/>
    <w:rsid w:val="0A3D33B0"/>
    <w:rsid w:val="0A567C82"/>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780CCE"/>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CB77DB"/>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2F40DF6"/>
    <w:rsid w:val="13464D5E"/>
    <w:rsid w:val="1398649C"/>
    <w:rsid w:val="139A0B1F"/>
    <w:rsid w:val="13C532EF"/>
    <w:rsid w:val="144C07C7"/>
    <w:rsid w:val="1562595D"/>
    <w:rsid w:val="15652C35"/>
    <w:rsid w:val="156D1455"/>
    <w:rsid w:val="15E91737"/>
    <w:rsid w:val="16015C16"/>
    <w:rsid w:val="16041455"/>
    <w:rsid w:val="165A5414"/>
    <w:rsid w:val="168C74C9"/>
    <w:rsid w:val="16D76A65"/>
    <w:rsid w:val="16FF6904"/>
    <w:rsid w:val="171F5F2F"/>
    <w:rsid w:val="1747459A"/>
    <w:rsid w:val="178F5508"/>
    <w:rsid w:val="17D90483"/>
    <w:rsid w:val="17E15C23"/>
    <w:rsid w:val="17FE0021"/>
    <w:rsid w:val="181C5F12"/>
    <w:rsid w:val="18207E93"/>
    <w:rsid w:val="188A5136"/>
    <w:rsid w:val="18A230A3"/>
    <w:rsid w:val="18A37FC9"/>
    <w:rsid w:val="18AE27A5"/>
    <w:rsid w:val="18CC5434"/>
    <w:rsid w:val="18E54146"/>
    <w:rsid w:val="190A3122"/>
    <w:rsid w:val="1934019F"/>
    <w:rsid w:val="19473B43"/>
    <w:rsid w:val="19AC1F9C"/>
    <w:rsid w:val="19EA6791"/>
    <w:rsid w:val="19F825D9"/>
    <w:rsid w:val="1A437161"/>
    <w:rsid w:val="1A6C6995"/>
    <w:rsid w:val="1A805ECF"/>
    <w:rsid w:val="1AFA27E4"/>
    <w:rsid w:val="1BBA357C"/>
    <w:rsid w:val="1BBC5800"/>
    <w:rsid w:val="1BD42114"/>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A67191"/>
    <w:rsid w:val="1DD85EE2"/>
    <w:rsid w:val="1E164317"/>
    <w:rsid w:val="1E322AFA"/>
    <w:rsid w:val="1E39255D"/>
    <w:rsid w:val="1E565798"/>
    <w:rsid w:val="1E5B4E2F"/>
    <w:rsid w:val="1EB145A4"/>
    <w:rsid w:val="1EB26A2F"/>
    <w:rsid w:val="1ED8781E"/>
    <w:rsid w:val="1F0512C1"/>
    <w:rsid w:val="1F197ECC"/>
    <w:rsid w:val="1F7A6B27"/>
    <w:rsid w:val="1F9A03FC"/>
    <w:rsid w:val="1F9F4FD0"/>
    <w:rsid w:val="1FB13B43"/>
    <w:rsid w:val="1FFD3A90"/>
    <w:rsid w:val="203E5C2F"/>
    <w:rsid w:val="20713A86"/>
    <w:rsid w:val="20723F75"/>
    <w:rsid w:val="208732AA"/>
    <w:rsid w:val="208B0C0A"/>
    <w:rsid w:val="20915ED7"/>
    <w:rsid w:val="209F2E8C"/>
    <w:rsid w:val="20C94FCD"/>
    <w:rsid w:val="20CF0133"/>
    <w:rsid w:val="212154AC"/>
    <w:rsid w:val="21500F9E"/>
    <w:rsid w:val="217D77E0"/>
    <w:rsid w:val="21CF4F08"/>
    <w:rsid w:val="21DC075D"/>
    <w:rsid w:val="21EF70BE"/>
    <w:rsid w:val="220E66BC"/>
    <w:rsid w:val="221B45B1"/>
    <w:rsid w:val="2265588B"/>
    <w:rsid w:val="228C2292"/>
    <w:rsid w:val="22D208FA"/>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018F1"/>
    <w:rsid w:val="25F75335"/>
    <w:rsid w:val="260007C3"/>
    <w:rsid w:val="261325BB"/>
    <w:rsid w:val="267000E4"/>
    <w:rsid w:val="269E1BDF"/>
    <w:rsid w:val="26C51ED8"/>
    <w:rsid w:val="26C86AE1"/>
    <w:rsid w:val="27063174"/>
    <w:rsid w:val="272C6959"/>
    <w:rsid w:val="2745621A"/>
    <w:rsid w:val="274B306C"/>
    <w:rsid w:val="28150F91"/>
    <w:rsid w:val="288E0726"/>
    <w:rsid w:val="289A0EE5"/>
    <w:rsid w:val="28A2177B"/>
    <w:rsid w:val="28DA25CC"/>
    <w:rsid w:val="2956242B"/>
    <w:rsid w:val="29625978"/>
    <w:rsid w:val="2984482A"/>
    <w:rsid w:val="299D58EC"/>
    <w:rsid w:val="29BE7B24"/>
    <w:rsid w:val="29E76B67"/>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5C383D"/>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9B2BE5"/>
    <w:rsid w:val="32A41A78"/>
    <w:rsid w:val="32E620B2"/>
    <w:rsid w:val="33086177"/>
    <w:rsid w:val="332A6495"/>
    <w:rsid w:val="333016EF"/>
    <w:rsid w:val="33314FCC"/>
    <w:rsid w:val="334F543C"/>
    <w:rsid w:val="336D70A5"/>
    <w:rsid w:val="33A76983"/>
    <w:rsid w:val="33CD0AF4"/>
    <w:rsid w:val="343D6FC0"/>
    <w:rsid w:val="34525876"/>
    <w:rsid w:val="346C54C4"/>
    <w:rsid w:val="35352E7D"/>
    <w:rsid w:val="3587701E"/>
    <w:rsid w:val="35DE6483"/>
    <w:rsid w:val="361479B3"/>
    <w:rsid w:val="362A341F"/>
    <w:rsid w:val="36A52284"/>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3B2A2C"/>
    <w:rsid w:val="39625ABB"/>
    <w:rsid w:val="39750C1A"/>
    <w:rsid w:val="39815D3F"/>
    <w:rsid w:val="39CB16C6"/>
    <w:rsid w:val="39CE6D77"/>
    <w:rsid w:val="39CF3432"/>
    <w:rsid w:val="3A102EB3"/>
    <w:rsid w:val="3A1559AB"/>
    <w:rsid w:val="3A1716A8"/>
    <w:rsid w:val="3A2C25BF"/>
    <w:rsid w:val="3A4100A2"/>
    <w:rsid w:val="3A420ECD"/>
    <w:rsid w:val="3A5244D1"/>
    <w:rsid w:val="3AEA62F0"/>
    <w:rsid w:val="3B164E12"/>
    <w:rsid w:val="3B433FA0"/>
    <w:rsid w:val="3B7405F8"/>
    <w:rsid w:val="3B8024AE"/>
    <w:rsid w:val="3BCA2CB8"/>
    <w:rsid w:val="3C074E47"/>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4D59F2"/>
    <w:rsid w:val="41C31E09"/>
    <w:rsid w:val="41D47B54"/>
    <w:rsid w:val="42096DA4"/>
    <w:rsid w:val="422C3859"/>
    <w:rsid w:val="42427E61"/>
    <w:rsid w:val="42571ED3"/>
    <w:rsid w:val="425F778B"/>
    <w:rsid w:val="42A12AD7"/>
    <w:rsid w:val="42B31FAB"/>
    <w:rsid w:val="42C15BDB"/>
    <w:rsid w:val="431B4412"/>
    <w:rsid w:val="4331043E"/>
    <w:rsid w:val="4331172A"/>
    <w:rsid w:val="433E53DA"/>
    <w:rsid w:val="439E58A0"/>
    <w:rsid w:val="43B31C0B"/>
    <w:rsid w:val="43DA60A1"/>
    <w:rsid w:val="43E35A87"/>
    <w:rsid w:val="43EC55F4"/>
    <w:rsid w:val="4477148F"/>
    <w:rsid w:val="44913E48"/>
    <w:rsid w:val="44947B97"/>
    <w:rsid w:val="44A75A3C"/>
    <w:rsid w:val="44B519AF"/>
    <w:rsid w:val="4502587E"/>
    <w:rsid w:val="4504461A"/>
    <w:rsid w:val="458429FA"/>
    <w:rsid w:val="45BB117C"/>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F0470"/>
    <w:rsid w:val="477C5B9E"/>
    <w:rsid w:val="4780431E"/>
    <w:rsid w:val="479235C6"/>
    <w:rsid w:val="481D7ECC"/>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531E57"/>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257DF2"/>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063F0A"/>
    <w:rsid w:val="5432323D"/>
    <w:rsid w:val="54331B24"/>
    <w:rsid w:val="54583460"/>
    <w:rsid w:val="54686A39"/>
    <w:rsid w:val="549332C4"/>
    <w:rsid w:val="54E641C3"/>
    <w:rsid w:val="54EC6DF6"/>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3212FE"/>
    <w:rsid w:val="59597413"/>
    <w:rsid w:val="59BA4CD4"/>
    <w:rsid w:val="59CA7788"/>
    <w:rsid w:val="59EE5797"/>
    <w:rsid w:val="5A8C0CA9"/>
    <w:rsid w:val="5AC272A3"/>
    <w:rsid w:val="5B307B0A"/>
    <w:rsid w:val="5B557E8F"/>
    <w:rsid w:val="5BB1110B"/>
    <w:rsid w:val="5C2B7BE1"/>
    <w:rsid w:val="5C621337"/>
    <w:rsid w:val="5C7F01BD"/>
    <w:rsid w:val="5D0B2591"/>
    <w:rsid w:val="5D6C33D5"/>
    <w:rsid w:val="5DA25547"/>
    <w:rsid w:val="5DC5227C"/>
    <w:rsid w:val="5DD32B36"/>
    <w:rsid w:val="5DEC6C8E"/>
    <w:rsid w:val="5DF951D1"/>
    <w:rsid w:val="5DFA4819"/>
    <w:rsid w:val="5EFB79A1"/>
    <w:rsid w:val="5F117C07"/>
    <w:rsid w:val="5F245B8C"/>
    <w:rsid w:val="5F2A616C"/>
    <w:rsid w:val="5F3C052E"/>
    <w:rsid w:val="5F6C71D0"/>
    <w:rsid w:val="5F7268F8"/>
    <w:rsid w:val="5F785148"/>
    <w:rsid w:val="5FA8049F"/>
    <w:rsid w:val="5FC04A97"/>
    <w:rsid w:val="5FE94B7D"/>
    <w:rsid w:val="5FF2718E"/>
    <w:rsid w:val="5FFF4EA8"/>
    <w:rsid w:val="602B2726"/>
    <w:rsid w:val="60417BB4"/>
    <w:rsid w:val="60854409"/>
    <w:rsid w:val="60B2650C"/>
    <w:rsid w:val="60EE6452"/>
    <w:rsid w:val="611D40E2"/>
    <w:rsid w:val="614462DE"/>
    <w:rsid w:val="61475B62"/>
    <w:rsid w:val="61B516C4"/>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E240AB"/>
    <w:rsid w:val="65FB616C"/>
    <w:rsid w:val="661125F2"/>
    <w:rsid w:val="6611695D"/>
    <w:rsid w:val="66194DC3"/>
    <w:rsid w:val="66267FAE"/>
    <w:rsid w:val="668D09A2"/>
    <w:rsid w:val="669764AC"/>
    <w:rsid w:val="66D55C0F"/>
    <w:rsid w:val="672A40B7"/>
    <w:rsid w:val="6746660F"/>
    <w:rsid w:val="6749451C"/>
    <w:rsid w:val="674A4227"/>
    <w:rsid w:val="67762CFD"/>
    <w:rsid w:val="679300D6"/>
    <w:rsid w:val="684478D1"/>
    <w:rsid w:val="686109FC"/>
    <w:rsid w:val="686801CC"/>
    <w:rsid w:val="688C32E6"/>
    <w:rsid w:val="68D84C26"/>
    <w:rsid w:val="694D466A"/>
    <w:rsid w:val="694D7A8E"/>
    <w:rsid w:val="695143FB"/>
    <w:rsid w:val="698A3A01"/>
    <w:rsid w:val="698D0D6B"/>
    <w:rsid w:val="69E6116E"/>
    <w:rsid w:val="6A051C1C"/>
    <w:rsid w:val="6A461941"/>
    <w:rsid w:val="6AA33CF1"/>
    <w:rsid w:val="6AAE5669"/>
    <w:rsid w:val="6ABD1719"/>
    <w:rsid w:val="6ACC25CE"/>
    <w:rsid w:val="6B275374"/>
    <w:rsid w:val="6B2F38EF"/>
    <w:rsid w:val="6BBD1202"/>
    <w:rsid w:val="6BEB28AD"/>
    <w:rsid w:val="6C1D1BAE"/>
    <w:rsid w:val="6C32108A"/>
    <w:rsid w:val="6C495CD7"/>
    <w:rsid w:val="6C6C7186"/>
    <w:rsid w:val="6C71153E"/>
    <w:rsid w:val="6CA67BC0"/>
    <w:rsid w:val="6CB322FE"/>
    <w:rsid w:val="6CBE317C"/>
    <w:rsid w:val="6CE10EDA"/>
    <w:rsid w:val="6D4F01B3"/>
    <w:rsid w:val="6D9B0E92"/>
    <w:rsid w:val="6DC319FF"/>
    <w:rsid w:val="6DD24A05"/>
    <w:rsid w:val="6E1844B8"/>
    <w:rsid w:val="6E541954"/>
    <w:rsid w:val="6E6D5C0E"/>
    <w:rsid w:val="6E7C3113"/>
    <w:rsid w:val="6EA67FA2"/>
    <w:rsid w:val="6F413BF1"/>
    <w:rsid w:val="6F957251"/>
    <w:rsid w:val="6FC7059A"/>
    <w:rsid w:val="70921C55"/>
    <w:rsid w:val="70A02B99"/>
    <w:rsid w:val="70B658E9"/>
    <w:rsid w:val="71096E97"/>
    <w:rsid w:val="71283ECD"/>
    <w:rsid w:val="713D11CB"/>
    <w:rsid w:val="7147364E"/>
    <w:rsid w:val="71502437"/>
    <w:rsid w:val="71A30B93"/>
    <w:rsid w:val="71E362C3"/>
    <w:rsid w:val="7219039A"/>
    <w:rsid w:val="731775B6"/>
    <w:rsid w:val="73A17354"/>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4157FA"/>
    <w:rsid w:val="795654B4"/>
    <w:rsid w:val="79C30024"/>
    <w:rsid w:val="79E24199"/>
    <w:rsid w:val="7A281851"/>
    <w:rsid w:val="7A550F13"/>
    <w:rsid w:val="7A707A80"/>
    <w:rsid w:val="7A773BB5"/>
    <w:rsid w:val="7AC34054"/>
    <w:rsid w:val="7AD20151"/>
    <w:rsid w:val="7B345817"/>
    <w:rsid w:val="7B5D3DBD"/>
    <w:rsid w:val="7B62786A"/>
    <w:rsid w:val="7BAD7F79"/>
    <w:rsid w:val="7BE82E7A"/>
    <w:rsid w:val="7C047330"/>
    <w:rsid w:val="7C177789"/>
    <w:rsid w:val="7C1A0DC0"/>
    <w:rsid w:val="7C2D5C29"/>
    <w:rsid w:val="7C614B37"/>
    <w:rsid w:val="7CE039CF"/>
    <w:rsid w:val="7D54267F"/>
    <w:rsid w:val="7D7C739E"/>
    <w:rsid w:val="7DBD5F66"/>
    <w:rsid w:val="7DC17EA6"/>
    <w:rsid w:val="7E0D5B2C"/>
    <w:rsid w:val="7E1A3F8B"/>
    <w:rsid w:val="7E2115B9"/>
    <w:rsid w:val="7E492AC2"/>
    <w:rsid w:val="7E7F66A4"/>
    <w:rsid w:val="7EA72D17"/>
    <w:rsid w:val="7EE04C7B"/>
    <w:rsid w:val="7F277A16"/>
    <w:rsid w:val="7F2F2002"/>
    <w:rsid w:val="7FE5681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iPriority="0"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annotation text"/>
    <w:basedOn w:val="1"/>
    <w:autoRedefine/>
    <w:qFormat/>
    <w:uiPriority w:val="0"/>
    <w:pPr>
      <w:jc w:val="left"/>
    </w:pPr>
  </w:style>
  <w:style w:type="paragraph" w:styleId="6">
    <w:name w:val="Salutation"/>
    <w:basedOn w:val="1"/>
    <w:next w:val="1"/>
    <w:autoRedefine/>
    <w:unhideWhenUsed/>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7">
    <w:name w:val="Body Text"/>
    <w:basedOn w:val="1"/>
    <w:next w:val="1"/>
    <w:link w:val="22"/>
    <w:autoRedefine/>
    <w:qFormat/>
    <w:uiPriority w:val="99"/>
    <w:pPr>
      <w:spacing w:after="120"/>
    </w:pPr>
    <w:rPr>
      <w:rFonts w:ascii="Calibri" w:hAnsi="Calibri"/>
      <w:szCs w:val="22"/>
    </w:rPr>
  </w:style>
  <w:style w:type="paragraph" w:styleId="8">
    <w:name w:val="Plain Text"/>
    <w:basedOn w:val="1"/>
    <w:next w:val="6"/>
    <w:autoRedefine/>
    <w:qFormat/>
    <w:uiPriority w:val="0"/>
    <w:rPr>
      <w:rFonts w:ascii="宋体" w:hAnsi="Courier New"/>
      <w:szCs w:val="21"/>
    </w:rPr>
  </w:style>
  <w:style w:type="paragraph" w:styleId="9">
    <w:name w:val="Date"/>
    <w:basedOn w:val="1"/>
    <w:next w:val="1"/>
    <w:link w:val="23"/>
    <w:autoRedefine/>
    <w:qFormat/>
    <w:uiPriority w:val="99"/>
    <w:pPr>
      <w:ind w:left="100" w:leftChars="2500"/>
    </w:pPr>
  </w:style>
  <w:style w:type="paragraph" w:styleId="10">
    <w:name w:val="footer"/>
    <w:basedOn w:val="1"/>
    <w:link w:val="24"/>
    <w:qFormat/>
    <w:uiPriority w:val="99"/>
    <w:pPr>
      <w:tabs>
        <w:tab w:val="center" w:pos="4153"/>
        <w:tab w:val="right" w:pos="8306"/>
      </w:tabs>
      <w:snapToGrid w:val="0"/>
      <w:jc w:val="left"/>
    </w:pPr>
    <w:rPr>
      <w:sz w:val="18"/>
    </w:rPr>
  </w:style>
  <w:style w:type="paragraph" w:styleId="11">
    <w:name w:val="header"/>
    <w:basedOn w:val="1"/>
    <w:link w:val="25"/>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autoRedefine/>
    <w:qFormat/>
    <w:uiPriority w:val="0"/>
    <w:rPr>
      <w:sz w:val="24"/>
      <w:szCs w:val="22"/>
    </w:rPr>
  </w:style>
  <w:style w:type="paragraph" w:styleId="13">
    <w:name w:val="Body Text First Indent"/>
    <w:basedOn w:val="7"/>
    <w:next w:val="1"/>
    <w:qFormat/>
    <w:uiPriority w:val="0"/>
    <w:pPr>
      <w:spacing w:after="120"/>
      <w:ind w:firstLine="420" w:firstLineChars="100"/>
    </w:pPr>
  </w:style>
  <w:style w:type="character" w:styleId="16">
    <w:name w:val="Strong"/>
    <w:basedOn w:val="17"/>
    <w:autoRedefine/>
    <w:qFormat/>
    <w:uiPriority w:val="99"/>
    <w:rPr>
      <w:rFonts w:cs="Times New Roman"/>
      <w:b/>
    </w:rPr>
  </w:style>
  <w:style w:type="character" w:customStyle="1" w:styleId="17">
    <w:name w:val="NormalCharacter"/>
    <w:autoRedefine/>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2"/>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4"/>
    <w:next w:val="1"/>
    <w:autoRedefine/>
    <w:qFormat/>
    <w:uiPriority w:val="0"/>
    <w:pPr>
      <w:spacing w:afterLines="0"/>
      <w:ind w:left="420" w:firstLine="420" w:firstLineChars="200"/>
    </w:pPr>
    <w:rPr>
      <w:lang w:eastAsia="zh-CN" w:bidi="ar-SA"/>
    </w:rPr>
  </w:style>
  <w:style w:type="paragraph" w:customStyle="1" w:styleId="21">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7"/>
    <w:semiHidden/>
    <w:qFormat/>
    <w:uiPriority w:val="99"/>
    <w:rPr>
      <w:color w:val="000000"/>
      <w:kern w:val="0"/>
      <w:szCs w:val="20"/>
    </w:rPr>
  </w:style>
  <w:style w:type="character" w:customStyle="1" w:styleId="23">
    <w:name w:val="日期 Char"/>
    <w:basedOn w:val="15"/>
    <w:link w:val="9"/>
    <w:autoRedefine/>
    <w:semiHidden/>
    <w:qFormat/>
    <w:uiPriority w:val="99"/>
    <w:rPr>
      <w:color w:val="000000"/>
      <w:kern w:val="0"/>
      <w:szCs w:val="20"/>
    </w:rPr>
  </w:style>
  <w:style w:type="character" w:customStyle="1" w:styleId="24">
    <w:name w:val="页脚 Char"/>
    <w:basedOn w:val="17"/>
    <w:link w:val="10"/>
    <w:autoRedefine/>
    <w:qFormat/>
    <w:locked/>
    <w:uiPriority w:val="99"/>
    <w:rPr>
      <w:rFonts w:cs="Times New Roman"/>
      <w:color w:val="000000"/>
      <w:sz w:val="18"/>
    </w:rPr>
  </w:style>
  <w:style w:type="character" w:customStyle="1" w:styleId="25">
    <w:name w:val="页眉 Char"/>
    <w:basedOn w:val="17"/>
    <w:link w:val="11"/>
    <w:autoRedefine/>
    <w:qFormat/>
    <w:locked/>
    <w:uiPriority w:val="99"/>
    <w:rPr>
      <w:rFonts w:cs="Times New Roman"/>
      <w:color w:val="000000"/>
      <w:sz w:val="18"/>
      <w:szCs w:val="18"/>
    </w:rPr>
  </w:style>
  <w:style w:type="paragraph" w:customStyle="1" w:styleId="26">
    <w:name w:val="BodyText"/>
    <w:basedOn w:val="1"/>
    <w:autoRedefine/>
    <w:qFormat/>
    <w:uiPriority w:val="99"/>
    <w:pPr>
      <w:spacing w:after="120"/>
    </w:pPr>
    <w:rPr>
      <w:rFonts w:ascii="Calibri" w:hAnsi="Calibri"/>
      <w:szCs w:val="22"/>
    </w:rPr>
  </w:style>
  <w:style w:type="table" w:customStyle="1" w:styleId="27">
    <w:name w:val="TableNormal"/>
    <w:autoRedefine/>
    <w:semiHidden/>
    <w:qFormat/>
    <w:uiPriority w:val="99"/>
    <w:tblPr>
      <w:tblCellMar>
        <w:top w:w="0" w:type="dxa"/>
        <w:left w:w="0" w:type="dxa"/>
        <w:bottom w:w="0" w:type="dxa"/>
        <w:right w:w="0" w:type="dxa"/>
      </w:tblCellMar>
    </w:tblPr>
  </w:style>
  <w:style w:type="character" w:customStyle="1" w:styleId="28">
    <w:name w:val="UserStyle_0"/>
    <w:basedOn w:val="17"/>
    <w:autoRedefine/>
    <w:qFormat/>
    <w:uiPriority w:val="99"/>
    <w:rPr>
      <w:rFonts w:ascii="Times New Roman" w:eastAsia="宋体" w:cs="Times New Roman"/>
      <w:color w:val="0000FF"/>
      <w:sz w:val="21"/>
      <w:u w:val="single"/>
      <w:lang w:val="en-US" w:eastAsia="zh-CN"/>
    </w:rPr>
  </w:style>
  <w:style w:type="character" w:customStyle="1" w:styleId="29">
    <w:name w:val="AnnotationReference"/>
    <w:autoRedefine/>
    <w:qFormat/>
    <w:uiPriority w:val="99"/>
    <w:rPr>
      <w:sz w:val="21"/>
    </w:rPr>
  </w:style>
  <w:style w:type="character" w:customStyle="1" w:styleId="30">
    <w:name w:val="UserStyle_2"/>
    <w:basedOn w:val="17"/>
    <w:autoRedefine/>
    <w:qFormat/>
    <w:uiPriority w:val="99"/>
    <w:rPr>
      <w:rFonts w:ascii="Times New Roman" w:eastAsia="宋体" w:cs="Times New Roman"/>
      <w:color w:val="0000FF"/>
      <w:sz w:val="21"/>
      <w:u w:val="single"/>
      <w:lang w:val="en-US" w:eastAsia="zh-CN"/>
    </w:rPr>
  </w:style>
  <w:style w:type="character" w:customStyle="1" w:styleId="31">
    <w:name w:val="UserStyle_3"/>
    <w:autoRedefine/>
    <w:semiHidden/>
    <w:qFormat/>
    <w:uiPriority w:val="99"/>
    <w:rPr>
      <w:rFonts w:ascii="Times New Roman" w:hAnsi="Times New Roman" w:eastAsia="宋体"/>
      <w:kern w:val="2"/>
      <w:sz w:val="21"/>
      <w:lang w:val="en-US" w:eastAsia="zh-CN"/>
    </w:rPr>
  </w:style>
  <w:style w:type="paragraph" w:customStyle="1" w:styleId="32">
    <w:name w:val="UserStyle_5"/>
    <w:basedOn w:val="1"/>
    <w:next w:val="33"/>
    <w:autoRedefine/>
    <w:qFormat/>
    <w:uiPriority w:val="99"/>
    <w:pPr>
      <w:spacing w:before="566" w:after="544" w:line="566" w:lineRule="atLeast"/>
      <w:jc w:val="center"/>
    </w:pPr>
    <w:rPr>
      <w:rFonts w:ascii="Arial" w:eastAsia="黑体"/>
      <w:sz w:val="54"/>
    </w:rPr>
  </w:style>
  <w:style w:type="paragraph" w:customStyle="1" w:styleId="33">
    <w:name w:val="UserStyle_6"/>
    <w:basedOn w:val="1"/>
    <w:next w:val="34"/>
    <w:autoRedefine/>
    <w:qFormat/>
    <w:uiPriority w:val="99"/>
    <w:pPr>
      <w:spacing w:before="187" w:after="175" w:line="374" w:lineRule="atLeast"/>
      <w:jc w:val="center"/>
    </w:pPr>
    <w:rPr>
      <w:sz w:val="36"/>
    </w:rPr>
  </w:style>
  <w:style w:type="paragraph" w:customStyle="1" w:styleId="34">
    <w:name w:val="UserStyle_16"/>
    <w:basedOn w:val="1"/>
    <w:next w:val="35"/>
    <w:autoRedefine/>
    <w:qFormat/>
    <w:uiPriority w:val="99"/>
    <w:pPr>
      <w:spacing w:before="158" w:after="153" w:line="323" w:lineRule="atLeast"/>
      <w:jc w:val="center"/>
    </w:pPr>
    <w:rPr>
      <w:rFonts w:ascii="Arial" w:eastAsia="黑体"/>
      <w:sz w:val="31"/>
    </w:rPr>
  </w:style>
  <w:style w:type="paragraph" w:customStyle="1" w:styleId="35">
    <w:name w:val="UserStyle_10"/>
    <w:basedOn w:val="1"/>
    <w:next w:val="36"/>
    <w:autoRedefine/>
    <w:qFormat/>
    <w:uiPriority w:val="99"/>
    <w:pPr>
      <w:spacing w:line="289" w:lineRule="atLeast"/>
      <w:jc w:val="center"/>
    </w:pPr>
    <w:rPr>
      <w:sz w:val="28"/>
    </w:rPr>
  </w:style>
  <w:style w:type="paragraph" w:customStyle="1" w:styleId="36">
    <w:name w:val="UserStyle_11"/>
    <w:basedOn w:val="1"/>
    <w:next w:val="1"/>
    <w:autoRedefine/>
    <w:qFormat/>
    <w:uiPriority w:val="99"/>
    <w:pPr>
      <w:spacing w:before="175" w:after="102" w:line="351" w:lineRule="atLeast"/>
    </w:pPr>
    <w:rPr>
      <w:rFonts w:eastAsia="黑体"/>
    </w:rPr>
  </w:style>
  <w:style w:type="paragraph" w:customStyle="1" w:styleId="37">
    <w:name w:val="UserStyle_7"/>
    <w:basedOn w:val="1"/>
    <w:next w:val="1"/>
    <w:autoRedefine/>
    <w:qFormat/>
    <w:uiPriority w:val="99"/>
    <w:pPr>
      <w:tabs>
        <w:tab w:val="left" w:leader="dot" w:pos="8503"/>
      </w:tabs>
      <w:spacing w:line="317" w:lineRule="atLeast"/>
      <w:ind w:firstLine="629"/>
    </w:pPr>
  </w:style>
  <w:style w:type="paragraph" w:customStyle="1" w:styleId="38">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autoRedefine/>
    <w:qFormat/>
    <w:uiPriority w:val="99"/>
    <w:pPr>
      <w:tabs>
        <w:tab w:val="left" w:leader="dot" w:pos="8503"/>
      </w:tabs>
      <w:spacing w:line="317" w:lineRule="atLeast"/>
      <w:ind w:firstLine="419"/>
    </w:pPr>
  </w:style>
  <w:style w:type="paragraph" w:customStyle="1" w:styleId="41">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autoRedefine/>
    <w:qFormat/>
    <w:uiPriority w:val="99"/>
    <w:pPr>
      <w:spacing w:line="240" w:lineRule="auto"/>
      <w:textAlignment w:val="auto"/>
    </w:pPr>
    <w:rPr>
      <w:sz w:val="32"/>
      <w:szCs w:val="32"/>
    </w:rPr>
  </w:style>
  <w:style w:type="paragraph" w:customStyle="1" w:styleId="43">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autoRedefine/>
    <w:qFormat/>
    <w:uiPriority w:val="99"/>
    <w:pPr>
      <w:tabs>
        <w:tab w:val="left" w:leader="dot" w:pos="8503"/>
      </w:tabs>
      <w:spacing w:line="317" w:lineRule="atLeast"/>
      <w:ind w:firstLine="209"/>
    </w:pPr>
  </w:style>
  <w:style w:type="paragraph" w:customStyle="1" w:styleId="45">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6">
    <w:name w:val="TableGrid"/>
    <w:basedOn w:val="27"/>
    <w:autoRedefine/>
    <w:qFormat/>
    <w:uiPriority w:val="99"/>
    <w:tblPr>
      <w:tblCellMar>
        <w:top w:w="0" w:type="dxa"/>
        <w:left w:w="0" w:type="dxa"/>
        <w:bottom w:w="0" w:type="dxa"/>
        <w:right w:w="0" w:type="dxa"/>
      </w:tblCellMar>
    </w:tblPr>
  </w:style>
  <w:style w:type="paragraph" w:customStyle="1" w:styleId="47">
    <w:name w:val="BodyTextIndent"/>
    <w:basedOn w:val="1"/>
    <w:autoRedefine/>
    <w:qFormat/>
    <w:uiPriority w:val="99"/>
    <w:pPr>
      <w:spacing w:after="120"/>
      <w:ind w:left="420" w:leftChars="200"/>
    </w:pPr>
  </w:style>
  <w:style w:type="paragraph" w:customStyle="1" w:styleId="48">
    <w:name w:val="BodyText1I2"/>
    <w:basedOn w:val="47"/>
    <w:autoRedefine/>
    <w:qFormat/>
    <w:uiPriority w:val="99"/>
    <w:pPr>
      <w:ind w:firstLine="420" w:firstLineChars="200"/>
    </w:pPr>
  </w:style>
  <w:style w:type="paragraph" w:customStyle="1" w:styleId="49">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2</TotalTime>
  <ScaleCrop>false</ScaleCrop>
  <LinksUpToDate>false</LinksUpToDate>
  <CharactersWithSpaces>2084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2024-01-29T10:53:51Z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4B223CA2B5B24F0BBC3925F45DAE3489</vt:lpwstr>
  </property>
</Properties>
</file>