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9"/>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adjustRightInd w:val="0"/>
              <w:snapToGrid w:val="0"/>
              <w:jc w:val="center"/>
              <w:rPr>
                <w:rFonts w:eastAsia="仿宋"/>
                <w:color w:val="000000"/>
              </w:rPr>
            </w:pPr>
            <w:r>
              <w:rPr>
                <w:rFonts w:hint="eastAsia"/>
                <w:szCs w:val="22"/>
              </w:rPr>
              <w:t xml:space="preserve">鄂尔多斯市政扬环保科技有限公司20万吨型煤建设项目  </w:t>
            </w:r>
          </w:p>
        </w:tc>
        <w:tc>
          <w:tcPr>
            <w:tcW w:w="397" w:type="dxa"/>
            <w:vAlign w:val="center"/>
          </w:tcPr>
          <w:p>
            <w:pPr>
              <w:spacing w:line="240" w:lineRule="atLeast"/>
              <w:jc w:val="center"/>
              <w:rPr>
                <w:color w:val="000000"/>
                <w:szCs w:val="21"/>
              </w:rPr>
            </w:pPr>
            <w:r>
              <w:rPr>
                <w:rFonts w:hint="eastAsia"/>
                <w:color w:val="000000"/>
                <w:szCs w:val="21"/>
                <w:lang w:val="en-US" w:eastAsia="zh-CN"/>
              </w:rPr>
              <w:t>东胜区铜川镇红泥塔村碾房渠社（租用鄂尔多斯市晟皓混凝土制品有限公司厂区）</w:t>
            </w:r>
          </w:p>
        </w:tc>
        <w:tc>
          <w:tcPr>
            <w:tcW w:w="465" w:type="dxa"/>
            <w:vAlign w:val="center"/>
          </w:tcPr>
          <w:p>
            <w:pPr>
              <w:spacing w:line="240" w:lineRule="atLeast"/>
              <w:jc w:val="center"/>
              <w:rPr>
                <w:color w:val="000000"/>
                <w:szCs w:val="21"/>
              </w:rPr>
            </w:pPr>
            <w:r>
              <w:rPr>
                <w:rFonts w:hint="eastAsia"/>
                <w:color w:val="000000"/>
                <w:szCs w:val="21"/>
              </w:rPr>
              <w:t>鄂尔多斯市政扬环保科技有限公司</w:t>
            </w:r>
            <w:r>
              <w:rPr>
                <w:color w:val="000000"/>
                <w:szCs w:val="21"/>
              </w:rPr>
              <w:t xml:space="preserve">  </w:t>
            </w:r>
          </w:p>
        </w:tc>
        <w:tc>
          <w:tcPr>
            <w:tcW w:w="675" w:type="dxa"/>
            <w:vAlign w:val="center"/>
          </w:tcPr>
          <w:p>
            <w:pPr>
              <w:spacing w:line="360" w:lineRule="auto"/>
              <w:jc w:val="center"/>
              <w:rPr>
                <w:color w:val="000000"/>
                <w:szCs w:val="21"/>
              </w:rPr>
            </w:pPr>
            <w:r>
              <w:rPr>
                <w:rFonts w:hint="eastAsia" w:ascii="Times New Roman" w:hAnsi="Times New Roman" w:eastAsia="宋体" w:cs="Times New Roman"/>
                <w:szCs w:val="22"/>
                <w:lang w:val="en-US" w:eastAsia="zh-CN"/>
              </w:rPr>
              <w:t>内蒙古乐洁绿色生态环境科技有限公司</w:t>
            </w:r>
          </w:p>
        </w:tc>
        <w:tc>
          <w:tcPr>
            <w:tcW w:w="2555" w:type="dxa"/>
            <w:vAlign w:val="center"/>
          </w:tcPr>
          <w:p>
            <w:pPr>
              <w:spacing w:line="360" w:lineRule="auto"/>
              <w:ind w:firstLine="420" w:firstLineChars="200"/>
              <w:rPr>
                <w:rFonts w:hint="eastAsia"/>
                <w:color w:val="000000"/>
                <w:szCs w:val="21"/>
                <w:lang w:val="en-US" w:eastAsia="zh-CN"/>
              </w:rPr>
            </w:pPr>
            <w:r>
              <w:rPr>
                <w:rFonts w:hint="eastAsia"/>
                <w:color w:val="000000"/>
                <w:szCs w:val="21"/>
              </w:rPr>
              <w:t>本项目的环境影响评价文件未经我局审批即擅自开工建设，违反了《中华人民共和国环境影响评价法》有关规定，依据《中华人民共和国环境影响评价法》第三十一条之规定，我局对</w:t>
            </w:r>
            <w:r>
              <w:rPr>
                <w:rFonts w:hint="eastAsia"/>
                <w:color w:val="000000"/>
                <w:szCs w:val="21"/>
                <w:lang w:eastAsia="zh-CN"/>
              </w:rPr>
              <w:t>你单位</w:t>
            </w:r>
            <w:r>
              <w:rPr>
                <w:rFonts w:hint="eastAsia"/>
                <w:color w:val="000000"/>
                <w:szCs w:val="21"/>
              </w:rPr>
              <w:t>实施了处罚，罚款已缴纳。你</w:t>
            </w:r>
            <w:r>
              <w:rPr>
                <w:rFonts w:hint="eastAsia"/>
                <w:color w:val="000000"/>
                <w:szCs w:val="21"/>
                <w:lang w:eastAsia="zh-CN"/>
              </w:rPr>
              <w:t>单位</w:t>
            </w:r>
            <w:r>
              <w:rPr>
                <w:rFonts w:hint="eastAsia"/>
                <w:color w:val="000000"/>
                <w:szCs w:val="21"/>
              </w:rPr>
              <w:t>必须增强守法意识，杜绝违法行为再次发生。</w:t>
            </w:r>
            <w:r>
              <w:rPr>
                <w:rFonts w:hint="eastAsia"/>
                <w:color w:val="000000"/>
                <w:szCs w:val="21"/>
                <w:lang w:val="en-US" w:eastAsia="zh-CN"/>
              </w:rPr>
              <w:t>经组织专家评审，集体研究，形成如下审批意见：</w:t>
            </w:r>
          </w:p>
          <w:p>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w:t>
            </w:r>
            <w:r>
              <w:rPr>
                <w:rFonts w:hint="eastAsia"/>
                <w:color w:val="000000"/>
                <w:szCs w:val="21"/>
                <w:lang w:val="en-US" w:eastAsia="zh-CN"/>
              </w:rPr>
              <w:t>位于东胜区铜川镇红泥塔村碾房渠社。项目总</w:t>
            </w:r>
            <w:r>
              <w:rPr>
                <w:rFonts w:hint="eastAsia"/>
                <w:color w:val="000000"/>
                <w:szCs w:val="21"/>
                <w:lang w:eastAsia="zh-CN"/>
              </w:rPr>
              <w:t>占地面积</w:t>
            </w:r>
            <w:r>
              <w:rPr>
                <w:rFonts w:hint="eastAsia"/>
                <w:color w:val="000000"/>
                <w:szCs w:val="21"/>
                <w:lang w:val="en-US" w:eastAsia="zh-CN"/>
              </w:rPr>
              <w:t>11000</w:t>
            </w:r>
            <w:r>
              <w:rPr>
                <w:rFonts w:hint="eastAsia"/>
                <w:color w:val="000000"/>
                <w:szCs w:val="21"/>
                <w:lang w:eastAsia="zh-CN"/>
              </w:rPr>
              <w:t>平方米，</w:t>
            </w:r>
            <w:r>
              <w:rPr>
                <w:rFonts w:hint="default"/>
                <w:color w:val="000000"/>
                <w:szCs w:val="21"/>
              </w:rPr>
              <w:t>总投资</w:t>
            </w:r>
            <w:r>
              <w:rPr>
                <w:rFonts w:hint="eastAsia"/>
                <w:color w:val="000000"/>
                <w:szCs w:val="21"/>
                <w:lang w:val="en-US" w:eastAsia="zh-CN"/>
              </w:rPr>
              <w:t>300万</w:t>
            </w:r>
            <w:r>
              <w:rPr>
                <w:rFonts w:hint="default"/>
                <w:color w:val="000000"/>
                <w:szCs w:val="21"/>
              </w:rPr>
              <w:t>元，</w:t>
            </w:r>
            <w:r>
              <w:rPr>
                <w:rFonts w:hint="eastAsia"/>
                <w:color w:val="000000"/>
                <w:szCs w:val="21"/>
                <w:lang w:eastAsia="zh-CN"/>
              </w:rPr>
              <w:t>其中</w:t>
            </w:r>
            <w:r>
              <w:rPr>
                <w:rFonts w:hint="default"/>
                <w:color w:val="000000"/>
                <w:szCs w:val="21"/>
              </w:rPr>
              <w:t>环保投资</w:t>
            </w:r>
            <w:r>
              <w:rPr>
                <w:rFonts w:hint="eastAsia"/>
                <w:color w:val="000000"/>
                <w:szCs w:val="21"/>
                <w:lang w:val="en-US" w:eastAsia="zh-CN"/>
              </w:rPr>
              <w:t>54.2万元</w:t>
            </w:r>
            <w:r>
              <w:rPr>
                <w:rFonts w:hint="eastAsia"/>
                <w:color w:val="000000"/>
                <w:szCs w:val="21"/>
              </w:rPr>
              <w:t>。</w:t>
            </w:r>
            <w:r>
              <w:rPr>
                <w:rFonts w:hint="eastAsia"/>
                <w:color w:val="000000"/>
                <w:szCs w:val="21"/>
                <w:lang w:eastAsia="zh-CN"/>
              </w:rPr>
              <w:t>主要建设内容及规模：</w:t>
            </w:r>
            <w:r>
              <w:rPr>
                <w:rFonts w:hint="eastAsia"/>
                <w:color w:val="000000"/>
                <w:szCs w:val="21"/>
                <w:lang w:val="en-US" w:eastAsia="zh-CN"/>
              </w:rPr>
              <w:t>本项目租用</w:t>
            </w:r>
            <w:r>
              <w:rPr>
                <w:rFonts w:hint="eastAsia"/>
                <w:color w:val="000000"/>
                <w:szCs w:val="21"/>
                <w:lang w:eastAsia="zh-CN"/>
              </w:rPr>
              <w:t>鄂尔多斯市晟皓混凝土制品有限公司</w:t>
            </w:r>
            <w:r>
              <w:rPr>
                <w:rFonts w:hint="eastAsia"/>
                <w:color w:val="000000"/>
                <w:szCs w:val="21"/>
                <w:lang w:val="en-US" w:eastAsia="zh-CN"/>
              </w:rPr>
              <w:t>现有厂区，依托4000平方米</w:t>
            </w:r>
            <w:r>
              <w:rPr>
                <w:rFonts w:hint="default"/>
                <w:color w:val="000000"/>
                <w:szCs w:val="21"/>
                <w:lang w:val="en-US" w:eastAsia="zh-CN"/>
              </w:rPr>
              <w:t>全封闭</w:t>
            </w:r>
            <w:r>
              <w:rPr>
                <w:rFonts w:hint="eastAsia"/>
                <w:color w:val="000000"/>
                <w:szCs w:val="21"/>
                <w:lang w:val="en-US" w:eastAsia="zh-CN"/>
              </w:rPr>
              <w:t>厂房建设1条型煤生产线，建设2台1t/h生物质锅炉和1台1t/h生物质蒸汽锅炉,</w:t>
            </w:r>
            <w:r>
              <w:rPr>
                <w:rFonts w:hint="eastAsia"/>
                <w:color w:val="000000"/>
                <w:szCs w:val="21"/>
                <w:lang w:eastAsia="zh-CN"/>
              </w:rPr>
              <w:t>利用</w:t>
            </w:r>
            <w:r>
              <w:rPr>
                <w:rFonts w:hint="eastAsia"/>
                <w:color w:val="000000"/>
                <w:szCs w:val="21"/>
                <w:lang w:val="en-US" w:eastAsia="zh-CN"/>
              </w:rPr>
              <w:t>原有厂房改造1座10</w:t>
            </w:r>
            <w:r>
              <w:rPr>
                <w:rFonts w:hint="eastAsia"/>
                <w:color w:val="000000"/>
                <w:szCs w:val="21"/>
                <w:lang w:eastAsia="zh-CN"/>
              </w:rPr>
              <w:t>平方米</w:t>
            </w:r>
            <w:r>
              <w:rPr>
                <w:rFonts w:hint="eastAsia"/>
                <w:color w:val="000000"/>
                <w:szCs w:val="21"/>
                <w:lang w:val="en-US" w:eastAsia="zh-CN"/>
              </w:rPr>
              <w:t>危险废物暂存库，并配套建设公辅工程、储运工程及环保工程等。项目建成后年产型煤20万吨。</w:t>
            </w:r>
          </w:p>
        </w:tc>
        <w:tc>
          <w:tcPr>
            <w:tcW w:w="4877" w:type="dxa"/>
            <w:vAlign w:val="center"/>
          </w:tcPr>
          <w:p>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2、施工人员生活污水经</w:t>
            </w:r>
            <w:r>
              <w:rPr>
                <w:rFonts w:hint="eastAsia"/>
                <w:color w:val="000000"/>
                <w:szCs w:val="21"/>
              </w:rPr>
              <w:t>化粪池沉淀</w:t>
            </w:r>
            <w:r>
              <w:rPr>
                <w:rFonts w:hint="eastAsia"/>
                <w:color w:val="000000"/>
                <w:szCs w:val="21"/>
                <w:lang w:val="en-US" w:eastAsia="zh-CN"/>
              </w:rPr>
              <w:t>后拉运处理。</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4、固体废物集中堆放及时清运交有关部门进行相关处理。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eastAsia="zh-CN"/>
              </w:rPr>
            </w:pPr>
            <w:r>
              <w:rPr>
                <w:rFonts w:hint="eastAsia"/>
                <w:color w:val="000000"/>
                <w:szCs w:val="21"/>
                <w:lang w:val="en-US" w:eastAsia="zh-CN"/>
              </w:rPr>
              <w:t>1、运营期物料储存、装卸、输送、生产过程全封闭。生物质热风炉烘干原料废气和烘干型煤废气经各自布袋除尘器处理后分别由15米高排气筒排放。颗粒物排放执行《工业炉窑大气污染物排放标准》（GB9078-1996）表2中非金属热处理炉二级标准，二氧化硫排放执行《工业炉窑大气污染物排放标准》（GB9078-1996）表4中新改扩建工业炉窑中燃煤（油）炉窑二级标准，氮氧化物参照执行《大气污染物综合排放标准》（GB16297-1996）表2中二级标准。破碎粉尘经收集处理后由1根15米高排气筒排放，执行《煤炭工业污染物排放标准》（GB20426-2006）表4煤炭工业大气污染物排放限值要求。生物质蒸汽锅炉废气经收集处理后由1根15米高排气筒排放，执行《锅炉大气污染物排放标准》（GB13271-2014</w:t>
            </w:r>
            <w:r>
              <w:rPr>
                <w:rFonts w:hint="eastAsia"/>
                <w:color w:val="000000"/>
                <w:szCs w:val="21"/>
                <w:lang w:eastAsia="zh-CN"/>
              </w:rPr>
              <w:t>）表</w:t>
            </w:r>
            <w:r>
              <w:rPr>
                <w:rFonts w:hint="eastAsia"/>
                <w:color w:val="000000"/>
                <w:szCs w:val="21"/>
                <w:lang w:val="en-US" w:eastAsia="zh-CN"/>
              </w:rPr>
              <w:t>2</w:t>
            </w:r>
            <w:r>
              <w:rPr>
                <w:rFonts w:hint="eastAsia"/>
                <w:color w:val="000000"/>
                <w:szCs w:val="21"/>
                <w:lang w:eastAsia="zh-CN"/>
              </w:rPr>
              <w:t>新建锅炉大气污染物排放浓度限值中燃煤锅炉标准。</w:t>
            </w:r>
            <w:r>
              <w:rPr>
                <w:rFonts w:hint="eastAsia"/>
                <w:color w:val="000000"/>
                <w:szCs w:val="21"/>
              </w:rPr>
              <w:t>项目无组织粉尘排放执行《煤炭工业污染物排放标准》（GB20426-2006）表5煤炭工业无组织排放限值。</w:t>
            </w:r>
          </w:p>
          <w:p>
            <w:pPr>
              <w:spacing w:line="360" w:lineRule="auto"/>
              <w:jc w:val="left"/>
              <w:rPr>
                <w:rFonts w:hint="eastAsia"/>
                <w:color w:val="000000"/>
                <w:szCs w:val="21"/>
              </w:rPr>
            </w:pPr>
            <w:r>
              <w:rPr>
                <w:rFonts w:hint="eastAsia"/>
                <w:color w:val="000000"/>
                <w:szCs w:val="21"/>
                <w:lang w:val="en-US" w:eastAsia="zh-CN"/>
              </w:rPr>
              <w:t>运营期不产生生产废水。生活污水经化粪池沉淀后拉运</w:t>
            </w:r>
            <w:r>
              <w:rPr>
                <w:rFonts w:hint="eastAsia"/>
                <w:color w:val="000000"/>
                <w:szCs w:val="21"/>
              </w:rPr>
              <w:t>处理。</w:t>
            </w:r>
          </w:p>
          <w:p>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w:t>
            </w:r>
            <w:r>
              <w:rPr>
                <w:rFonts w:hint="eastAsia"/>
                <w:color w:val="000000"/>
                <w:szCs w:val="21"/>
                <w:lang w:val="en-US"/>
              </w:rPr>
              <w:t>危废暂存库须严格按照《危险废物贮存污染控制标准》（GB18597-20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pPr>
              <w:spacing w:line="360" w:lineRule="auto"/>
              <w:jc w:val="left"/>
              <w:rPr>
                <w:rFonts w:hint="eastAsia"/>
                <w:color w:val="000000"/>
                <w:szCs w:val="21"/>
                <w:lang w:val="en-US" w:eastAsia="zh-CN"/>
              </w:rPr>
            </w:pPr>
            <w:r>
              <w:rPr>
                <w:rFonts w:hint="eastAsia"/>
                <w:color w:val="000000"/>
                <w:szCs w:val="21"/>
                <w:lang w:val="en-US" w:eastAsia="zh-CN"/>
              </w:rPr>
              <w:t>三、本项目申请二氧化硫和氮氧化物总量分别为1.24吨/年和3.93吨/年（鄂环气字〔2023〕101号）。</w:t>
            </w:r>
          </w:p>
          <w:p>
            <w:pPr>
              <w:spacing w:line="360" w:lineRule="auto"/>
              <w:jc w:val="left"/>
              <w:rPr>
                <w:rFonts w:hint="eastAsia"/>
                <w:color w:val="000000"/>
                <w:szCs w:val="21"/>
              </w:rPr>
            </w:pPr>
            <w:r>
              <w:rPr>
                <w:rFonts w:hint="eastAsia"/>
                <w:color w:val="000000"/>
                <w:szCs w:val="21"/>
                <w:lang w:val="en-US" w:eastAsia="zh-CN"/>
              </w:rPr>
              <w:t>四、你单位应委托有相应资质的设计单位对建设项目重点环保设施进行设计，并在项目施工及运行过程中严格落实环保设施安全生产工作要求。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六、</w:t>
            </w:r>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rFonts w:hint="eastAsia" w:eastAsia="宋体"/>
                <w:color w:val="000000"/>
                <w:szCs w:val="21"/>
                <w:lang w:val="en-US" w:eastAsia="zh-CN"/>
              </w:rPr>
            </w:pPr>
            <w:r>
              <w:rPr>
                <w:rFonts w:hint="eastAsia"/>
                <w:color w:val="000000"/>
                <w:szCs w:val="21"/>
                <w:lang w:val="en-US" w:eastAsia="zh-CN"/>
              </w:rPr>
              <w:t>2</w:t>
            </w:r>
          </w:p>
        </w:tc>
        <w:tc>
          <w:tcPr>
            <w:tcW w:w="473" w:type="dxa"/>
            <w:vAlign w:val="center"/>
          </w:tcPr>
          <w:p>
            <w:pPr>
              <w:adjustRightInd w:val="0"/>
              <w:snapToGrid w:val="0"/>
              <w:jc w:val="center"/>
              <w:rPr>
                <w:rFonts w:hint="eastAsia"/>
                <w:szCs w:val="22"/>
                <w:lang w:eastAsia="zh-CN"/>
              </w:rPr>
            </w:pPr>
            <w:r>
              <w:rPr>
                <w:rFonts w:hint="eastAsia" w:ascii="Times New Roman" w:hAnsi="Times New Roman" w:eastAsia="宋体"/>
                <w:szCs w:val="22"/>
              </w:rPr>
              <w:t>鄂尔多斯市能都科技有限公司30万吨型煤建设项目</w:t>
            </w:r>
          </w:p>
        </w:tc>
        <w:tc>
          <w:tcPr>
            <w:tcW w:w="397" w:type="dxa"/>
            <w:vAlign w:val="center"/>
          </w:tcPr>
          <w:p>
            <w:pPr>
              <w:spacing w:line="240" w:lineRule="atLeast"/>
              <w:jc w:val="center"/>
              <w:rPr>
                <w:rFonts w:hint="eastAsia"/>
                <w:color w:val="000000"/>
                <w:szCs w:val="21"/>
                <w:lang w:val="en-US" w:eastAsia="zh-CN"/>
              </w:rPr>
            </w:pPr>
            <w:r>
              <w:rPr>
                <w:rFonts w:hint="eastAsia" w:ascii="Times New Roman" w:hAnsi="Times New Roman" w:eastAsia="宋体" w:cs="Times New Roman"/>
                <w:szCs w:val="22"/>
              </w:rPr>
              <w:t>东胜区铜川镇麻黄湾建材园区（租用</w:t>
            </w:r>
            <w:r>
              <w:rPr>
                <w:rFonts w:hint="eastAsia" w:ascii="Times New Roman" w:hAnsi="Times New Roman" w:eastAsia="宋体" w:cs="Times New Roman"/>
                <w:szCs w:val="22"/>
                <w:lang w:val="en-US" w:eastAsia="zh-CN"/>
              </w:rPr>
              <w:t>内蒙古星茹混凝土有限公司</w:t>
            </w:r>
            <w:r>
              <w:rPr>
                <w:rFonts w:hint="eastAsia" w:ascii="Times New Roman" w:hAnsi="Times New Roman" w:eastAsia="宋体" w:cs="Times New Roman"/>
                <w:szCs w:val="22"/>
              </w:rPr>
              <w:t>厂区）</w:t>
            </w:r>
          </w:p>
        </w:tc>
        <w:tc>
          <w:tcPr>
            <w:tcW w:w="465" w:type="dxa"/>
            <w:vAlign w:val="center"/>
          </w:tcPr>
          <w:p>
            <w:pPr>
              <w:spacing w:line="240" w:lineRule="atLeast"/>
              <w:jc w:val="center"/>
              <w:rPr>
                <w:rFonts w:hint="eastAsia"/>
                <w:color w:val="000000"/>
                <w:szCs w:val="21"/>
              </w:rPr>
            </w:pPr>
            <w:r>
              <w:rPr>
                <w:rFonts w:hint="eastAsia" w:ascii="Times New Roman" w:hAnsi="Times New Roman" w:eastAsia="宋体" w:cs="Times New Roman"/>
                <w:szCs w:val="22"/>
              </w:rPr>
              <w:t>鄂尔多斯市能都科技有限公司</w:t>
            </w:r>
          </w:p>
        </w:tc>
        <w:tc>
          <w:tcPr>
            <w:tcW w:w="675" w:type="dxa"/>
            <w:vAlign w:val="center"/>
          </w:tcPr>
          <w:p>
            <w:pPr>
              <w:spacing w:line="360" w:lineRule="auto"/>
              <w:jc w:val="center"/>
              <w:rPr>
                <w:rFonts w:hint="eastAsia"/>
                <w:color w:val="000000"/>
                <w:szCs w:val="21"/>
              </w:rPr>
            </w:pPr>
            <w:r>
              <w:rPr>
                <w:rFonts w:hint="eastAsia" w:ascii="Times New Roman" w:hAnsi="Times New Roman" w:eastAsia="宋体" w:cs="Times New Roman"/>
                <w:szCs w:val="22"/>
                <w:lang w:val="en-US" w:eastAsia="zh-CN"/>
              </w:rPr>
              <w:t>内蒙古乐洁绿色生态环境科技有限公司</w:t>
            </w:r>
          </w:p>
        </w:tc>
        <w:tc>
          <w:tcPr>
            <w:tcW w:w="2555" w:type="dxa"/>
            <w:vAlign w:val="center"/>
          </w:tcPr>
          <w:p>
            <w:pPr>
              <w:spacing w:line="360" w:lineRule="auto"/>
              <w:ind w:firstLine="420" w:firstLineChars="200"/>
              <w:rPr>
                <w:rFonts w:hint="eastAsia"/>
                <w:color w:val="000000"/>
                <w:szCs w:val="21"/>
                <w:lang w:val="en-US" w:eastAsia="zh-CN"/>
              </w:rPr>
            </w:pPr>
            <w:r>
              <w:rPr>
                <w:rFonts w:hint="eastAsia"/>
                <w:color w:val="000000"/>
                <w:szCs w:val="21"/>
                <w:lang w:val="en-US" w:eastAsia="zh-CN"/>
              </w:rPr>
              <w:t>一、该项目属于新建项目，位于东胜区铜川镇麻黄湾建材园区。项目总占地面积28666.67平方米，总投资450万元，其中环保投资54.2万元。主要建设内容及规模：本项目租用内蒙古星茹混凝土有限公司现有厂区，依托15600平方米全封闭厂房建设1条型煤生产线，建设2台1t/h生物质锅炉和1台1t/h生物质蒸汽锅炉,新建1座10平方米危险废物暂存库，并配套建设公辅工程、储运工程及环保工程等。项目建成后年产型煤30万吨。</w:t>
            </w:r>
          </w:p>
        </w:tc>
        <w:tc>
          <w:tcPr>
            <w:tcW w:w="4877" w:type="dxa"/>
            <w:vAlign w:val="center"/>
          </w:tcPr>
          <w:p>
            <w:pPr>
              <w:spacing w:line="360" w:lineRule="auto"/>
              <w:jc w:val="left"/>
              <w:rPr>
                <w:rFonts w:hint="eastAsia"/>
                <w:color w:val="000000"/>
                <w:szCs w:val="21"/>
                <w:lang w:val="en-US" w:eastAsia="zh-CN"/>
              </w:rPr>
            </w:pPr>
            <w:r>
              <w:rPr>
                <w:rFonts w:hint="eastAsia"/>
                <w:color w:val="000000"/>
                <w:szCs w:val="21"/>
                <w:lang w:val="en-US" w:eastAsia="zh-CN"/>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eastAsia="zh-CN"/>
              </w:rPr>
            </w:pPr>
            <w:r>
              <w:rPr>
                <w:rFonts w:hint="eastAsia"/>
                <w:color w:val="000000"/>
                <w:szCs w:val="21"/>
                <w:lang w:val="en-US" w:eastAsia="zh-CN"/>
              </w:rPr>
              <w:t>二、在项目工程设计、建设和环境管理中，你单位必须严格落实《报告表》中提出的各项环保措施和要求，确保各项污染物稳定达标排放，并须着重做好以下工作：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2、施工人员生活污水经化粪池沉淀后拉运处理。</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4、固体废物集中堆放及时清运交有关部门进行相关处理。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运营期物料储存、装卸、输送、生产过程全封闭。生物质热风炉烘干原料废气和烘干型煤废气经各自布袋除尘器处理后分别由15米高排气筒排放。颗粒物排放执行《工业炉窑大气污染物排放标准》（GB9078-1996）表2中非金属热处理炉二级标准，二氧化硫排放执行《工业炉窑大气污染物排放标准》（GB9078-1996）表4中新改扩建工业炉窑中燃煤（油）炉窑二级标准，氮氧化物参照执行《大气污染物综合排放标准》（GB16297-1996）表2中二级标准。破碎粉尘经收集处理后由1根15米高排气筒排放，执行《煤炭工业污染物排放标准》（GB20426-2006）表4煤炭工业大气污染物排放限值要求。生物质蒸汽锅炉废气经收集处理后由1根15米高排气筒排放，执行《锅炉大气污染物排放标准》（GB13271-2014）表2新建锅炉大气污染物排放浓度限值中燃煤锅炉标准。项目无组织粉尘排放执行《煤炭工业污染物排放标准》（GB20426-2006）表5煤炭工业无组织排放限值。</w:t>
            </w:r>
          </w:p>
          <w:p>
            <w:pPr>
              <w:spacing w:line="360" w:lineRule="auto"/>
              <w:jc w:val="left"/>
              <w:rPr>
                <w:rFonts w:hint="eastAsia"/>
                <w:color w:val="000000"/>
                <w:szCs w:val="21"/>
                <w:lang w:val="en-US" w:eastAsia="zh-CN"/>
              </w:rPr>
            </w:pPr>
            <w:r>
              <w:rPr>
                <w:rFonts w:hint="eastAsia"/>
                <w:color w:val="000000"/>
                <w:szCs w:val="21"/>
                <w:lang w:val="en-US" w:eastAsia="zh-CN"/>
              </w:rPr>
              <w:t>2、运营期不产生生产废水。生活污水经化粪池沉淀后拉运处理。</w:t>
            </w:r>
          </w:p>
          <w:p>
            <w:pPr>
              <w:spacing w:line="360" w:lineRule="auto"/>
              <w:jc w:val="left"/>
              <w:rPr>
                <w:rFonts w:hint="eastAsia"/>
                <w:color w:val="000000"/>
                <w:szCs w:val="21"/>
                <w:lang w:val="en-US" w:eastAsia="zh-CN"/>
              </w:rPr>
            </w:pPr>
            <w:r>
              <w:rPr>
                <w:rFonts w:hint="eastAsia"/>
                <w:color w:val="000000"/>
                <w:szCs w:val="21"/>
                <w:lang w:val="en-US" w:eastAsia="zh-CN"/>
              </w:rPr>
              <w:t>3、运营期厂界噪声执行《工业企业厂界环境噪声排放标准》（GB12348-2008）中3类标准。</w:t>
            </w:r>
          </w:p>
          <w:p>
            <w:pPr>
              <w:spacing w:line="360" w:lineRule="auto"/>
              <w:jc w:val="left"/>
              <w:rPr>
                <w:rFonts w:hint="eastAsia"/>
                <w:color w:val="000000"/>
                <w:szCs w:val="21"/>
                <w:lang w:val="en-US" w:eastAsia="zh-CN"/>
              </w:rPr>
            </w:pPr>
            <w:r>
              <w:rPr>
                <w:rFonts w:hint="eastAsia"/>
                <w:color w:val="000000"/>
                <w:szCs w:val="21"/>
                <w:lang w:val="en-US" w:eastAsia="zh-CN"/>
              </w:rPr>
              <w:t>4、妥善处置各类固体废弃物。建设单位须严格按照《一般工业固体废物贮存和填埋污染控制标准》（GB18599-2020）处置一般固废，不得乱弃。危废暂存库须严格按照《危险废物贮存污染控制标准》（GB18597-2023）进行设计、建设和管理。危险废物收集和运输等均按照《危险废物收集 贮存 运输技术规范》(HJ2025-2012)要求执行。危废必须由有资质单位处置。非正常情况下泄露的危险废物及冲洗水进入应急事故池中，收集后交由有资质单位处置。</w:t>
            </w:r>
          </w:p>
          <w:p>
            <w:pPr>
              <w:spacing w:line="360" w:lineRule="auto"/>
              <w:jc w:val="left"/>
              <w:rPr>
                <w:rFonts w:hint="eastAsia"/>
                <w:color w:val="000000"/>
                <w:szCs w:val="21"/>
                <w:lang w:val="en-US" w:eastAsia="zh-CN"/>
              </w:rPr>
            </w:pPr>
            <w:r>
              <w:rPr>
                <w:rFonts w:hint="eastAsia"/>
                <w:color w:val="000000"/>
                <w:szCs w:val="21"/>
                <w:lang w:val="en-US" w:eastAsia="zh-CN"/>
              </w:rPr>
              <w:t>5、地面须按相关要求做好防渗措施，确保不会对地下水造成影响。</w:t>
            </w:r>
          </w:p>
          <w:p>
            <w:pPr>
              <w:spacing w:line="360" w:lineRule="auto"/>
              <w:jc w:val="left"/>
              <w:rPr>
                <w:rFonts w:hint="eastAsia"/>
                <w:color w:val="000000"/>
                <w:szCs w:val="21"/>
                <w:lang w:val="en-US" w:eastAsia="zh-CN"/>
              </w:rPr>
            </w:pPr>
            <w:r>
              <w:rPr>
                <w:rFonts w:hint="eastAsia"/>
                <w:color w:val="000000"/>
                <w:szCs w:val="21"/>
                <w:lang w:val="en-US" w:eastAsia="zh-CN"/>
              </w:rPr>
              <w:t>6、强化环境风险防范，制定突发环境事件应急预案，落实环境风险事故防范措施，提高事故风险防范和污染控制能力。</w:t>
            </w:r>
          </w:p>
          <w:p>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pPr>
              <w:spacing w:line="360" w:lineRule="auto"/>
              <w:jc w:val="left"/>
              <w:rPr>
                <w:rFonts w:hint="eastAsia"/>
                <w:color w:val="000000"/>
                <w:szCs w:val="21"/>
                <w:lang w:val="en-US" w:eastAsia="zh-CN"/>
              </w:rPr>
            </w:pPr>
            <w:r>
              <w:rPr>
                <w:rFonts w:hint="eastAsia"/>
                <w:color w:val="000000"/>
                <w:szCs w:val="21"/>
                <w:lang w:val="en-US" w:eastAsia="zh-CN"/>
              </w:rPr>
              <w:t>三、本项目申请二氧化硫和氮氧化物总量分别为1.88吨/年和5.89吨/年（鄂环气字〔2023〕100号）。</w:t>
            </w:r>
          </w:p>
          <w:p>
            <w:pPr>
              <w:spacing w:line="360" w:lineRule="auto"/>
              <w:jc w:val="left"/>
              <w:rPr>
                <w:rFonts w:hint="eastAsia"/>
                <w:color w:val="000000"/>
                <w:szCs w:val="21"/>
                <w:lang w:val="en-US" w:eastAsia="zh-CN"/>
              </w:rPr>
            </w:pPr>
            <w:r>
              <w:rPr>
                <w:rFonts w:hint="eastAsia"/>
                <w:color w:val="000000"/>
                <w:szCs w:val="21"/>
                <w:lang w:val="en-US" w:eastAsia="zh-CN"/>
              </w:rPr>
              <w:t>四、你单位应委托有相应资质的设计单位对建设项目重点环保设施进行设计，并在项目施工及运行过程中严格落实环保设施安全生产工作要求。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lang w:val="en-US" w:eastAsia="zh-CN"/>
              </w:rPr>
            </w:pPr>
            <w:r>
              <w:rPr>
                <w:rFonts w:hint="eastAsia"/>
                <w:color w:val="000000"/>
                <w:szCs w:val="21"/>
                <w:lang w:val="en-US" w:eastAsia="zh-CN"/>
              </w:rPr>
              <w:t>五、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rFonts w:hint="eastAsia"/>
                <w:color w:val="000000"/>
                <w:szCs w:val="21"/>
                <w:lang w:val="en-US" w:eastAsia="zh-CN"/>
              </w:rPr>
            </w:pPr>
            <w:r>
              <w:rPr>
                <w:rFonts w:hint="eastAsia"/>
                <w:color w:val="000000"/>
                <w:szCs w:val="21"/>
                <w:lang w:val="en-US" w:eastAsia="zh-CN"/>
              </w:rPr>
              <w:t>六、</w:t>
            </w:r>
            <w:bookmarkStart w:id="0" w:name="_GoBack"/>
            <w:bookmarkEnd w:id="0"/>
            <w:r>
              <w:rPr>
                <w:rFonts w:hint="eastAsia"/>
                <w:color w:val="000000"/>
                <w:szCs w:val="21"/>
                <w:lang w:val="en-US" w:eastAsia="zh-CN"/>
              </w:rPr>
              <w:t xml:space="preserve">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15947A84"/>
    <w:rsid w:val="3B3C7634"/>
    <w:rsid w:val="45066A2A"/>
    <w:rsid w:val="4A331C29"/>
    <w:rsid w:val="4DE41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0" w:semiHidden="0"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0">
    <w:name w:val="Default Paragraph Font"/>
    <w:autoRedefine/>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Body Text First Indent 2"/>
    <w:basedOn w:val="4"/>
    <w:next w:val="1"/>
    <w:qFormat/>
    <w:uiPriority w:val="99"/>
    <w:pPr>
      <w:spacing w:line="240" w:lineRule="auto"/>
      <w:ind w:firstLine="420"/>
    </w:pPr>
  </w:style>
  <w:style w:type="paragraph" w:styleId="4">
    <w:name w:val="Body Text Indent"/>
    <w:basedOn w:val="1"/>
    <w:next w:val="1"/>
    <w:autoRedefine/>
    <w:qFormat/>
    <w:uiPriority w:val="99"/>
    <w:pPr>
      <w:ind w:left="420" w:leftChars="200"/>
    </w:pPr>
  </w:style>
  <w:style w:type="paragraph" w:styleId="5">
    <w:name w:val="Salutation"/>
    <w:basedOn w:val="1"/>
    <w:next w:val="1"/>
    <w:unhideWhenUsed/>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6">
    <w:name w:val="Plain Text"/>
    <w:basedOn w:val="1"/>
    <w:next w:val="5"/>
    <w:qFormat/>
    <w:uiPriority w:val="0"/>
    <w:rPr>
      <w:rFonts w:ascii="宋体" w:hAnsi="Courier New"/>
      <w:szCs w:val="21"/>
    </w:rPr>
  </w:style>
  <w:style w:type="paragraph" w:styleId="7">
    <w:name w:val="footer"/>
    <w:basedOn w:val="1"/>
    <w:link w:val="1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11">
    <w:name w:val="页眉 字符"/>
    <w:basedOn w:val="10"/>
    <w:link w:val="8"/>
    <w:autoRedefine/>
    <w:qFormat/>
    <w:uiPriority w:val="99"/>
    <w:rPr>
      <w:sz w:val="18"/>
      <w:szCs w:val="18"/>
    </w:rPr>
  </w:style>
  <w:style w:type="character" w:customStyle="1" w:styleId="12">
    <w:name w:val="页脚 字符"/>
    <w:basedOn w:val="10"/>
    <w:link w:val="7"/>
    <w:autoRedefine/>
    <w:qFormat/>
    <w:uiPriority w:val="99"/>
    <w:rPr>
      <w:sz w:val="18"/>
      <w:szCs w:val="18"/>
    </w:rPr>
  </w:style>
  <w:style w:type="character" w:customStyle="1" w:styleId="13">
    <w:name w:val="NormalCharacter"/>
    <w:autoRedefine/>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235</Words>
  <Characters>1344</Characters>
  <Lines>11</Lines>
  <Paragraphs>3</Paragraphs>
  <TotalTime>0</TotalTime>
  <ScaleCrop>false</ScaleCrop>
  <LinksUpToDate>false</LinksUpToDate>
  <CharactersWithSpaces>1576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2024-01-29T10:48:05Z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8A8837DC28804F048B97D671515894C8_12</vt:lpwstr>
  </property>
</Properties>
</file>