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6"/>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内蒙古沃</w:t>
      </w:r>
      <w:r>
        <w:rPr>
          <w:rStyle w:val="17"/>
          <w:rFonts w:hint="eastAsia" w:ascii="宋体" w:hAnsi="宋体" w:cs="Times New Roman"/>
          <w:b/>
          <w:bCs w:val="0"/>
          <w:color w:val="auto"/>
          <w:sz w:val="44"/>
          <w:szCs w:val="44"/>
          <w:lang w:val="en-US" w:eastAsia="zh-CN"/>
        </w:rPr>
        <w:t>沣</w:t>
      </w:r>
      <w:r>
        <w:rPr>
          <w:rStyle w:val="17"/>
          <w:rFonts w:hint="eastAsia" w:ascii="宋体" w:hAnsi="宋体" w:eastAsia="宋体" w:cs="Times New Roman"/>
          <w:b/>
          <w:bCs w:val="0"/>
          <w:color w:val="auto"/>
          <w:sz w:val="44"/>
          <w:szCs w:val="44"/>
        </w:rPr>
        <w:t>新材料有限公司金属保温</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一体化复合板</w:t>
      </w:r>
      <w:r>
        <w:rPr>
          <w:rStyle w:val="17"/>
          <w:rFonts w:hint="eastAsia" w:ascii="宋体" w:hAnsi="宋体" w:eastAsia="宋体" w:cs="Times New Roman"/>
          <w:b/>
          <w:bCs w:val="0"/>
          <w:color w:val="auto"/>
          <w:sz w:val="44"/>
          <w:szCs w:val="44"/>
          <w:lang w:eastAsia="zh-CN"/>
        </w:rPr>
        <w:t>建设</w:t>
      </w:r>
      <w:r>
        <w:rPr>
          <w:rStyle w:val="17"/>
          <w:rFonts w:hint="default" w:ascii="宋体" w:hAnsi="宋体" w:eastAsia="宋体" w:cs="Times New Roman"/>
          <w:b/>
          <w:bCs w:val="0"/>
          <w:color w:val="auto"/>
          <w:sz w:val="44"/>
          <w:szCs w:val="44"/>
          <w:lang w:val="en-US" w:eastAsia="zh-CN"/>
        </w:rPr>
        <w:t>项目</w:t>
      </w:r>
      <w:r>
        <w:rPr>
          <w:rStyle w:val="17"/>
          <w:rFonts w:hint="eastAsia" w:ascii="宋体" w:hAnsi="宋体" w:eastAsia="宋体" w:cs="Times New Roman"/>
          <w:b/>
          <w:bCs w:val="0"/>
          <w:color w:val="auto"/>
          <w:sz w:val="44"/>
          <w:szCs w:val="44"/>
        </w:rPr>
        <w:t>环境影响</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eastAsia="zh-CN"/>
        </w:rPr>
        <w:t>内蒙古沃</w:t>
      </w:r>
      <w:r>
        <w:rPr>
          <w:rStyle w:val="17"/>
          <w:rFonts w:hint="eastAsia" w:ascii="仿宋" w:hAnsi="仿宋" w:eastAsia="仿宋" w:cs="Times New Roman"/>
          <w:sz w:val="32"/>
          <w:szCs w:val="32"/>
          <w:lang w:val="en-US" w:eastAsia="zh-CN"/>
        </w:rPr>
        <w:t>沣</w:t>
      </w:r>
      <w:r>
        <w:rPr>
          <w:rStyle w:val="17"/>
          <w:rFonts w:hint="eastAsia" w:ascii="仿宋" w:hAnsi="仿宋" w:eastAsia="仿宋" w:cs="Times New Roman"/>
          <w:sz w:val="32"/>
          <w:szCs w:val="32"/>
          <w:lang w:eastAsia="zh-CN"/>
        </w:rPr>
        <w:t>新材料有限公司：</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lang w:val="en-US" w:eastAsia="zh-CN"/>
        </w:rPr>
        <w:t>的由鄂尔多斯市奇胜安环科技有限公司编制</w:t>
      </w:r>
      <w:r>
        <w:rPr>
          <w:rStyle w:val="17"/>
          <w:rFonts w:hint="eastAsia" w:ascii="仿宋" w:hAnsi="仿宋" w:eastAsia="仿宋"/>
          <w:sz w:val="32"/>
          <w:szCs w:val="32"/>
        </w:rPr>
        <w:t>的</w:t>
      </w:r>
      <w:r>
        <w:rPr>
          <w:rStyle w:val="17"/>
          <w:rFonts w:hint="eastAsia" w:ascii="仿宋" w:hAnsi="仿宋" w:eastAsia="仿宋" w:cs="Times New Roman"/>
          <w:sz w:val="32"/>
          <w:szCs w:val="32"/>
          <w:lang w:val="en-US" w:eastAsia="zh-CN"/>
        </w:rPr>
        <w:t>《内蒙古沃沣新材料有限公司金属保温一体化复合板项目环境影响报告表》（以下简称《报告表》）已收悉。经组织专家评</w:t>
      </w:r>
      <w:r>
        <w:rPr>
          <w:rStyle w:val="17"/>
          <w:rFonts w:hint="eastAsia" w:ascii="仿宋" w:hAnsi="仿宋" w:eastAsia="仿宋"/>
          <w:sz w:val="32"/>
          <w:szCs w:val="32"/>
          <w:lang w:val="en-US" w:eastAsia="zh-CN"/>
        </w:rPr>
        <w:t>审，集体研究，形成如下审批意见：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该项目属于新建项目，位于</w:t>
      </w:r>
      <w:r>
        <w:rPr>
          <w:rStyle w:val="17"/>
          <w:rFonts w:hint="eastAsia" w:ascii="仿宋" w:hAnsi="仿宋" w:eastAsia="仿宋" w:cs="Times New Roman"/>
          <w:sz w:val="32"/>
          <w:szCs w:val="32"/>
        </w:rPr>
        <w:t>东胜区枳机塔村建材园区</w:t>
      </w:r>
      <w:r>
        <w:rPr>
          <w:rStyle w:val="17"/>
          <w:rFonts w:hint="eastAsia" w:ascii="仿宋" w:hAnsi="仿宋" w:eastAsia="仿宋" w:cs="Times New Roman"/>
          <w:sz w:val="32"/>
          <w:szCs w:val="32"/>
          <w:lang w:val="en-US" w:eastAsia="zh-CN"/>
        </w:rPr>
        <w:t>。</w:t>
      </w:r>
      <w:r>
        <w:rPr>
          <w:rStyle w:val="17"/>
          <w:rFonts w:hint="eastAsia" w:ascii="仿宋" w:hAnsi="仿宋" w:eastAsia="仿宋" w:cs="Times New Roman"/>
          <w:sz w:val="32"/>
          <w:szCs w:val="32"/>
          <w:highlight w:val="none"/>
          <w:lang w:val="en-US" w:eastAsia="zh-CN"/>
        </w:rPr>
        <w:t>项目总</w:t>
      </w:r>
      <w:r>
        <w:rPr>
          <w:rStyle w:val="17"/>
          <w:rFonts w:hint="eastAsia" w:ascii="仿宋" w:hAnsi="仿宋" w:eastAsia="仿宋" w:cs="Times New Roman"/>
          <w:sz w:val="32"/>
          <w:szCs w:val="32"/>
          <w:highlight w:val="none"/>
          <w:lang w:eastAsia="zh-CN"/>
        </w:rPr>
        <w:t>占地面</w:t>
      </w:r>
      <w:r>
        <w:rPr>
          <w:rStyle w:val="17"/>
          <w:rFonts w:hint="eastAsia" w:ascii="仿宋" w:hAnsi="仿宋" w:eastAsia="仿宋"/>
          <w:sz w:val="32"/>
          <w:szCs w:val="32"/>
          <w:highlight w:val="none"/>
          <w:lang w:eastAsia="zh-CN"/>
        </w:rPr>
        <w:t>积</w:t>
      </w:r>
      <w:r>
        <w:rPr>
          <w:rStyle w:val="17"/>
          <w:rFonts w:hint="eastAsia" w:ascii="仿宋" w:hAnsi="仿宋" w:eastAsia="仿宋" w:cs="Times New Roman"/>
          <w:sz w:val="32"/>
          <w:szCs w:val="32"/>
          <w:highlight w:val="none"/>
          <w:lang w:val="en-US" w:eastAsia="zh-CN"/>
        </w:rPr>
        <w:t>4000</w:t>
      </w:r>
      <w:r>
        <w:rPr>
          <w:rStyle w:val="17"/>
          <w:rFonts w:hint="eastAsia" w:ascii="仿宋" w:hAnsi="仿宋" w:eastAsia="仿宋" w:cs="Times New Roman"/>
          <w:sz w:val="32"/>
          <w:szCs w:val="32"/>
          <w:highlight w:val="none"/>
          <w:lang w:eastAsia="zh-CN"/>
        </w:rPr>
        <w:t>平方</w:t>
      </w:r>
      <w:r>
        <w:rPr>
          <w:rStyle w:val="17"/>
          <w:rFonts w:hint="eastAsia" w:ascii="仿宋" w:hAnsi="仿宋" w:eastAsia="仿宋"/>
          <w:sz w:val="32"/>
          <w:szCs w:val="32"/>
          <w:highlight w:val="none"/>
          <w:lang w:eastAsia="zh-CN"/>
        </w:rPr>
        <w:t>米</w:t>
      </w:r>
      <w:r>
        <w:rPr>
          <w:rStyle w:val="17"/>
          <w:rFonts w:hint="eastAsia" w:ascii="仿宋" w:hAnsi="仿宋" w:eastAsia="仿宋" w:cs="Times New Roman"/>
          <w:sz w:val="32"/>
          <w:szCs w:val="32"/>
          <w:highlight w:val="none"/>
          <w:lang w:val="en-US" w:eastAsia="zh-CN"/>
        </w:rPr>
        <w:t>，</w:t>
      </w:r>
      <w:r>
        <w:rPr>
          <w:rStyle w:val="17"/>
          <w:rFonts w:hint="default" w:ascii="仿宋" w:hAnsi="仿宋" w:eastAsia="仿宋" w:cs="Times New Roman"/>
          <w:sz w:val="32"/>
          <w:szCs w:val="32"/>
          <w:highlight w:val="none"/>
          <w:lang w:val="en-US" w:eastAsia="zh-CN"/>
        </w:rPr>
        <w:t>总投资</w:t>
      </w:r>
      <w:r>
        <w:rPr>
          <w:rStyle w:val="17"/>
          <w:rFonts w:hint="eastAsia" w:ascii="仿宋" w:hAnsi="仿宋" w:eastAsia="仿宋" w:cs="Times New Roman"/>
          <w:sz w:val="32"/>
          <w:szCs w:val="32"/>
          <w:highlight w:val="none"/>
          <w:lang w:val="en-US" w:eastAsia="zh-CN"/>
        </w:rPr>
        <w:t>500万</w:t>
      </w:r>
      <w:r>
        <w:rPr>
          <w:rStyle w:val="17"/>
          <w:rFonts w:hint="default" w:ascii="仿宋" w:hAnsi="仿宋" w:eastAsia="仿宋" w:cs="Times New Roman"/>
          <w:sz w:val="32"/>
          <w:szCs w:val="32"/>
          <w:highlight w:val="none"/>
          <w:lang w:val="en-US" w:eastAsia="zh-CN"/>
        </w:rPr>
        <w:t>元，</w:t>
      </w:r>
      <w:r>
        <w:rPr>
          <w:rStyle w:val="17"/>
          <w:rFonts w:hint="eastAsia" w:ascii="仿宋" w:hAnsi="仿宋" w:eastAsia="仿宋" w:cs="Times New Roman"/>
          <w:sz w:val="32"/>
          <w:szCs w:val="32"/>
          <w:lang w:val="en-US" w:eastAsia="zh-CN"/>
        </w:rPr>
        <w:t>其中</w:t>
      </w:r>
      <w:r>
        <w:rPr>
          <w:rStyle w:val="17"/>
          <w:rFonts w:hint="default" w:ascii="仿宋" w:hAnsi="仿宋" w:eastAsia="仿宋"/>
          <w:sz w:val="32"/>
          <w:szCs w:val="32"/>
        </w:rPr>
        <w:t>环保</w:t>
      </w:r>
      <w:r>
        <w:rPr>
          <w:rStyle w:val="17"/>
          <w:rFonts w:hint="default" w:ascii="仿宋" w:hAnsi="仿宋" w:eastAsia="仿宋" w:cs="Times New Roman"/>
          <w:color w:val="auto"/>
          <w:sz w:val="32"/>
          <w:szCs w:val="32"/>
          <w:lang w:eastAsia="zh-CN"/>
        </w:rPr>
        <w:t>投资</w:t>
      </w:r>
      <w:r>
        <w:rPr>
          <w:rStyle w:val="17"/>
          <w:rFonts w:hint="eastAsia" w:ascii="仿宋" w:hAnsi="仿宋" w:eastAsia="仿宋" w:cs="Times New Roman"/>
          <w:color w:val="auto"/>
          <w:sz w:val="32"/>
          <w:szCs w:val="32"/>
          <w:lang w:val="en-US" w:eastAsia="zh-CN"/>
        </w:rPr>
        <w:t>40万元</w:t>
      </w:r>
      <w:r>
        <w:rPr>
          <w:rStyle w:val="17"/>
          <w:rFonts w:hint="eastAsia" w:ascii="仿宋" w:hAnsi="仿宋" w:eastAsia="仿宋" w:cs="Times New Roman"/>
          <w:color w:val="auto"/>
          <w:sz w:val="32"/>
          <w:szCs w:val="32"/>
          <w:lang w:eastAsia="zh-CN"/>
        </w:rPr>
        <w:t>。主要建设</w:t>
      </w:r>
      <w:r>
        <w:rPr>
          <w:rStyle w:val="17"/>
          <w:rFonts w:hint="eastAsia" w:ascii="仿宋" w:hAnsi="仿宋" w:eastAsia="仿宋" w:cs="Times New Roman"/>
          <w:sz w:val="32"/>
          <w:szCs w:val="32"/>
          <w:lang w:eastAsia="zh-CN"/>
        </w:rPr>
        <w:t>内容及规模：</w:t>
      </w:r>
      <w:r>
        <w:rPr>
          <w:rStyle w:val="17"/>
          <w:rFonts w:hint="eastAsia" w:ascii="仿宋" w:hAnsi="仿宋" w:eastAsia="仿宋"/>
          <w:sz w:val="32"/>
          <w:szCs w:val="32"/>
          <w:lang w:val="en-US" w:eastAsia="zh-CN"/>
        </w:rPr>
        <w:t>本项目租赁内蒙古嘉士特建筑节能材料有限公司闲置厂房建设</w:t>
      </w: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条金属保温一体化复合板生产线</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eastAsia="zh-CN"/>
        </w:rPr>
        <w:t>利用</w:t>
      </w:r>
      <w:r>
        <w:rPr>
          <w:rStyle w:val="17"/>
          <w:rFonts w:hint="eastAsia" w:ascii="仿宋" w:hAnsi="仿宋" w:eastAsia="仿宋"/>
          <w:sz w:val="32"/>
          <w:szCs w:val="32"/>
          <w:lang w:val="en-US" w:eastAsia="zh-CN"/>
        </w:rPr>
        <w:t>原有厂房改造1座15平方米危废暂存库，同时配套建设公辅工程和环保工程。</w:t>
      </w:r>
      <w:r>
        <w:rPr>
          <w:rStyle w:val="17"/>
          <w:rFonts w:hint="eastAsia" w:ascii="仿宋" w:hAnsi="仿宋" w:eastAsia="仿宋" w:cs="Times New Roman"/>
          <w:color w:val="auto"/>
          <w:sz w:val="32"/>
          <w:szCs w:val="32"/>
        </w:rPr>
        <w:t>建成后年产金属保温一体化复合板产品50000</w:t>
      </w:r>
      <w:r>
        <w:rPr>
          <w:rStyle w:val="17"/>
          <w:rFonts w:hint="eastAsia" w:ascii="仿宋" w:hAnsi="仿宋" w:eastAsia="仿宋" w:cs="Times New Roman"/>
          <w:color w:val="auto"/>
          <w:sz w:val="32"/>
          <w:szCs w:val="32"/>
          <w:highlight w:val="none"/>
          <w:lang w:eastAsia="zh-CN"/>
        </w:rPr>
        <w:t>平方</w:t>
      </w:r>
      <w:r>
        <w:rPr>
          <w:rStyle w:val="17"/>
          <w:rFonts w:hint="eastAsia" w:ascii="仿宋" w:hAnsi="仿宋" w:eastAsia="仿宋"/>
          <w:color w:val="auto"/>
          <w:sz w:val="32"/>
          <w:szCs w:val="32"/>
          <w:highlight w:val="none"/>
          <w:lang w:eastAsia="zh-CN"/>
        </w:rPr>
        <w:t>米</w:t>
      </w:r>
      <w:r>
        <w:rPr>
          <w:rStyle w:val="17"/>
          <w:rFonts w:hint="eastAsia" w:ascii="仿宋" w:hAnsi="仿宋" w:eastAsia="仿宋"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Style w:val="17"/>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w:t>
      </w:r>
      <w:r>
        <w:rPr>
          <w:rFonts w:hint="eastAsia" w:ascii="仿宋" w:hAnsi="仿宋" w:eastAsia="仿宋" w:cs="仿宋"/>
          <w:color w:val="auto"/>
          <w:sz w:val="32"/>
          <w:szCs w:val="32"/>
        </w:rPr>
        <w:t>化粪池沉淀后拉运处理。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Fonts w:hint="eastAsia" w:ascii="仿宋" w:hAnsi="仿宋" w:eastAsia="仿宋" w:cs="仿宋"/>
          <w:color w:val="auto"/>
          <w:sz w:val="32"/>
          <w:szCs w:val="32"/>
          <w:lang w:val="en-US" w:eastAsia="zh-CN"/>
        </w:rPr>
        <w:t>4、</w:t>
      </w:r>
      <w:r>
        <w:rPr>
          <w:rStyle w:val="17"/>
          <w:rFonts w:hint="eastAsia" w:ascii="仿宋" w:hAnsi="仿宋" w:eastAsia="仿宋"/>
          <w:sz w:val="32"/>
          <w:szCs w:val="32"/>
          <w:lang w:val="en-US" w:eastAsia="zh-CN"/>
        </w:rPr>
        <w:t>固体废物集中堆放及时清运交有关部门进行相关处理。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sz w:val="32"/>
          <w:szCs w:val="32"/>
          <w:lang w:val="en-US" w:eastAsia="zh-CN"/>
        </w:rPr>
      </w:pPr>
      <w:r>
        <w:rPr>
          <w:rStyle w:val="17"/>
          <w:rFonts w:hint="eastAsia" w:ascii="仿宋" w:hAnsi="仿宋" w:eastAsia="仿宋"/>
          <w:sz w:val="32"/>
          <w:szCs w:val="32"/>
          <w:lang w:val="en-US" w:eastAsia="zh-CN"/>
        </w:rPr>
        <w:t>（二）严格落实运营期污染防治措施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sz w:val="32"/>
          <w:szCs w:val="32"/>
          <w:lang w:val="en-US" w:eastAsia="zh-CN"/>
        </w:rPr>
        <w:t>1、运营期物料储存、装卸、输送、生产过程全封闭。切</w:t>
      </w:r>
      <w:r>
        <w:rPr>
          <w:rFonts w:hint="eastAsia" w:ascii="仿宋" w:hAnsi="仿宋" w:eastAsia="仿宋" w:cs="仿宋"/>
          <w:color w:val="auto"/>
          <w:kern w:val="0"/>
          <w:sz w:val="32"/>
          <w:szCs w:val="32"/>
          <w:lang w:val="en-US" w:eastAsia="zh-CN" w:bidi="ar-SA"/>
        </w:rPr>
        <w:t>割废气</w:t>
      </w:r>
      <w:r>
        <w:rPr>
          <w:rFonts w:hint="eastAsia" w:ascii="仿宋" w:hAnsi="仿宋" w:eastAsia="仿宋" w:cs="仿宋"/>
          <w:strike w:val="0"/>
          <w:dstrike w:val="0"/>
          <w:color w:val="auto"/>
          <w:kern w:val="0"/>
          <w:sz w:val="32"/>
          <w:szCs w:val="32"/>
          <w:lang w:val="en-US" w:eastAsia="zh-CN" w:bidi="ar-SA"/>
        </w:rPr>
        <w:t>经收集处理后由1根15米高排气筒排放，</w:t>
      </w:r>
      <w:r>
        <w:rPr>
          <w:rStyle w:val="17"/>
          <w:rFonts w:hint="eastAsia" w:ascii="仿宋" w:hAnsi="仿宋" w:eastAsia="仿宋" w:cs="Times New Roman"/>
          <w:color w:val="auto"/>
          <w:sz w:val="32"/>
          <w:szCs w:val="32"/>
          <w:highlight w:val="none"/>
          <w:lang w:val="en-US" w:eastAsia="zh-CN"/>
        </w:rPr>
        <w:t>涂胶废气</w:t>
      </w:r>
      <w:r>
        <w:rPr>
          <w:rFonts w:hint="eastAsia" w:ascii="仿宋" w:hAnsi="仿宋" w:eastAsia="仿宋" w:cs="仿宋"/>
          <w:strike w:val="0"/>
          <w:dstrike w:val="0"/>
          <w:color w:val="auto"/>
          <w:kern w:val="0"/>
          <w:sz w:val="32"/>
          <w:szCs w:val="32"/>
          <w:lang w:val="en-US" w:eastAsia="zh-CN" w:bidi="ar-SA"/>
        </w:rPr>
        <w:t>经收集处理后由另1根15米高排气筒排放，均执行《大气污染物综合排放标准》（GB9078-1996）表2中二级标准。</w:t>
      </w:r>
      <w:r>
        <w:rPr>
          <w:rFonts w:hint="eastAsia" w:ascii="仿宋" w:hAnsi="仿宋" w:eastAsia="仿宋" w:cs="仿宋"/>
          <w:strike w:val="0"/>
          <w:dstrike w:val="0"/>
          <w:color w:val="auto"/>
          <w:kern w:val="0"/>
          <w:sz w:val="32"/>
          <w:szCs w:val="32"/>
          <w:highlight w:val="none"/>
          <w:lang w:val="en-US" w:eastAsia="zh-CN" w:bidi="ar-SA"/>
        </w:rPr>
        <w:t>非甲烷总烃车间外无组织排放执行《挥发性有机物无组织排放控制标准》（GB37822-2019）附录A中表A.1排放限值。厂界</w:t>
      </w:r>
      <w:r>
        <w:rPr>
          <w:rStyle w:val="17"/>
          <w:rFonts w:hint="eastAsia" w:ascii="仿宋" w:hAnsi="仿宋" w:eastAsia="仿宋" w:cs="Times New Roman"/>
          <w:color w:val="auto"/>
          <w:sz w:val="32"/>
          <w:szCs w:val="32"/>
          <w:highlight w:val="none"/>
          <w:lang w:val="en-US" w:eastAsia="zh-CN"/>
        </w:rPr>
        <w:t>无组织废气排放执行《大气污染物综合排放标准》（GB16297-1996）表2中无组织排放监控浓度限值。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color w:val="auto"/>
          <w:sz w:val="32"/>
          <w:szCs w:val="32"/>
          <w:lang w:val="en-US" w:eastAsia="zh-CN"/>
        </w:rPr>
      </w:pPr>
      <w:r>
        <w:rPr>
          <w:rStyle w:val="17"/>
          <w:rFonts w:hint="eastAsia" w:ascii="仿宋" w:hAnsi="仿宋" w:eastAsia="仿宋" w:cs="Times New Roman"/>
          <w:color w:val="auto"/>
          <w:sz w:val="32"/>
          <w:szCs w:val="32"/>
          <w:lang w:val="en-US" w:eastAsia="zh-CN"/>
        </w:rPr>
        <w:t>2、</w:t>
      </w: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不产生生产废水。</w:t>
      </w:r>
      <w:r>
        <w:rPr>
          <w:rStyle w:val="17"/>
          <w:rFonts w:hint="default" w:ascii="仿宋" w:hAnsi="仿宋" w:eastAsia="仿宋" w:cs="Times New Roman"/>
          <w:color w:val="auto"/>
          <w:sz w:val="32"/>
          <w:szCs w:val="32"/>
          <w:lang w:val="en-US" w:eastAsia="zh-CN"/>
        </w:rPr>
        <w:t>生活污水经化粪池</w:t>
      </w:r>
      <w:r>
        <w:rPr>
          <w:rStyle w:val="17"/>
          <w:rFonts w:hint="eastAsia" w:ascii="仿宋" w:hAnsi="仿宋" w:eastAsia="仿宋" w:cs="Times New Roman"/>
          <w:color w:val="auto"/>
          <w:sz w:val="32"/>
          <w:szCs w:val="32"/>
          <w:lang w:val="en-US" w:eastAsia="zh-CN"/>
        </w:rPr>
        <w:t>沉淀</w:t>
      </w:r>
      <w:r>
        <w:rPr>
          <w:rStyle w:val="17"/>
          <w:rFonts w:hint="default" w:ascii="仿宋" w:hAnsi="仿宋" w:eastAsia="仿宋" w:cs="Times New Roman"/>
          <w:color w:val="auto"/>
          <w:sz w:val="32"/>
          <w:szCs w:val="32"/>
          <w:lang w:val="en-US" w:eastAsia="zh-CN"/>
        </w:rPr>
        <w:t>后</w:t>
      </w:r>
      <w:r>
        <w:rPr>
          <w:rFonts w:hint="eastAsia" w:ascii="仿宋" w:hAnsi="仿宋" w:eastAsia="仿宋" w:cs="仿宋"/>
          <w:color w:val="auto"/>
          <w:sz w:val="32"/>
          <w:szCs w:val="32"/>
          <w:lang w:val="en-US" w:eastAsia="zh-CN"/>
        </w:rPr>
        <w:t>拉运处理。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w:t>
      </w:r>
      <w:bookmarkStart w:id="0" w:name="_GoBack"/>
      <w:bookmarkEnd w:id="0"/>
      <w:r>
        <w:rPr>
          <w:rStyle w:val="17"/>
          <w:rFonts w:hint="eastAsia" w:ascii="仿宋" w:hAnsi="仿宋" w:eastAsia="仿宋"/>
          <w:color w:val="auto"/>
          <w:sz w:val="32"/>
          <w:szCs w:val="32"/>
        </w:rPr>
        <w:t>的措施等发生重大变化时，需重新报批环评文件。</w:t>
      </w:r>
      <w:r>
        <w:rPr>
          <w:rStyle w:val="17"/>
          <w:rFonts w:ascii="仿宋" w:hAnsi="仿宋" w:eastAsia="仿宋"/>
          <w:color w:val="auto"/>
          <w:sz w:val="32"/>
          <w:szCs w:val="32"/>
        </w:rPr>
        <w:t xml:space="preserve">                                       </w:t>
      </w:r>
    </w:p>
    <w:p>
      <w:pPr>
        <w:pStyle w:val="3"/>
        <w:keepNext w:val="0"/>
        <w:keepLines w:val="0"/>
        <w:pageBreakBefore w:val="0"/>
        <w:kinsoku/>
        <w:wordWrap/>
        <w:overflowPunct/>
        <w:topLinePunct w:val="0"/>
        <w:autoSpaceDE/>
        <w:autoSpaceDN/>
        <w:bidi w:val="0"/>
        <w:adjustRightInd/>
        <w:snapToGrid/>
        <w:spacing w:line="560" w:lineRule="exact"/>
        <w:rPr>
          <w:rFonts w:hint="eastAsia"/>
          <w:lang w:val="en-US" w:eastAsia="zh-CN"/>
        </w:rPr>
      </w:pPr>
    </w:p>
    <w:p>
      <w:pPr>
        <w:pStyle w:val="3"/>
        <w:keepNext w:val="0"/>
        <w:keepLines w:val="0"/>
        <w:pageBreakBefore w:val="0"/>
        <w:kinsoku/>
        <w:wordWrap/>
        <w:overflowPunct/>
        <w:topLinePunct w:val="0"/>
        <w:autoSpaceDE/>
        <w:autoSpaceDN/>
        <w:bidi w:val="0"/>
        <w:adjustRightInd/>
        <w:snapToGrid/>
        <w:spacing w:line="560" w:lineRule="exact"/>
        <w:rPr>
          <w:rFonts w:hint="default"/>
          <w:lang w:val="en-US" w:eastAsia="zh-CN"/>
        </w:rPr>
      </w:pPr>
    </w:p>
    <w:p>
      <w:pPr>
        <w:pStyle w:val="2"/>
        <w:ind w:left="0" w:leftChars="0" w:firstLine="0" w:firstLineChars="0"/>
      </w:pPr>
    </w:p>
    <w:p>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7"/>
          <w:rFonts w:ascii="仿宋" w:hAnsi="仿宋" w:eastAsia="仿宋"/>
          <w:color w:val="auto"/>
          <w:sz w:val="32"/>
          <w:szCs w:val="32"/>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22</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
        <w:rPr>
          <w:rStyle w:val="17"/>
          <w:rFonts w:ascii="仿宋" w:hAnsi="仿宋" w:eastAsia="仿宋"/>
          <w:color w:val="auto"/>
          <w:sz w:val="32"/>
          <w:szCs w:val="32"/>
        </w:rPr>
      </w:pPr>
    </w:p>
    <w:p>
      <w:pPr>
        <w:rPr>
          <w:rStyle w:val="17"/>
          <w:rFonts w:ascii="仿宋" w:hAnsi="仿宋" w:eastAsia="仿宋"/>
          <w:color w:val="auto"/>
          <w:sz w:val="32"/>
          <w:szCs w:val="32"/>
        </w:rPr>
      </w:pPr>
    </w:p>
    <w:p>
      <w:pPr>
        <w:pStyle w:val="2"/>
      </w:pPr>
    </w:p>
    <w:p>
      <w:pPr>
        <w:pStyle w:val="2"/>
      </w:pPr>
    </w:p>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1</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22</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304"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D4335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870D92"/>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8E382A"/>
    <w:rsid w:val="23921405"/>
    <w:rsid w:val="23C9100A"/>
    <w:rsid w:val="24421E65"/>
    <w:rsid w:val="246473DF"/>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3F090E"/>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BF23FA"/>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446B65"/>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AC10A1"/>
    <w:rsid w:val="3DB17760"/>
    <w:rsid w:val="3DD06792"/>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5DC1E35"/>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7F4F1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B94FAC"/>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9E43C1"/>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13268"/>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autoRedefine/>
    <w:unhideWhenUsed/>
    <w:qFormat/>
    <w:uiPriority w:val="39"/>
    <w:pPr>
      <w:ind w:left="420" w:leftChars="200"/>
    </w:pPr>
  </w:style>
  <w:style w:type="paragraph" w:styleId="3">
    <w:name w:val="Normal Indent"/>
    <w:basedOn w:val="1"/>
    <w:next w:val="4"/>
    <w:autoRedefine/>
    <w:qFormat/>
    <w:uiPriority w:val="0"/>
    <w:pPr>
      <w:ind w:firstLine="420"/>
    </w:pPr>
  </w:style>
  <w:style w:type="paragraph" w:styleId="4">
    <w:name w:val="Body Text First Indent 2"/>
    <w:basedOn w:val="5"/>
    <w:next w:val="1"/>
    <w:autoRedefine/>
    <w:qFormat/>
    <w:uiPriority w:val="99"/>
    <w:pPr>
      <w:spacing w:line="240" w:lineRule="auto"/>
      <w:ind w:firstLine="420"/>
    </w:pPr>
  </w:style>
  <w:style w:type="paragraph" w:styleId="5">
    <w:name w:val="Body Text Indent"/>
    <w:basedOn w:val="1"/>
    <w:next w:val="1"/>
    <w:autoRedefine/>
    <w:qFormat/>
    <w:uiPriority w:val="99"/>
    <w:pPr>
      <w:ind w:left="420" w:leftChars="200"/>
    </w:pPr>
  </w:style>
  <w:style w:type="paragraph" w:styleId="6">
    <w:name w:val="annotation text"/>
    <w:basedOn w:val="1"/>
    <w:autoRedefine/>
    <w:qFormat/>
    <w:uiPriority w:val="0"/>
    <w:pPr>
      <w:jc w:val="left"/>
    </w:pPr>
  </w:style>
  <w:style w:type="paragraph" w:styleId="7">
    <w:name w:val="Body Text"/>
    <w:basedOn w:val="1"/>
    <w:link w:val="22"/>
    <w:autoRedefine/>
    <w:qFormat/>
    <w:uiPriority w:val="99"/>
    <w:pPr>
      <w:spacing w:after="120"/>
    </w:pPr>
    <w:rPr>
      <w:rFonts w:ascii="Calibri" w:hAnsi="Calibri"/>
      <w:szCs w:val="22"/>
    </w:rPr>
  </w:style>
  <w:style w:type="paragraph" w:styleId="8">
    <w:name w:val="Plain Text"/>
    <w:basedOn w:val="1"/>
    <w:autoRedefine/>
    <w:qFormat/>
    <w:uiPriority w:val="0"/>
    <w:rPr>
      <w:rFonts w:ascii="宋体" w:hAnsi="Courier New"/>
      <w:szCs w:val="21"/>
    </w:rPr>
  </w:style>
  <w:style w:type="paragraph" w:styleId="9">
    <w:name w:val="Date"/>
    <w:basedOn w:val="1"/>
    <w:next w:val="1"/>
    <w:link w:val="23"/>
    <w:autoRedefine/>
    <w:qFormat/>
    <w:uiPriority w:val="99"/>
    <w:pPr>
      <w:ind w:left="100" w:leftChars="2500"/>
    </w:pPr>
  </w:style>
  <w:style w:type="paragraph" w:styleId="10">
    <w:name w:val="footer"/>
    <w:basedOn w:val="1"/>
    <w:link w:val="24"/>
    <w:autoRedefine/>
    <w:qFormat/>
    <w:uiPriority w:val="99"/>
    <w:pPr>
      <w:tabs>
        <w:tab w:val="center" w:pos="4153"/>
        <w:tab w:val="right" w:pos="8306"/>
      </w:tabs>
      <w:snapToGrid w:val="0"/>
      <w:jc w:val="left"/>
    </w:pPr>
    <w:rPr>
      <w:sz w:val="18"/>
    </w:rPr>
  </w:style>
  <w:style w:type="paragraph" w:styleId="11">
    <w:name w:val="header"/>
    <w:basedOn w:val="1"/>
    <w:link w:val="25"/>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autoRedefine/>
    <w:qFormat/>
    <w:uiPriority w:val="0"/>
    <w:pPr>
      <w:spacing w:after="120"/>
      <w:ind w:firstLine="420" w:firstLineChars="100"/>
    </w:pPr>
  </w:style>
  <w:style w:type="character" w:styleId="16">
    <w:name w:val="Strong"/>
    <w:basedOn w:val="17"/>
    <w:autoRedefine/>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样式 正文缩进正文缩进2正文缩进 Char Char正文缩进 Char Char Char Char正文缩进 Char ..."/>
    <w:basedOn w:val="3"/>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5"/>
    <w:next w:val="1"/>
    <w:autoRedefine/>
    <w:qFormat/>
    <w:uiPriority w:val="0"/>
    <w:pPr>
      <w:spacing w:afterLines="0"/>
      <w:ind w:left="420" w:firstLine="420" w:firstLineChars="200"/>
    </w:pPr>
    <w:rPr>
      <w:lang w:eastAsia="zh-CN" w:bidi="ar-SA"/>
    </w:r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7"/>
    <w:autoRedefine/>
    <w:semiHidden/>
    <w:qFormat/>
    <w:uiPriority w:val="99"/>
    <w:rPr>
      <w:color w:val="000000"/>
      <w:kern w:val="0"/>
      <w:szCs w:val="20"/>
    </w:rPr>
  </w:style>
  <w:style w:type="character" w:customStyle="1" w:styleId="23">
    <w:name w:val="日期 Char"/>
    <w:basedOn w:val="15"/>
    <w:link w:val="9"/>
    <w:autoRedefine/>
    <w:semiHidden/>
    <w:qFormat/>
    <w:uiPriority w:val="99"/>
    <w:rPr>
      <w:color w:val="000000"/>
      <w:kern w:val="0"/>
      <w:szCs w:val="20"/>
    </w:rPr>
  </w:style>
  <w:style w:type="character" w:customStyle="1" w:styleId="24">
    <w:name w:val="页脚 Char"/>
    <w:basedOn w:val="17"/>
    <w:link w:val="10"/>
    <w:autoRedefine/>
    <w:qFormat/>
    <w:locked/>
    <w:uiPriority w:val="99"/>
    <w:rPr>
      <w:rFonts w:cs="Times New Roman"/>
      <w:color w:val="000000"/>
      <w:sz w:val="18"/>
    </w:rPr>
  </w:style>
  <w:style w:type="character" w:customStyle="1" w:styleId="25">
    <w:name w:val="页眉 Char"/>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autoRedefine/>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autoRedefin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autoRedefine/>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autoRedefine/>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autoRedefine/>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autoRedefine/>
    <w:qFormat/>
    <w:uiPriority w:val="99"/>
    <w:pPr>
      <w:tabs>
        <w:tab w:val="left" w:leader="dot" w:pos="8503"/>
      </w:tabs>
      <w:spacing w:line="317" w:lineRule="atLeast"/>
      <w:ind w:firstLine="209"/>
    </w:pPr>
  </w:style>
  <w:style w:type="paragraph" w:customStyle="1" w:styleId="45">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tblPr>
      <w:tblCellMar>
        <w:top w:w="0" w:type="dxa"/>
        <w:left w:w="0" w:type="dxa"/>
        <w:bottom w:w="0" w:type="dxa"/>
        <w:right w:w="0" w:type="dxa"/>
      </w:tblCellMar>
    </w:tblPr>
  </w:style>
  <w:style w:type="paragraph" w:customStyle="1" w:styleId="47">
    <w:name w:val="BodyTextIndent"/>
    <w:basedOn w:val="1"/>
    <w:autoRedefine/>
    <w:qFormat/>
    <w:uiPriority w:val="99"/>
    <w:pPr>
      <w:spacing w:after="120"/>
      <w:ind w:left="420" w:leftChars="200"/>
    </w:pPr>
  </w:style>
  <w:style w:type="paragraph" w:customStyle="1" w:styleId="48">
    <w:name w:val="BodyText1I2"/>
    <w:basedOn w:val="47"/>
    <w:autoRedefine/>
    <w:qFormat/>
    <w:uiPriority w:val="99"/>
    <w:pPr>
      <w:ind w:firstLine="420" w:firstLineChars="200"/>
    </w:pPr>
  </w:style>
  <w:style w:type="paragraph" w:customStyle="1" w:styleId="49">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8</TotalTime>
  <ScaleCrop>false</ScaleCrop>
  <LinksUpToDate>false</LinksUpToDate>
  <CharactersWithSpaces>2084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2024-01-25T02:36:12Z</cp:lastPrinted>
  <dcterms:modified xsi:type="dcterms:W3CDTF">2024-01-25T02:39:20Z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