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rPr>
          <w:color w:val="000000"/>
          <w:sz w:val="24"/>
          <w:szCs w:val="24"/>
        </w:rPr>
      </w:pPr>
      <w:r>
        <w:rPr>
          <w:rFonts w:hint="eastAsia"/>
          <w:color w:val="000000"/>
          <w:sz w:val="24"/>
          <w:szCs w:val="24"/>
        </w:rPr>
        <w:t>项目情况表</w:t>
      </w:r>
    </w:p>
    <w:tbl>
      <w:tblPr>
        <w:tblStyle w:val="8"/>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pPr>
              <w:spacing w:line="240" w:lineRule="atLeast"/>
              <w:jc w:val="center"/>
              <w:rPr>
                <w:color w:val="000000"/>
                <w:szCs w:val="21"/>
              </w:rPr>
            </w:pPr>
            <w:r>
              <w:rPr>
                <w:color w:val="000000"/>
                <w:szCs w:val="21"/>
              </w:rPr>
              <w:t>编号</w:t>
            </w:r>
          </w:p>
        </w:tc>
        <w:tc>
          <w:tcPr>
            <w:tcW w:w="473" w:type="dxa"/>
            <w:vAlign w:val="center"/>
          </w:tcPr>
          <w:p>
            <w:pPr>
              <w:spacing w:line="240" w:lineRule="atLeast"/>
              <w:jc w:val="center"/>
              <w:rPr>
                <w:color w:val="000000"/>
                <w:szCs w:val="21"/>
              </w:rPr>
            </w:pPr>
            <w:r>
              <w:rPr>
                <w:color w:val="000000"/>
                <w:szCs w:val="21"/>
              </w:rPr>
              <w:t>项目名称</w:t>
            </w:r>
          </w:p>
        </w:tc>
        <w:tc>
          <w:tcPr>
            <w:tcW w:w="397" w:type="dxa"/>
            <w:vAlign w:val="center"/>
          </w:tcPr>
          <w:p>
            <w:pPr>
              <w:spacing w:line="240" w:lineRule="atLeast"/>
              <w:jc w:val="center"/>
              <w:rPr>
                <w:color w:val="000000"/>
                <w:szCs w:val="21"/>
              </w:rPr>
            </w:pPr>
            <w:r>
              <w:rPr>
                <w:color w:val="000000"/>
                <w:szCs w:val="21"/>
              </w:rPr>
              <w:t>建设地点</w:t>
            </w:r>
          </w:p>
        </w:tc>
        <w:tc>
          <w:tcPr>
            <w:tcW w:w="465" w:type="dxa"/>
            <w:vAlign w:val="center"/>
          </w:tcPr>
          <w:p>
            <w:pPr>
              <w:spacing w:line="240" w:lineRule="atLeast"/>
              <w:jc w:val="center"/>
              <w:rPr>
                <w:color w:val="000000"/>
                <w:szCs w:val="21"/>
              </w:rPr>
            </w:pPr>
            <w:r>
              <w:rPr>
                <w:color w:val="000000"/>
                <w:szCs w:val="21"/>
              </w:rPr>
              <w:t>建设单位</w:t>
            </w:r>
          </w:p>
        </w:tc>
        <w:tc>
          <w:tcPr>
            <w:tcW w:w="675" w:type="dxa"/>
            <w:vAlign w:val="center"/>
          </w:tcPr>
          <w:p>
            <w:pPr>
              <w:spacing w:line="240" w:lineRule="atLeast"/>
              <w:jc w:val="center"/>
              <w:rPr>
                <w:color w:val="000000"/>
                <w:szCs w:val="21"/>
              </w:rPr>
            </w:pPr>
            <w:r>
              <w:rPr>
                <w:color w:val="000000"/>
                <w:szCs w:val="21"/>
              </w:rPr>
              <w:t>环境影响评价机构</w:t>
            </w:r>
          </w:p>
        </w:tc>
        <w:tc>
          <w:tcPr>
            <w:tcW w:w="2555" w:type="dxa"/>
            <w:vAlign w:val="center"/>
          </w:tcPr>
          <w:p>
            <w:pPr>
              <w:spacing w:line="240" w:lineRule="atLeast"/>
              <w:jc w:val="center"/>
              <w:rPr>
                <w:color w:val="000000"/>
                <w:szCs w:val="21"/>
              </w:rPr>
            </w:pPr>
            <w:r>
              <w:rPr>
                <w:color w:val="000000"/>
                <w:szCs w:val="21"/>
              </w:rPr>
              <w:t>项目概况</w:t>
            </w:r>
          </w:p>
        </w:tc>
        <w:tc>
          <w:tcPr>
            <w:tcW w:w="4877" w:type="dxa"/>
            <w:vAlign w:val="center"/>
          </w:tcPr>
          <w:p>
            <w:pPr>
              <w:spacing w:line="240" w:lineRule="atLeast"/>
              <w:jc w:val="center"/>
              <w:rPr>
                <w:color w:val="000000"/>
                <w:szCs w:val="21"/>
              </w:rPr>
            </w:pPr>
            <w:r>
              <w:rPr>
                <w:color w:val="000000"/>
                <w:szCs w:val="21"/>
              </w:rPr>
              <w:t>主要环境影响及预防或者减轻不良环境影响的对策和措施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pPr>
              <w:spacing w:line="240" w:lineRule="atLeast"/>
              <w:jc w:val="center"/>
              <w:rPr>
                <w:color w:val="000000"/>
                <w:szCs w:val="21"/>
              </w:rPr>
            </w:pPr>
            <w:r>
              <w:rPr>
                <w:color w:val="000000"/>
                <w:szCs w:val="21"/>
              </w:rPr>
              <w:t>1</w:t>
            </w:r>
          </w:p>
        </w:tc>
        <w:tc>
          <w:tcPr>
            <w:tcW w:w="473" w:type="dxa"/>
            <w:vAlign w:val="center"/>
          </w:tcPr>
          <w:p>
            <w:pPr>
              <w:adjustRightInd w:val="0"/>
              <w:snapToGrid w:val="0"/>
              <w:jc w:val="center"/>
              <w:rPr>
                <w:rFonts w:eastAsia="仿宋"/>
                <w:color w:val="000000"/>
              </w:rPr>
            </w:pPr>
            <w:r>
              <w:rPr>
                <w:rFonts w:hint="default" w:ascii="Times New Roman" w:hAnsi="Times New Roman" w:eastAsia="宋体" w:cs="Times New Roman"/>
                <w:szCs w:val="22"/>
                <w:lang w:val="en-US" w:eastAsia="zh-CN"/>
              </w:rPr>
              <w:t>煤矿综采液压支架千斤顶再制造项目</w:t>
            </w:r>
          </w:p>
        </w:tc>
        <w:tc>
          <w:tcPr>
            <w:tcW w:w="397" w:type="dxa"/>
            <w:vAlign w:val="center"/>
          </w:tcPr>
          <w:p>
            <w:pPr>
              <w:spacing w:line="240" w:lineRule="atLeast"/>
              <w:jc w:val="center"/>
              <w:rPr>
                <w:color w:val="000000"/>
                <w:szCs w:val="21"/>
              </w:rPr>
            </w:pPr>
            <w:r>
              <w:rPr>
                <w:rFonts w:hint="eastAsia" w:ascii="Times New Roman" w:hAnsi="Times New Roman" w:eastAsia="宋体"/>
                <w:szCs w:val="22"/>
                <w:lang w:val="en-US" w:eastAsia="zh-CN"/>
              </w:rPr>
              <w:t>内蒙古自治区鄂尔多斯市鄂尔多斯高新技术产业开发区装备制造产业园公园大街9号</w:t>
            </w:r>
          </w:p>
        </w:tc>
        <w:tc>
          <w:tcPr>
            <w:tcW w:w="465" w:type="dxa"/>
            <w:vAlign w:val="center"/>
          </w:tcPr>
          <w:p>
            <w:pPr>
              <w:spacing w:line="240" w:lineRule="atLeast"/>
              <w:jc w:val="center"/>
              <w:rPr>
                <w:color w:val="000000"/>
                <w:szCs w:val="21"/>
              </w:rPr>
            </w:pPr>
            <w:r>
              <w:rPr>
                <w:rFonts w:hint="eastAsia"/>
                <w:color w:val="000000"/>
                <w:szCs w:val="21"/>
                <w:lang w:val="en-US" w:eastAsia="zh-CN"/>
              </w:rPr>
              <w:t>内蒙古鑫旺精恒智能装备有限公司</w:t>
            </w:r>
            <w:r>
              <w:rPr>
                <w:color w:val="000000"/>
                <w:szCs w:val="21"/>
              </w:rPr>
              <w:t xml:space="preserve">  </w:t>
            </w:r>
          </w:p>
        </w:tc>
        <w:tc>
          <w:tcPr>
            <w:tcW w:w="675" w:type="dxa"/>
            <w:vAlign w:val="center"/>
          </w:tcPr>
          <w:p>
            <w:pPr>
              <w:spacing w:line="360" w:lineRule="auto"/>
              <w:jc w:val="center"/>
              <w:rPr>
                <w:color w:val="000000"/>
                <w:szCs w:val="21"/>
              </w:rPr>
            </w:pPr>
            <w:r>
              <w:rPr>
                <w:rFonts w:hint="eastAsia"/>
                <w:color w:val="000000"/>
                <w:szCs w:val="21"/>
              </w:rPr>
              <w:t>鄂尔多斯市奇胜安环科技有限公司</w:t>
            </w:r>
          </w:p>
        </w:tc>
        <w:tc>
          <w:tcPr>
            <w:tcW w:w="2555" w:type="dxa"/>
            <w:vAlign w:val="center"/>
          </w:tcPr>
          <w:p>
            <w:pPr>
              <w:spacing w:line="360" w:lineRule="auto"/>
              <w:ind w:firstLine="420" w:firstLineChars="200"/>
              <w:rPr>
                <w:rFonts w:hint="eastAsia"/>
                <w:color w:val="000000"/>
                <w:szCs w:val="21"/>
                <w:lang w:val="en-US" w:eastAsia="zh-CN"/>
              </w:rPr>
            </w:pPr>
            <w:r>
              <w:rPr>
                <w:rFonts w:hint="eastAsia"/>
                <w:color w:val="000000"/>
                <w:szCs w:val="21"/>
                <w:lang w:val="en-US" w:eastAsia="zh-CN"/>
              </w:rPr>
              <w:t>一、该项目属于新建项目，位于鄂尔多斯高新技术产业开发区装备制造产业园公园大街9号。项目总占地面积5100平方米，总投资5000万元，其中环保投资45万元。主要建设内容及规模：本项目租赁鄂尔多斯市金蒙交通设施制造有限责任公司现有1号空置厂房建设1条煤矿综采液压支架千斤顶再制造生产线，新建1座25平方米危废暂存库，同时配套建设公辅工程和环保工程。建成后预计每年对立柱、千斤顶的表层修理面积约20000平方米。</w:t>
            </w:r>
          </w:p>
          <w:p>
            <w:pPr>
              <w:spacing w:line="360" w:lineRule="auto"/>
              <w:ind w:firstLine="420" w:firstLineChars="200"/>
              <w:rPr>
                <w:color w:val="000000"/>
                <w:szCs w:val="21"/>
              </w:rPr>
            </w:pPr>
          </w:p>
        </w:tc>
        <w:tc>
          <w:tcPr>
            <w:tcW w:w="4877" w:type="dxa"/>
            <w:vAlign w:val="center"/>
          </w:tcPr>
          <w:p>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施工期大气污染物排放执行《大气污染物综合排放标准》（GB16297-1996）表2中无组织排放监控浓度限值。</w:t>
            </w:r>
          </w:p>
          <w:p>
            <w:pPr>
              <w:spacing w:line="360" w:lineRule="auto"/>
              <w:jc w:val="left"/>
              <w:rPr>
                <w:rFonts w:hint="eastAsia"/>
                <w:color w:val="000000"/>
                <w:szCs w:val="21"/>
                <w:lang w:val="en-US" w:eastAsia="zh-CN"/>
              </w:rPr>
            </w:pPr>
            <w:r>
              <w:rPr>
                <w:rFonts w:hint="eastAsia"/>
                <w:color w:val="000000"/>
                <w:szCs w:val="21"/>
                <w:lang w:val="en-US" w:eastAsia="zh-CN"/>
              </w:rPr>
              <w:t>2、施工人员生活污水经化粪池沉淀</w:t>
            </w:r>
            <w:r>
              <w:rPr>
                <w:rFonts w:hint="eastAsia"/>
                <w:color w:val="000000"/>
                <w:szCs w:val="21"/>
              </w:rPr>
              <w:t>后</w:t>
            </w:r>
            <w:r>
              <w:rPr>
                <w:rFonts w:hint="eastAsia"/>
                <w:color w:val="000000"/>
                <w:szCs w:val="21"/>
                <w:lang w:val="en-US" w:eastAsia="zh-CN"/>
              </w:rPr>
              <w:t>排入园区污水管网。</w:t>
            </w:r>
          </w:p>
          <w:p>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4、固体废物集中堆放及时清运交有关部门进行相关处理。</w:t>
            </w:r>
          </w:p>
          <w:p>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pPr>
              <w:spacing w:line="360" w:lineRule="auto"/>
              <w:jc w:val="left"/>
              <w:rPr>
                <w:rFonts w:hint="eastAsia"/>
                <w:color w:val="000000"/>
                <w:szCs w:val="21"/>
                <w:lang w:val="en-US" w:eastAsia="zh-CN"/>
              </w:rPr>
            </w:pPr>
            <w:r>
              <w:rPr>
                <w:rFonts w:hint="eastAsia"/>
                <w:color w:val="000000"/>
                <w:szCs w:val="21"/>
                <w:lang w:val="en-US" w:eastAsia="zh-CN"/>
              </w:rPr>
              <w:t>1、运营期喷漆区全封闭。抛丸粉尘经收集处理后由1根15米高排气筒排放，喷漆废气经收集处理后由另1根15米高排气筒排放，均执行《大气污染物综合排放标准》（GB9078-1996）表2中二级标准。非甲烷总烃车间外无组织排放执行《挥发性有机物无组织排放控制标准》（GB37822-2019）附录A中表A.1排放限值。厂界无组织废气排放执行《大气污染物综合排放标准》（GB16297-1996）表2中无组织排放监控浓度限值。</w:t>
            </w:r>
          </w:p>
          <w:p>
            <w:pPr>
              <w:spacing w:line="360" w:lineRule="auto"/>
              <w:jc w:val="left"/>
              <w:rPr>
                <w:rFonts w:hint="eastAsia"/>
                <w:color w:val="000000"/>
                <w:szCs w:val="21"/>
                <w:lang w:val="en-US" w:eastAsia="zh-CN"/>
              </w:rPr>
            </w:pPr>
            <w:r>
              <w:rPr>
                <w:rFonts w:hint="eastAsia"/>
                <w:color w:val="000000"/>
                <w:szCs w:val="21"/>
                <w:lang w:val="en-US" w:eastAsia="zh-CN"/>
              </w:rPr>
              <w:t>2、运营期生活污水经化粪池沉淀，生产废水经隔油池处理后，均排入园区污水管网。</w:t>
            </w:r>
          </w:p>
          <w:p>
            <w:pPr>
              <w:spacing w:line="360" w:lineRule="auto"/>
              <w:jc w:val="left"/>
              <w:rPr>
                <w:rFonts w:hint="eastAsia"/>
                <w:color w:val="000000"/>
                <w:szCs w:val="21"/>
              </w:rPr>
            </w:pPr>
            <w:r>
              <w:rPr>
                <w:rFonts w:hint="eastAsia"/>
                <w:color w:val="000000"/>
                <w:szCs w:val="21"/>
                <w:lang w:val="en-US" w:eastAsia="zh-CN"/>
              </w:rPr>
              <w:t>3、</w:t>
            </w:r>
            <w:r>
              <w:rPr>
                <w:rFonts w:hint="eastAsia"/>
                <w:color w:val="000000"/>
                <w:szCs w:val="21"/>
              </w:rPr>
              <w:t>运营期厂界噪声执行《工业企业厂界环境噪声排放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3</w:t>
            </w:r>
            <w:r>
              <w:rPr>
                <w:rFonts w:hint="eastAsia"/>
                <w:color w:val="000000"/>
                <w:szCs w:val="21"/>
              </w:rPr>
              <w:t>类标准。</w:t>
            </w:r>
          </w:p>
          <w:p>
            <w:pPr>
              <w:spacing w:line="360" w:lineRule="auto"/>
              <w:jc w:val="left"/>
              <w:rPr>
                <w:rFonts w:hint="eastAsia"/>
                <w:color w:val="000000"/>
                <w:szCs w:val="21"/>
              </w:rPr>
            </w:pPr>
            <w:r>
              <w:rPr>
                <w:rFonts w:hint="eastAsia"/>
                <w:color w:val="000000"/>
                <w:szCs w:val="21"/>
                <w:lang w:val="en-US" w:eastAsia="zh-CN"/>
              </w:rPr>
              <w:t>4、妥善处置各类固体废弃物。建设单位须严格按照《一般工业固体废物贮存和填埋污染控制标准》（GB18599-2020）处置一般固废，不得乱弃。</w:t>
            </w:r>
            <w:r>
              <w:rPr>
                <w:rFonts w:hint="eastAsia"/>
                <w:color w:val="000000"/>
                <w:szCs w:val="21"/>
                <w:lang w:val="en-US"/>
              </w:rPr>
              <w:t>危废暂存库须严格按照《危险废物贮存污染控制标准》（GB18597-20</w:t>
            </w:r>
            <w:r>
              <w:rPr>
                <w:rFonts w:hint="eastAsia"/>
                <w:color w:val="000000"/>
                <w:szCs w:val="21"/>
                <w:lang w:val="en-US" w:eastAsia="zh-CN"/>
              </w:rPr>
              <w:t>23</w:t>
            </w:r>
            <w:r>
              <w:rPr>
                <w:rFonts w:hint="eastAsia"/>
                <w:color w:val="000000"/>
                <w:szCs w:val="21"/>
                <w:lang w:val="en-US"/>
              </w:rPr>
              <w:t>）进行设计、建设和管理。</w:t>
            </w:r>
            <w:r>
              <w:rPr>
                <w:rFonts w:hint="eastAsia"/>
                <w:color w:val="000000"/>
                <w:szCs w:val="21"/>
                <w:lang w:val="en-US" w:eastAsia="zh-CN"/>
              </w:rPr>
              <w:t>危险废物收集和运输等均按照《危险废物收集 贮存 运输技术规范》(HJ2025-2012)要求执行。</w:t>
            </w:r>
            <w:r>
              <w:rPr>
                <w:rFonts w:hint="eastAsia"/>
                <w:color w:val="000000"/>
                <w:szCs w:val="21"/>
              </w:rPr>
              <w:t>危废必须由有资质单位处置。</w:t>
            </w:r>
            <w:r>
              <w:rPr>
                <w:rFonts w:hint="eastAsia"/>
                <w:color w:val="000000"/>
                <w:szCs w:val="21"/>
                <w:lang w:val="en-US" w:eastAsia="zh-CN"/>
              </w:rPr>
              <w:t>非正常情况下泄露的危险废物及冲洗水进入应急事故池中，收集后交由有资质单位处置。</w:t>
            </w:r>
          </w:p>
          <w:p>
            <w:pPr>
              <w:spacing w:line="360" w:lineRule="auto"/>
              <w:jc w:val="left"/>
              <w:rPr>
                <w:rFonts w:hint="eastAsia"/>
                <w:color w:val="000000"/>
                <w:szCs w:val="21"/>
              </w:rPr>
            </w:pPr>
            <w:r>
              <w:rPr>
                <w:rFonts w:hint="eastAsia"/>
                <w:color w:val="000000"/>
                <w:szCs w:val="21"/>
                <w:lang w:val="en-US" w:eastAsia="zh-CN"/>
              </w:rPr>
              <w:t>5、地面须按相关要求做好防渗措施，确保不会对地下水造成影响。</w:t>
            </w:r>
          </w:p>
          <w:p>
            <w:pPr>
              <w:spacing w:line="360" w:lineRule="auto"/>
              <w:jc w:val="left"/>
              <w:rPr>
                <w:rFonts w:hint="eastAsia"/>
                <w:color w:val="000000"/>
                <w:szCs w:val="21"/>
              </w:rPr>
            </w:pPr>
            <w:r>
              <w:rPr>
                <w:rFonts w:hint="eastAsia"/>
                <w:color w:val="000000"/>
                <w:szCs w:val="21"/>
                <w:lang w:val="en-US" w:eastAsia="zh-CN"/>
              </w:rPr>
              <w:t>6、强化环境风险防范，制定突发环境事件应急预案，落实环境风险事故防范措施，提高事故风险防范和污染控制能力。</w:t>
            </w:r>
          </w:p>
          <w:p>
            <w:pPr>
              <w:spacing w:line="360" w:lineRule="auto"/>
              <w:jc w:val="left"/>
              <w:rPr>
                <w:rFonts w:hint="eastAsia"/>
                <w:color w:val="000000"/>
                <w:szCs w:val="21"/>
                <w:lang w:val="en-US" w:eastAsia="zh-CN"/>
              </w:rPr>
            </w:pPr>
            <w:r>
              <w:rPr>
                <w:rFonts w:hint="eastAsia"/>
                <w:color w:val="000000"/>
                <w:szCs w:val="21"/>
                <w:lang w:val="en-US" w:eastAsia="zh-CN"/>
              </w:rPr>
              <w:t>7、按照《排污口规范化整治技术要求》（环监〔1996〕470号）规范设置排污口。</w:t>
            </w:r>
          </w:p>
          <w:p>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pPr>
              <w:spacing w:line="360" w:lineRule="auto"/>
              <w:jc w:val="left"/>
              <w:rPr>
                <w:color w:val="000000"/>
                <w:szCs w:val="21"/>
              </w:rPr>
            </w:pPr>
            <w:r>
              <w:rPr>
                <w:rFonts w:hint="eastAsia"/>
                <w:color w:val="000000"/>
                <w:szCs w:val="21"/>
                <w:lang w:val="en-US" w:eastAsia="zh-CN"/>
              </w:rPr>
              <w:t>五、</w:t>
            </w:r>
            <w:bookmarkStart w:id="0" w:name="_GoBack"/>
            <w:bookmarkEnd w:id="0"/>
            <w:r>
              <w:rPr>
                <w:rFonts w:hint="eastAsia"/>
                <w:color w:val="000000"/>
                <w:szCs w:val="21"/>
              </w:rPr>
              <w:t>你单位应在收到本批复20日内，将《报告表》（报批版）及批复文件送至鄂尔多斯市生态环境综合行政执法支队东胜区大队，由鄂尔多斯市生态环境综合行政执法支队东胜区大队负责该项目的事中事后监管</w:t>
            </w:r>
            <w:r>
              <w:rPr>
                <w:rFonts w:hint="eastAsia"/>
                <w:color w:val="000000"/>
                <w:szCs w:val="21"/>
                <w:lang w:eastAsia="zh-CN"/>
              </w:rPr>
              <w:t>。</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5E5359D9"/>
    <w:rsid w:val="6A525C38"/>
    <w:rsid w:val="6E8F53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9">
    <w:name w:val="Default Paragraph Font"/>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3"/>
    <w:autoRedefine/>
    <w:semiHidden/>
    <w:unhideWhenUsed/>
    <w:qFormat/>
    <w:uiPriority w:val="99"/>
    <w:pPr>
      <w:ind w:firstLine="420" w:firstLineChars="200"/>
    </w:pPr>
  </w:style>
  <w:style w:type="paragraph" w:styleId="3">
    <w:name w:val="Body Text First Indent 2"/>
    <w:basedOn w:val="4"/>
    <w:next w:val="1"/>
    <w:autoRedefine/>
    <w:qFormat/>
    <w:uiPriority w:val="99"/>
    <w:pPr>
      <w:spacing w:line="240" w:lineRule="auto"/>
      <w:ind w:firstLine="420"/>
    </w:pPr>
  </w:style>
  <w:style w:type="paragraph" w:styleId="4">
    <w:name w:val="Body Text Indent"/>
    <w:basedOn w:val="1"/>
    <w:next w:val="1"/>
    <w:qFormat/>
    <w:uiPriority w:val="99"/>
    <w:pPr>
      <w:ind w:left="420" w:leftChars="200"/>
    </w:pPr>
  </w:style>
  <w:style w:type="paragraph" w:styleId="5">
    <w:name w:val="endnote text"/>
    <w:basedOn w:val="1"/>
    <w:qFormat/>
    <w:uiPriority w:val="0"/>
    <w:pPr>
      <w:snapToGrid w:val="0"/>
      <w:jc w:val="left"/>
    </w:pPr>
  </w:style>
  <w:style w:type="paragraph" w:styleId="6">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0"/>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10">
    <w:name w:val="页眉 字符"/>
    <w:basedOn w:val="9"/>
    <w:link w:val="7"/>
    <w:autoRedefine/>
    <w:qFormat/>
    <w:uiPriority w:val="99"/>
    <w:rPr>
      <w:sz w:val="18"/>
      <w:szCs w:val="18"/>
    </w:rPr>
  </w:style>
  <w:style w:type="character" w:customStyle="1" w:styleId="11">
    <w:name w:val="页脚 字符"/>
    <w:basedOn w:val="9"/>
    <w:link w:val="6"/>
    <w:qFormat/>
    <w:uiPriority w:val="99"/>
    <w:rPr>
      <w:sz w:val="18"/>
      <w:szCs w:val="18"/>
    </w:rPr>
  </w:style>
  <w:style w:type="character" w:customStyle="1" w:styleId="12">
    <w:name w:val="NormalCharacter"/>
    <w:autoRedefine/>
    <w:semiHidden/>
    <w:qFormat/>
    <w:uiPriority w:val="99"/>
  </w:style>
  <w:style w:type="paragraph" w:customStyle="1" w:styleId="13">
    <w:name w:val="样式3（代正文）"/>
    <w:autoRedefine/>
    <w:qFormat/>
    <w:uiPriority w:val="0"/>
    <w:pPr>
      <w:widowControl w:val="0"/>
      <w:adjustRightInd w:val="0"/>
      <w:snapToGrid w:val="0"/>
      <w:spacing w:line="520" w:lineRule="exact"/>
      <w:ind w:firstLine="200" w:firstLineChars="200"/>
    </w:pPr>
    <w:rPr>
      <w:rFonts w:ascii="Times New Roman" w:hAnsi="Times New Roman" w:eastAsia="宋体" w:cs="Times New Roman"/>
      <w:snapToGrid w:val="0"/>
      <w:sz w:val="28"/>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235</Words>
  <Characters>1344</Characters>
  <Lines>11</Lines>
  <Paragraphs>3</Paragraphs>
  <TotalTime>1</TotalTime>
  <ScaleCrop>false</ScaleCrop>
  <LinksUpToDate>false</LinksUpToDate>
  <CharactersWithSpaces>1576</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2024-01-15T03:45:41Z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80F7A427FECA4254869E66C4E9138997_12</vt:lpwstr>
  </property>
</Properties>
</file>