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8"/>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default" w:ascii="Times New Roman" w:hAnsi="Times New Roman" w:eastAsia="宋体" w:cs="Times New Roman"/>
                <w:szCs w:val="22"/>
                <w:lang w:val="en-US" w:eastAsia="zh-CN"/>
              </w:rPr>
              <w:t>内蒙古鄂尔多斯市潮脑梁煤炭有限公司矿田西部火点隐患封堵覆盖治理项目</w:t>
            </w:r>
          </w:p>
        </w:tc>
        <w:tc>
          <w:tcPr>
            <w:tcW w:w="397" w:type="dxa"/>
            <w:vAlign w:val="center"/>
          </w:tcPr>
          <w:p>
            <w:pPr>
              <w:spacing w:line="240" w:lineRule="atLeast"/>
              <w:jc w:val="center"/>
              <w:rPr>
                <w:color w:val="000000"/>
                <w:szCs w:val="21"/>
              </w:rPr>
            </w:pPr>
            <w:r>
              <w:rPr>
                <w:rFonts w:hint="eastAsia" w:ascii="Times New Roman" w:hAnsi="Times New Roman" w:eastAsia="宋体"/>
                <w:szCs w:val="22"/>
                <w:lang w:val="en-US" w:eastAsia="zh-CN"/>
              </w:rPr>
              <w:t>鄂尔多斯市东胜区铜川镇潮脑</w:t>
            </w:r>
            <w:bookmarkStart w:id="0" w:name="_GoBack"/>
            <w:bookmarkEnd w:id="0"/>
            <w:r>
              <w:rPr>
                <w:rFonts w:hint="eastAsia" w:ascii="Times New Roman" w:hAnsi="Times New Roman" w:eastAsia="宋体"/>
                <w:szCs w:val="22"/>
                <w:lang w:val="en-US" w:eastAsia="zh-CN"/>
              </w:rPr>
              <w:t>梁村潮脑梁煤矿</w:t>
            </w:r>
          </w:p>
        </w:tc>
        <w:tc>
          <w:tcPr>
            <w:tcW w:w="465" w:type="dxa"/>
            <w:vAlign w:val="center"/>
          </w:tcPr>
          <w:p>
            <w:pPr>
              <w:spacing w:line="240" w:lineRule="atLeast"/>
              <w:jc w:val="center"/>
              <w:rPr>
                <w:color w:val="000000"/>
                <w:szCs w:val="21"/>
              </w:rPr>
            </w:pPr>
            <w:r>
              <w:rPr>
                <w:rFonts w:hint="default"/>
                <w:color w:val="000000"/>
                <w:szCs w:val="21"/>
              </w:rPr>
              <w:t>内蒙古鄂尔多斯市潮脑梁煤炭有限公司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内蒙古腾烽环境检测有限公司</w:t>
            </w:r>
          </w:p>
        </w:tc>
        <w:tc>
          <w:tcPr>
            <w:tcW w:w="2555" w:type="dxa"/>
            <w:vAlign w:val="center"/>
          </w:tcPr>
          <w:p>
            <w:pPr>
              <w:spacing w:line="360" w:lineRule="auto"/>
              <w:ind w:firstLine="420" w:firstLineChars="200"/>
              <w:rPr>
                <w:rFonts w:hint="eastAsia"/>
                <w:color w:val="000000"/>
                <w:szCs w:val="21"/>
                <w:lang w:val="en-US" w:eastAsia="zh-CN"/>
              </w:rPr>
            </w:pPr>
            <w:r>
              <w:rPr>
                <w:rFonts w:hint="eastAsia"/>
                <w:color w:val="000000"/>
                <w:szCs w:val="21"/>
                <w:lang w:val="en-US" w:eastAsia="zh-CN"/>
              </w:rPr>
              <w:t>一、</w:t>
            </w:r>
            <w:r>
              <w:rPr>
                <w:rFonts w:hint="eastAsia"/>
                <w:color w:val="000000"/>
                <w:szCs w:val="21"/>
              </w:rPr>
              <w:t>该项目属于新建项目，位于</w:t>
            </w:r>
            <w:r>
              <w:rPr>
                <w:rFonts w:hint="default"/>
                <w:color w:val="000000"/>
                <w:szCs w:val="21"/>
                <w:lang w:val="en-US" w:eastAsia="zh-CN"/>
              </w:rPr>
              <w:t>鄂尔多斯市东胜区铜川镇潮脑梁村潮脑梁煤矿</w:t>
            </w:r>
            <w:r>
              <w:rPr>
                <w:rFonts w:hint="eastAsia"/>
                <w:color w:val="000000"/>
                <w:szCs w:val="21"/>
                <w:lang w:val="en-US" w:eastAsia="zh-CN"/>
              </w:rPr>
              <w:t>。项目总</w:t>
            </w:r>
            <w:r>
              <w:rPr>
                <w:rFonts w:hint="eastAsia"/>
                <w:color w:val="000000"/>
                <w:szCs w:val="21"/>
                <w:lang w:eastAsia="zh-CN"/>
              </w:rPr>
              <w:t>占地面积</w:t>
            </w:r>
            <w:r>
              <w:rPr>
                <w:rFonts w:hint="eastAsia"/>
                <w:color w:val="000000"/>
                <w:szCs w:val="21"/>
                <w:lang w:val="en-US" w:eastAsia="zh-CN"/>
              </w:rPr>
              <w:t>79000</w:t>
            </w:r>
            <w:r>
              <w:rPr>
                <w:rFonts w:hint="eastAsia"/>
                <w:color w:val="000000"/>
                <w:szCs w:val="21"/>
                <w:lang w:eastAsia="zh-CN"/>
              </w:rPr>
              <w:t>平方米</w:t>
            </w:r>
            <w:r>
              <w:rPr>
                <w:rFonts w:hint="eastAsia"/>
                <w:color w:val="000000"/>
                <w:szCs w:val="21"/>
                <w:lang w:val="en-US" w:eastAsia="zh-CN"/>
              </w:rPr>
              <w:t>，</w:t>
            </w:r>
            <w:r>
              <w:rPr>
                <w:rFonts w:hint="default"/>
                <w:color w:val="000000"/>
                <w:szCs w:val="21"/>
                <w:lang w:val="en-US" w:eastAsia="zh-CN"/>
              </w:rPr>
              <w:t>总投资410.5</w:t>
            </w:r>
            <w:r>
              <w:rPr>
                <w:rFonts w:hint="eastAsia"/>
                <w:color w:val="000000"/>
                <w:szCs w:val="21"/>
                <w:lang w:val="en-US" w:eastAsia="zh-CN"/>
              </w:rPr>
              <w:t>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rPr>
              <w:t>环保</w:t>
            </w:r>
            <w:r>
              <w:rPr>
                <w:rFonts w:hint="default"/>
                <w:color w:val="000000"/>
                <w:szCs w:val="21"/>
                <w:lang w:eastAsia="zh-CN"/>
              </w:rPr>
              <w:t>投资</w:t>
            </w:r>
            <w:r>
              <w:rPr>
                <w:rFonts w:hint="eastAsia"/>
                <w:color w:val="000000"/>
                <w:szCs w:val="21"/>
                <w:lang w:val="en-US" w:eastAsia="zh-CN"/>
              </w:rPr>
              <w:t>151万元</w:t>
            </w:r>
            <w:r>
              <w:rPr>
                <w:rFonts w:hint="eastAsia"/>
                <w:color w:val="000000"/>
                <w:szCs w:val="21"/>
                <w:lang w:eastAsia="zh-CN"/>
              </w:rPr>
              <w:t>。主要建设内容及规模：</w:t>
            </w:r>
            <w:r>
              <w:rPr>
                <w:rFonts w:hint="default"/>
                <w:color w:val="000000"/>
                <w:szCs w:val="21"/>
                <w:lang w:val="en-US" w:eastAsia="zh-CN"/>
              </w:rPr>
              <w:t>本</w:t>
            </w:r>
            <w:r>
              <w:rPr>
                <w:rFonts w:hint="default"/>
                <w:color w:val="000000"/>
                <w:szCs w:val="21"/>
              </w:rPr>
              <w:t>项目</w:t>
            </w:r>
            <w:r>
              <w:rPr>
                <w:rFonts w:hint="eastAsia"/>
                <w:color w:val="000000"/>
                <w:szCs w:val="21"/>
                <w:lang w:val="en-US" w:eastAsia="zh-CN"/>
              </w:rPr>
              <w:t>利用黄土进行封堵，并覆盖表土进行土地复垦、绿化。</w:t>
            </w:r>
            <w:r>
              <w:rPr>
                <w:rFonts w:hint="default"/>
                <w:color w:val="000000"/>
                <w:szCs w:val="21"/>
                <w:lang w:val="en-US" w:eastAsia="zh-CN"/>
              </w:rPr>
              <w:t>治理</w:t>
            </w:r>
            <w:r>
              <w:rPr>
                <w:rFonts w:hint="default"/>
                <w:color w:val="000000"/>
                <w:szCs w:val="21"/>
              </w:rPr>
              <w:t>土地总面积为</w:t>
            </w:r>
            <w:r>
              <w:rPr>
                <w:rFonts w:hint="default"/>
                <w:color w:val="000000"/>
                <w:szCs w:val="21"/>
                <w:lang w:val="en-US" w:eastAsia="zh-CN"/>
              </w:rPr>
              <w:t>7.90</w:t>
            </w:r>
            <w:r>
              <w:rPr>
                <w:rFonts w:hint="default"/>
                <w:color w:val="000000"/>
                <w:szCs w:val="21"/>
              </w:rPr>
              <w:t>hm</w:t>
            </w:r>
            <w:r>
              <w:rPr>
                <w:rFonts w:hint="default"/>
                <w:color w:val="000000"/>
                <w:szCs w:val="21"/>
                <w:vertAlign w:val="superscript"/>
              </w:rPr>
              <w:t>2</w:t>
            </w:r>
            <w:r>
              <w:rPr>
                <w:rFonts w:hint="default"/>
                <w:color w:val="000000"/>
                <w:szCs w:val="21"/>
                <w:lang w:eastAsia="zh-CN"/>
              </w:rPr>
              <w:t>，</w:t>
            </w:r>
            <w:r>
              <w:rPr>
                <w:rFonts w:hint="default"/>
                <w:color w:val="000000"/>
                <w:szCs w:val="21"/>
                <w:lang w:val="en-US" w:eastAsia="zh-CN"/>
              </w:rPr>
              <w:t>其中火</w:t>
            </w:r>
            <w:r>
              <w:rPr>
                <w:rFonts w:hint="default"/>
                <w:color w:val="000000"/>
                <w:szCs w:val="21"/>
              </w:rPr>
              <w:t>区</w:t>
            </w:r>
            <w:r>
              <w:rPr>
                <w:rFonts w:hint="default"/>
                <w:color w:val="000000"/>
                <w:szCs w:val="21"/>
                <w:lang w:val="en-US" w:eastAsia="zh-CN"/>
              </w:rPr>
              <w:t>治理</w:t>
            </w:r>
            <w:r>
              <w:rPr>
                <w:rFonts w:hint="default"/>
                <w:color w:val="000000"/>
                <w:szCs w:val="21"/>
              </w:rPr>
              <w:t>面积为</w:t>
            </w:r>
            <w:r>
              <w:rPr>
                <w:rFonts w:hint="default"/>
                <w:color w:val="000000"/>
                <w:szCs w:val="21"/>
                <w:lang w:val="en-US" w:eastAsia="zh-CN"/>
              </w:rPr>
              <w:t>5.04</w:t>
            </w:r>
            <w:r>
              <w:rPr>
                <w:rFonts w:hint="default"/>
                <w:color w:val="000000"/>
                <w:szCs w:val="21"/>
              </w:rPr>
              <w:t>hm</w:t>
            </w:r>
            <w:r>
              <w:rPr>
                <w:rFonts w:hint="default"/>
                <w:color w:val="000000"/>
                <w:szCs w:val="21"/>
                <w:vertAlign w:val="superscript"/>
              </w:rPr>
              <w:t>2</w:t>
            </w:r>
            <w:r>
              <w:rPr>
                <w:rFonts w:hint="default"/>
                <w:color w:val="000000"/>
                <w:szCs w:val="21"/>
                <w:lang w:eastAsia="zh-CN"/>
              </w:rPr>
              <w:t>，</w:t>
            </w:r>
            <w:r>
              <w:rPr>
                <w:rFonts w:hint="default"/>
                <w:color w:val="000000"/>
                <w:szCs w:val="21"/>
                <w:lang w:val="en-US" w:eastAsia="zh-CN"/>
              </w:rPr>
              <w:t>取土区治理</w:t>
            </w:r>
            <w:r>
              <w:rPr>
                <w:rFonts w:hint="default"/>
                <w:color w:val="000000"/>
                <w:szCs w:val="21"/>
              </w:rPr>
              <w:t>面积为</w:t>
            </w:r>
            <w:r>
              <w:rPr>
                <w:rFonts w:hint="default"/>
                <w:color w:val="000000"/>
                <w:szCs w:val="21"/>
                <w:lang w:val="en-US" w:eastAsia="zh-CN"/>
              </w:rPr>
              <w:t>2.86</w:t>
            </w:r>
            <w:r>
              <w:rPr>
                <w:rFonts w:hint="default"/>
                <w:color w:val="000000"/>
                <w:szCs w:val="21"/>
              </w:rPr>
              <w:t>hm</w:t>
            </w:r>
            <w:r>
              <w:rPr>
                <w:rFonts w:hint="default"/>
                <w:color w:val="000000"/>
                <w:szCs w:val="21"/>
                <w:vertAlign w:val="superscript"/>
              </w:rPr>
              <w:t>2</w:t>
            </w:r>
            <w:r>
              <w:rPr>
                <w:rFonts w:hint="eastAsia"/>
                <w:color w:val="000000"/>
                <w:szCs w:val="21"/>
                <w:lang w:val="en-US" w:eastAsia="zh-CN"/>
              </w:rPr>
              <w:t xml:space="preserve"> 。</w:t>
            </w:r>
          </w:p>
          <w:p>
            <w:pPr>
              <w:spacing w:line="360" w:lineRule="auto"/>
              <w:ind w:firstLine="420" w:firstLineChars="200"/>
              <w:rPr>
                <w:color w:val="000000"/>
                <w:szCs w:val="21"/>
              </w:rPr>
            </w:pPr>
          </w:p>
        </w:tc>
        <w:tc>
          <w:tcPr>
            <w:tcW w:w="4877" w:type="dxa"/>
            <w:vAlign w:val="center"/>
          </w:tcPr>
          <w:p>
            <w:pPr>
              <w:spacing w:line="360" w:lineRule="auto"/>
              <w:jc w:val="left"/>
              <w:rPr>
                <w:rFonts w:hint="eastAsia"/>
                <w:color w:val="000000"/>
                <w:szCs w:val="21"/>
                <w:lang w:val="en-US" w:eastAsia="zh-CN"/>
              </w:rPr>
            </w:pPr>
            <w:r>
              <w:rPr>
                <w:rFonts w:hint="eastAsia"/>
                <w:color w:val="000000"/>
                <w:szCs w:val="21"/>
                <w:lang w:val="en-US" w:eastAsia="zh-CN"/>
              </w:rPr>
              <w:t xml:space="preserve">潮脑梁煤炭有限公司委托内蒙古煤炭地质勘查（集团）一一七有限公司编制了《内蒙古自治区东胜煤田潮脑梁煤矿火区调查报告》，在此基础上内蒙古煤炭科学研究院有限责任公司编制了《内蒙古鄂尔多斯市潮脑梁煤炭有限责任公司矿田西部火点隐患封堵覆盖治理方案》（以下简称《治理方案》）,鄂尔多斯市东胜区能源局组织专家对《治理方案》进行了评审。 </w:t>
            </w:r>
          </w:p>
          <w:p>
            <w:pPr>
              <w:spacing w:line="360" w:lineRule="auto"/>
              <w:jc w:val="left"/>
              <w:rPr>
                <w:rFonts w:hint="eastAsia"/>
                <w:color w:val="000000"/>
                <w:szCs w:val="21"/>
              </w:rPr>
            </w:pPr>
            <w:r>
              <w:rPr>
                <w:rFonts w:hint="eastAsia"/>
                <w:color w:val="000000"/>
                <w:szCs w:val="21"/>
                <w:lang w:val="en-US"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加强施工期环境管理，配备足够的洒水车、篷布等防尘设备，有效控制施工期表土开挖</w:t>
            </w:r>
            <w:r>
              <w:rPr>
                <w:rFonts w:hint="eastAsia"/>
                <w:color w:val="000000"/>
                <w:szCs w:val="21"/>
                <w:lang w:eastAsia="zh-CN"/>
              </w:rPr>
              <w:t>、</w:t>
            </w:r>
            <w:r>
              <w:rPr>
                <w:rFonts w:hint="eastAsia"/>
                <w:color w:val="000000"/>
                <w:szCs w:val="21"/>
              </w:rPr>
              <w:t>场地平整</w:t>
            </w:r>
            <w:r>
              <w:rPr>
                <w:rFonts w:hint="eastAsia"/>
                <w:color w:val="000000"/>
                <w:szCs w:val="21"/>
                <w:lang w:eastAsia="zh-CN"/>
              </w:rPr>
              <w:t>、</w:t>
            </w:r>
            <w:r>
              <w:rPr>
                <w:rFonts w:hint="eastAsia"/>
                <w:color w:val="000000"/>
                <w:szCs w:val="21"/>
              </w:rPr>
              <w:t>土方的开挖、回填、堆放及运输过程中产生的扬尘污染。施工期大气污染物</w:t>
            </w:r>
            <w:r>
              <w:rPr>
                <w:rFonts w:hint="eastAsia"/>
                <w:color w:val="000000"/>
                <w:szCs w:val="21"/>
                <w:lang w:val="en-US" w:eastAsia="zh-CN"/>
              </w:rPr>
              <w:t>无组织排放执行《大气污染物综合排放标准》（GB16297-1996）表2中无组织排放监控浓度限值。</w:t>
            </w:r>
          </w:p>
          <w:p>
            <w:pPr>
              <w:spacing w:line="360" w:lineRule="auto"/>
              <w:jc w:val="left"/>
              <w:rPr>
                <w:rFonts w:hint="eastAsia"/>
                <w:color w:val="000000"/>
                <w:szCs w:val="21"/>
              </w:rPr>
            </w:pPr>
            <w:r>
              <w:rPr>
                <w:rFonts w:hint="eastAsia"/>
                <w:color w:val="000000"/>
                <w:szCs w:val="21"/>
                <w:lang w:val="en-US" w:eastAsia="zh-CN"/>
              </w:rPr>
              <w:t>2、施工期</w:t>
            </w:r>
            <w:r>
              <w:rPr>
                <w:rFonts w:hint="eastAsia"/>
                <w:color w:val="000000"/>
                <w:szCs w:val="21"/>
              </w:rPr>
              <w:t>生活</w:t>
            </w:r>
            <w:r>
              <w:rPr>
                <w:rFonts w:hint="eastAsia"/>
                <w:color w:val="000000"/>
                <w:szCs w:val="21"/>
                <w:lang w:eastAsia="zh-CN"/>
              </w:rPr>
              <w:t>污水</w:t>
            </w:r>
            <w:r>
              <w:rPr>
                <w:rFonts w:hint="eastAsia"/>
                <w:color w:val="000000"/>
                <w:szCs w:val="21"/>
              </w:rPr>
              <w:t>依托</w:t>
            </w:r>
            <w:r>
              <w:rPr>
                <w:rFonts w:hint="eastAsia"/>
                <w:color w:val="000000"/>
                <w:szCs w:val="21"/>
                <w:lang w:val="en-US" w:eastAsia="zh-CN"/>
              </w:rPr>
              <w:t>潮脑梁煤矿现有生活污水处理设施处理。</w:t>
            </w:r>
          </w:p>
          <w:p>
            <w:pPr>
              <w:spacing w:line="360" w:lineRule="auto"/>
              <w:jc w:val="left"/>
              <w:rPr>
                <w:rFonts w:hint="eastAsia"/>
                <w:color w:val="000000"/>
                <w:szCs w:val="21"/>
                <w:lang w:val="en-US" w:eastAsia="zh-CN"/>
              </w:rPr>
            </w:pPr>
            <w:r>
              <w:rPr>
                <w:rFonts w:hint="eastAsia"/>
                <w:color w:val="000000"/>
                <w:szCs w:val="21"/>
                <w:lang w:val="en-US" w:eastAsia="zh-CN"/>
              </w:rPr>
              <w:t>3、施工期选用低噪声施工设备，合理安排作业时间，避免夜间施工，控制车辆时速。</w:t>
            </w:r>
            <w:r>
              <w:rPr>
                <w:rFonts w:hint="eastAsia"/>
                <w:color w:val="000000"/>
                <w:szCs w:val="21"/>
              </w:rPr>
              <w:t>施工期噪声执行《建筑施工场界环境噪声排放标</w:t>
            </w:r>
            <w:r>
              <w:rPr>
                <w:rFonts w:hint="eastAsia"/>
                <w:color w:val="000000"/>
                <w:szCs w:val="21"/>
                <w:lang w:val="en-US" w:eastAsia="zh-CN"/>
              </w:rPr>
              <w:t>准》（GB12523-2011）。</w:t>
            </w:r>
          </w:p>
          <w:p>
            <w:pPr>
              <w:spacing w:line="360" w:lineRule="auto"/>
              <w:jc w:val="left"/>
              <w:rPr>
                <w:rFonts w:hint="eastAsia"/>
                <w:color w:val="000000"/>
                <w:szCs w:val="21"/>
                <w:lang w:val="en-US" w:eastAsia="zh-CN"/>
              </w:rPr>
            </w:pPr>
            <w:r>
              <w:rPr>
                <w:rFonts w:hint="eastAsia"/>
                <w:color w:val="000000"/>
                <w:szCs w:val="21"/>
                <w:lang w:val="en-US" w:eastAsia="zh-CN"/>
              </w:rPr>
              <w:t>4、运营期厂界噪声执行《工业企业厂界环境噪声排放标准》（GB12348-2008）中3类标准。</w:t>
            </w:r>
          </w:p>
          <w:p>
            <w:pPr>
              <w:spacing w:line="360" w:lineRule="auto"/>
              <w:jc w:val="left"/>
              <w:rPr>
                <w:rFonts w:hint="eastAsia"/>
                <w:color w:val="000000"/>
                <w:szCs w:val="21"/>
                <w:lang w:val="en-US" w:eastAsia="zh-CN"/>
              </w:rPr>
            </w:pPr>
            <w:r>
              <w:rPr>
                <w:rFonts w:hint="eastAsia"/>
                <w:color w:val="000000"/>
                <w:szCs w:val="21"/>
                <w:lang w:val="en-US" w:eastAsia="zh-CN"/>
              </w:rPr>
              <w:t>5、妥善处置各类固体废弃物。建设单位须严格按照《一般工业固体废物贮存和填埋污染控制标准》（GB18599-2020）处置一般固废，不得乱弃。</w:t>
            </w:r>
          </w:p>
          <w:p>
            <w:pPr>
              <w:spacing w:line="360" w:lineRule="auto"/>
              <w:jc w:val="left"/>
              <w:rPr>
                <w:rFonts w:hint="eastAsia"/>
                <w:color w:val="000000"/>
                <w:szCs w:val="21"/>
                <w:lang w:eastAsia="zh-CN"/>
              </w:rPr>
            </w:pPr>
            <w:r>
              <w:rPr>
                <w:rFonts w:hint="eastAsia"/>
                <w:color w:val="000000"/>
                <w:szCs w:val="21"/>
                <w:lang w:val="en-US" w:eastAsia="zh-CN"/>
              </w:rPr>
              <w:t>6、</w:t>
            </w:r>
            <w:r>
              <w:rPr>
                <w:rFonts w:hint="eastAsia"/>
                <w:color w:val="000000"/>
                <w:szCs w:val="21"/>
                <w:lang w:eastAsia="zh-CN"/>
              </w:rPr>
              <w:t>按照法律法规和主管部门要求，坚持因地制宜原则，做好生态保护及生态修复工作，保障区域生态功能不退化。施工结束后</w:t>
            </w:r>
            <w:r>
              <w:rPr>
                <w:rFonts w:hint="eastAsia"/>
                <w:color w:val="000000"/>
                <w:szCs w:val="21"/>
              </w:rPr>
              <w:t>对</w:t>
            </w:r>
            <w:r>
              <w:rPr>
                <w:rFonts w:hint="eastAsia"/>
                <w:color w:val="000000"/>
                <w:szCs w:val="21"/>
                <w:lang w:val="en-US" w:eastAsia="zh-CN"/>
              </w:rPr>
              <w:t>取土区和火区治理区</w:t>
            </w:r>
            <w:r>
              <w:rPr>
                <w:rFonts w:hint="eastAsia"/>
                <w:color w:val="000000"/>
                <w:szCs w:val="21"/>
              </w:rPr>
              <w:t>采取覆土措施</w:t>
            </w:r>
            <w:r>
              <w:rPr>
                <w:rFonts w:hint="eastAsia"/>
                <w:color w:val="000000"/>
                <w:szCs w:val="21"/>
                <w:lang w:eastAsia="zh-CN"/>
              </w:rPr>
              <w:t>，</w:t>
            </w:r>
            <w:r>
              <w:rPr>
                <w:rFonts w:hint="eastAsia"/>
                <w:color w:val="000000"/>
                <w:szCs w:val="21"/>
              </w:rPr>
              <w:t>尽快进行土地复垦、绿化。</w:t>
            </w:r>
          </w:p>
          <w:p>
            <w:pPr>
              <w:spacing w:line="360" w:lineRule="auto"/>
              <w:jc w:val="left"/>
              <w:rPr>
                <w:rFonts w:hint="eastAsia"/>
                <w:color w:val="000000"/>
                <w:szCs w:val="21"/>
                <w:lang w:val="en-US" w:eastAsia="zh-CN"/>
              </w:rPr>
            </w:pPr>
            <w:r>
              <w:rPr>
                <w:rFonts w:hint="eastAsia"/>
                <w:color w:val="000000"/>
                <w:szCs w:val="21"/>
                <w:lang w:val="en-US" w:eastAsia="zh-CN"/>
              </w:rPr>
              <w:t>7、严格遵循“源头控制、分区防控、污染监控、应急响应”的原则，严格落实污染防治措施。</w:t>
            </w:r>
          </w:p>
          <w:p>
            <w:pPr>
              <w:spacing w:line="360" w:lineRule="auto"/>
              <w:jc w:val="left"/>
              <w:rPr>
                <w:rFonts w:hint="eastAsia"/>
                <w:color w:val="000000"/>
                <w:szCs w:val="21"/>
                <w:lang w:val="en-US" w:eastAsia="zh-CN"/>
              </w:rPr>
            </w:pPr>
            <w:r>
              <w:rPr>
                <w:rFonts w:hint="eastAsia"/>
                <w:color w:val="000000"/>
                <w:szCs w:val="21"/>
                <w:lang w:val="en-US" w:eastAsia="zh-CN"/>
              </w:rPr>
              <w:t>8、强化环境风险防范，制定突发环境事件应急预案，落实环境风险事故防范措施，提高事故风险防范和污染控制能力。</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6A525C38"/>
    <w:rsid w:val="6E8F5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3">
    <w:name w:val="Normal Indent"/>
    <w:basedOn w:val="1"/>
    <w:autoRedefine/>
    <w:semiHidden/>
    <w:unhideWhenUsed/>
    <w:qFormat/>
    <w:uiPriority w:val="99"/>
    <w:pPr>
      <w:ind w:firstLine="420" w:firstLineChars="200"/>
    </w:pPr>
  </w:style>
  <w:style w:type="paragraph" w:styleId="4">
    <w:name w:val="Body Text Indent"/>
    <w:basedOn w:val="1"/>
    <w:next w:val="1"/>
    <w:qFormat/>
    <w:uiPriority w:val="99"/>
    <w:pPr>
      <w:ind w:left="420" w:leftChars="200"/>
    </w:pPr>
  </w:style>
  <w:style w:type="paragraph" w:styleId="5">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Body Text First Indent 2"/>
    <w:basedOn w:val="4"/>
    <w:next w:val="1"/>
    <w:autoRedefine/>
    <w:qFormat/>
    <w:uiPriority w:val="99"/>
    <w:pPr>
      <w:spacing w:line="240" w:lineRule="auto"/>
      <w:ind w:firstLine="420"/>
    </w:pPr>
  </w:style>
  <w:style w:type="character" w:customStyle="1" w:styleId="10">
    <w:name w:val="页眉 字符"/>
    <w:basedOn w:val="9"/>
    <w:link w:val="6"/>
    <w:uiPriority w:val="99"/>
    <w:rPr>
      <w:sz w:val="18"/>
      <w:szCs w:val="18"/>
    </w:rPr>
  </w:style>
  <w:style w:type="character" w:customStyle="1" w:styleId="11">
    <w:name w:val="页脚 字符"/>
    <w:basedOn w:val="9"/>
    <w:link w:val="5"/>
    <w:qFormat/>
    <w:uiPriority w:val="99"/>
    <w:rPr>
      <w:sz w:val="18"/>
      <w:szCs w:val="18"/>
    </w:rPr>
  </w:style>
  <w:style w:type="character" w:customStyle="1" w:styleId="12">
    <w:name w:val="NormalCharacter"/>
    <w:semiHidden/>
    <w:qFormat/>
    <w:uiPriority w:val="99"/>
  </w:style>
  <w:style w:type="paragraph" w:customStyle="1" w:styleId="13">
    <w:name w:val="样式3（代正文）"/>
    <w:autoRedefine/>
    <w:qFormat/>
    <w:uiPriority w:val="0"/>
    <w:pPr>
      <w:widowControl w:val="0"/>
      <w:adjustRightInd w:val="0"/>
      <w:snapToGrid w:val="0"/>
      <w:spacing w:line="520" w:lineRule="exact"/>
      <w:ind w:firstLine="200" w:firstLineChars="200"/>
    </w:pPr>
    <w:rPr>
      <w:rFonts w:ascii="Times New Roman" w:hAnsi="Times New Roman" w:eastAsia="宋体" w:cs="Times New Roman"/>
      <w:snapToGrid w:val="0"/>
      <w:sz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2024-01-03T07:52:58Z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80F7A427FECA4254869E66C4E9138997_12</vt:lpwstr>
  </property>
</Properties>
</file>