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snapToGrid w:val="0"/>
        <w:spacing w:line="580" w:lineRule="exact"/>
        <w:jc w:val="center"/>
        <w:rPr>
          <w:rStyle w:val="16"/>
          <w:rFonts w:ascii="仿宋_GB2312" w:eastAsia="仿宋_GB2312"/>
          <w:color w:val="auto"/>
          <w:sz w:val="32"/>
          <w:szCs w:val="32"/>
        </w:rPr>
      </w:pPr>
    </w:p>
    <w:p>
      <w:pPr>
        <w:pStyle w:val="25"/>
        <w:rPr>
          <w:rStyle w:val="16"/>
          <w:color w:val="auto"/>
        </w:rPr>
      </w:pPr>
    </w:p>
    <w:p>
      <w:pPr>
        <w:snapToGrid w:val="0"/>
        <w:spacing w:line="600" w:lineRule="exact"/>
        <w:rPr>
          <w:rStyle w:val="16"/>
          <w:rFonts w:ascii="仿宋_GB2312" w:eastAsia="仿宋_GB2312"/>
          <w:color w:val="auto"/>
          <w:sz w:val="32"/>
          <w:szCs w:val="32"/>
        </w:rPr>
      </w:pPr>
    </w:p>
    <w:p>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51</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pPr>
        <w:spacing w:line="600" w:lineRule="exact"/>
        <w:jc w:val="center"/>
        <w:rPr>
          <w:rStyle w:val="16"/>
          <w:rFonts w:hint="eastAsia" w:ascii="宋体" w:hAnsi="宋体" w:eastAsia="宋体" w:cs="宋体"/>
          <w:b/>
          <w:bCs w:val="0"/>
          <w:color w:val="auto"/>
          <w:sz w:val="44"/>
          <w:szCs w:val="44"/>
        </w:rPr>
      </w:pPr>
    </w:p>
    <w:p>
      <w:pPr>
        <w:spacing w:line="600" w:lineRule="exact"/>
        <w:jc w:val="center"/>
        <w:rPr>
          <w:rStyle w:val="16"/>
          <w:rFonts w:ascii="宋体" w:hAnsi="宋体"/>
          <w:b/>
          <w:bCs w:val="0"/>
          <w:color w:val="auto"/>
          <w:sz w:val="44"/>
          <w:szCs w:val="44"/>
        </w:rPr>
      </w:pPr>
      <w:r>
        <w:rPr>
          <w:rStyle w:val="16"/>
          <w:rFonts w:hint="eastAsia" w:ascii="宋体" w:hAnsi="宋体"/>
          <w:b/>
          <w:bCs w:val="0"/>
          <w:color w:val="auto"/>
          <w:sz w:val="44"/>
          <w:szCs w:val="44"/>
        </w:rPr>
        <w:t>鄂尔多斯市生态环境局东胜区分局关于</w:t>
      </w:r>
    </w:p>
    <w:p>
      <w:pPr>
        <w:spacing w:line="600" w:lineRule="exact"/>
        <w:jc w:val="center"/>
        <w:rPr>
          <w:rStyle w:val="16"/>
          <w:rFonts w:hint="eastAsia" w:ascii="宋体" w:hAnsi="宋体" w:eastAsia="宋体" w:cs="Times New Roman"/>
          <w:b/>
          <w:bCs w:val="0"/>
          <w:color w:val="auto"/>
          <w:sz w:val="44"/>
          <w:szCs w:val="44"/>
          <w:lang w:eastAsia="zh-CN"/>
        </w:rPr>
      </w:pPr>
      <w:r>
        <w:rPr>
          <w:rStyle w:val="16"/>
          <w:rFonts w:hint="eastAsia" w:ascii="宋体" w:hAnsi="宋体" w:eastAsia="宋体" w:cs="Times New Roman"/>
          <w:b/>
          <w:bCs w:val="0"/>
          <w:color w:val="auto"/>
          <w:sz w:val="44"/>
          <w:szCs w:val="44"/>
          <w:lang w:eastAsia="zh-CN"/>
        </w:rPr>
        <w:t>鄂尔多斯市弘博教学设备有限公司</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Times New Roman"/>
          <w:b/>
          <w:bCs w:val="0"/>
          <w:color w:val="auto"/>
          <w:sz w:val="44"/>
          <w:szCs w:val="44"/>
          <w:lang w:eastAsia="zh-CN"/>
        </w:rPr>
        <w:t>教学设备</w:t>
      </w:r>
      <w:r>
        <w:rPr>
          <w:rStyle w:val="16"/>
          <w:rFonts w:hint="eastAsia" w:ascii="宋体" w:hAnsi="宋体" w:eastAsia="宋体" w:cs="Times New Roman"/>
          <w:b/>
          <w:bCs w:val="0"/>
          <w:color w:val="auto"/>
          <w:sz w:val="44"/>
          <w:szCs w:val="44"/>
          <w:lang w:val="en-US" w:eastAsia="zh-CN"/>
        </w:rPr>
        <w:t>扩建建设</w:t>
      </w:r>
      <w:r>
        <w:rPr>
          <w:rStyle w:val="16"/>
          <w:rFonts w:hint="eastAsia" w:ascii="宋体" w:hAnsi="宋体" w:eastAsia="宋体" w:cs="Times New Roman"/>
          <w:b/>
          <w:bCs w:val="0"/>
          <w:color w:val="auto"/>
          <w:sz w:val="44"/>
          <w:szCs w:val="44"/>
          <w:lang w:eastAsia="zh-CN"/>
        </w:rPr>
        <w:t>项目</w:t>
      </w:r>
      <w:r>
        <w:rPr>
          <w:rStyle w:val="16"/>
          <w:rFonts w:hint="eastAsia" w:ascii="宋体" w:hAnsi="宋体" w:eastAsia="宋体" w:cs="宋体"/>
          <w:b/>
          <w:bCs w:val="0"/>
          <w:color w:val="auto"/>
          <w:sz w:val="44"/>
          <w:szCs w:val="44"/>
        </w:rPr>
        <w:t>环境</w:t>
      </w:r>
    </w:p>
    <w:p>
      <w:pPr>
        <w:spacing w:line="600" w:lineRule="exact"/>
        <w:jc w:val="center"/>
        <w:rPr>
          <w:rStyle w:val="16"/>
          <w:rFonts w:hint="eastAsia" w:ascii="宋体" w:hAnsi="宋体" w:eastAsia="宋体" w:cs="宋体"/>
          <w:b/>
          <w:bCs w:val="0"/>
          <w:color w:val="auto"/>
          <w:sz w:val="44"/>
          <w:szCs w:val="44"/>
        </w:rPr>
      </w:pPr>
      <w:r>
        <w:rPr>
          <w:rStyle w:val="16"/>
          <w:rFonts w:hint="eastAsia" w:ascii="宋体" w:hAnsi="宋体" w:eastAsia="宋体" w:cs="宋体"/>
          <w:b/>
          <w:bCs w:val="0"/>
          <w:color w:val="auto"/>
          <w:sz w:val="44"/>
          <w:szCs w:val="44"/>
        </w:rPr>
        <w:t>影响报告表的批复</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Style w:val="16"/>
          <w:rFonts w:hint="eastAsia" w:ascii="仿宋" w:hAnsi="仿宋" w:eastAsia="仿宋" w:cs="Times New Roman"/>
          <w:sz w:val="32"/>
          <w:szCs w:val="32"/>
          <w:lang w:eastAsia="zh-CN"/>
        </w:rPr>
      </w:pPr>
      <w:r>
        <w:rPr>
          <w:rStyle w:val="16"/>
          <w:rFonts w:hint="eastAsia" w:ascii="仿宋" w:hAnsi="仿宋" w:eastAsia="仿宋" w:cs="Times New Roman"/>
          <w:sz w:val="32"/>
          <w:szCs w:val="32"/>
          <w:lang w:eastAsia="zh-CN"/>
        </w:rPr>
        <w:t>鄂尔多斯市弘博教学设备有限公司：</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lang w:val="en-US" w:eastAsia="zh-CN"/>
        </w:rPr>
      </w:pPr>
      <w:r>
        <w:rPr>
          <w:rStyle w:val="16"/>
          <w:rFonts w:hint="eastAsia" w:ascii="仿宋" w:hAnsi="仿宋" w:eastAsia="仿宋"/>
          <w:sz w:val="32"/>
          <w:szCs w:val="32"/>
        </w:rPr>
        <w:t>你</w:t>
      </w:r>
      <w:r>
        <w:rPr>
          <w:rStyle w:val="16"/>
          <w:rFonts w:hint="eastAsia" w:ascii="仿宋" w:hAnsi="仿宋" w:eastAsia="仿宋"/>
          <w:sz w:val="32"/>
          <w:szCs w:val="32"/>
          <w:lang w:val="en-US" w:eastAsia="zh-CN"/>
        </w:rPr>
        <w:t>单位</w:t>
      </w:r>
      <w:r>
        <w:rPr>
          <w:rStyle w:val="16"/>
          <w:rFonts w:hint="eastAsia" w:ascii="仿宋" w:hAnsi="仿宋" w:eastAsia="仿宋"/>
          <w:sz w:val="32"/>
          <w:szCs w:val="32"/>
        </w:rPr>
        <w:t>报送的</w:t>
      </w:r>
      <w:r>
        <w:rPr>
          <w:rStyle w:val="16"/>
          <w:rFonts w:hint="eastAsia" w:ascii="仿宋" w:hAnsi="仿宋" w:eastAsia="仿宋" w:cs="Times New Roman"/>
          <w:sz w:val="32"/>
          <w:szCs w:val="32"/>
        </w:rPr>
        <w:t>由内蒙古智汇恒升环保科技有限公司</w:t>
      </w:r>
      <w:r>
        <w:rPr>
          <w:rStyle w:val="16"/>
          <w:rFonts w:hint="eastAsia" w:ascii="仿宋" w:hAnsi="仿宋" w:eastAsia="仿宋" w:cs="Times New Roman"/>
          <w:sz w:val="32"/>
          <w:szCs w:val="32"/>
          <w:lang w:val="en-US" w:eastAsia="zh-CN"/>
        </w:rPr>
        <w:t>编</w:t>
      </w:r>
      <w:r>
        <w:rPr>
          <w:rStyle w:val="16"/>
          <w:rFonts w:hint="eastAsia" w:ascii="仿宋" w:hAnsi="仿宋" w:eastAsia="仿宋" w:cs="Times New Roman"/>
          <w:sz w:val="32"/>
          <w:szCs w:val="32"/>
        </w:rPr>
        <w:t>制</w:t>
      </w:r>
      <w:r>
        <w:rPr>
          <w:rStyle w:val="16"/>
          <w:rFonts w:hint="eastAsia" w:ascii="仿宋" w:hAnsi="仿宋" w:eastAsia="仿宋"/>
          <w:sz w:val="32"/>
          <w:szCs w:val="32"/>
        </w:rPr>
        <w:t>的《</w:t>
      </w:r>
      <w:r>
        <w:rPr>
          <w:rStyle w:val="16"/>
          <w:rFonts w:hint="eastAsia" w:ascii="仿宋" w:hAnsi="仿宋" w:eastAsia="仿宋" w:cs="Times New Roman"/>
          <w:sz w:val="32"/>
          <w:szCs w:val="32"/>
          <w:lang w:eastAsia="zh-CN"/>
        </w:rPr>
        <w:t>鄂尔多斯市弘博教学设备有限公司教学设备</w:t>
      </w:r>
      <w:r>
        <w:rPr>
          <w:rStyle w:val="16"/>
          <w:rFonts w:hint="eastAsia" w:ascii="仿宋" w:hAnsi="仿宋" w:eastAsia="仿宋" w:cs="Times New Roman"/>
          <w:sz w:val="32"/>
          <w:szCs w:val="32"/>
          <w:lang w:val="en-US" w:eastAsia="zh-CN"/>
        </w:rPr>
        <w:t>扩建</w:t>
      </w:r>
      <w:r>
        <w:rPr>
          <w:rStyle w:val="16"/>
          <w:rFonts w:hint="eastAsia" w:ascii="仿宋" w:hAnsi="仿宋" w:eastAsia="仿宋" w:cs="Times New Roman"/>
          <w:sz w:val="32"/>
          <w:szCs w:val="32"/>
          <w:lang w:eastAsia="zh-CN"/>
        </w:rPr>
        <w:t>建设</w:t>
      </w:r>
      <w:r>
        <w:rPr>
          <w:rStyle w:val="16"/>
          <w:rFonts w:hint="default" w:ascii="仿宋" w:hAnsi="仿宋" w:eastAsia="仿宋" w:cs="Times New Roman"/>
          <w:sz w:val="32"/>
          <w:szCs w:val="32"/>
          <w:lang w:eastAsia="zh-CN"/>
        </w:rPr>
        <w:t>项目</w:t>
      </w:r>
      <w:r>
        <w:rPr>
          <w:rStyle w:val="16"/>
          <w:rFonts w:hint="eastAsia" w:ascii="仿宋" w:hAnsi="仿宋" w:eastAsia="仿宋" w:cs="Times New Roman"/>
          <w:sz w:val="32"/>
          <w:szCs w:val="32"/>
        </w:rPr>
        <w:t>环境</w:t>
      </w:r>
      <w:r>
        <w:rPr>
          <w:rStyle w:val="16"/>
          <w:rFonts w:hint="eastAsia" w:ascii="仿宋" w:hAnsi="仿宋" w:eastAsia="仿宋"/>
          <w:sz w:val="32"/>
          <w:szCs w:val="32"/>
        </w:rPr>
        <w:t>影响报告表》（以下简称《报告表》）已收悉</w:t>
      </w:r>
      <w:r>
        <w:rPr>
          <w:rStyle w:val="16"/>
          <w:rFonts w:hint="eastAsia" w:ascii="仿宋" w:hAnsi="仿宋" w:eastAsia="仿宋"/>
          <w:sz w:val="32"/>
          <w:szCs w:val="32"/>
          <w:lang w:eastAsia="zh-CN"/>
        </w:rPr>
        <w:t>。</w:t>
      </w:r>
      <w:r>
        <w:rPr>
          <w:rStyle w:val="16"/>
          <w:rFonts w:hint="eastAsia" w:ascii="仿宋" w:hAnsi="仿宋" w:eastAsia="仿宋"/>
          <w:sz w:val="32"/>
          <w:szCs w:val="32"/>
          <w:lang w:val="en-US" w:eastAsia="zh-CN"/>
        </w:rPr>
        <w:t>经组织专家评审，集体研究，形成如下审批意见：</w:t>
      </w:r>
    </w:p>
    <w:p>
      <w:pPr>
        <w:widowControl w:val="0"/>
        <w:spacing w:line="360" w:lineRule="auto"/>
        <w:ind w:firstLine="640" w:firstLineChars="200"/>
        <w:rPr>
          <w:rStyle w:val="16"/>
          <w:rFonts w:hint="eastAsia" w:ascii="仿宋" w:hAnsi="仿宋" w:eastAsia="仿宋" w:cs="Times New Roman"/>
          <w:sz w:val="32"/>
          <w:szCs w:val="32"/>
          <w:lang w:val="en-US" w:eastAsia="zh-CN"/>
        </w:rPr>
      </w:pPr>
      <w:r>
        <w:rPr>
          <w:rStyle w:val="16"/>
          <w:rFonts w:hint="eastAsia" w:ascii="仿宋" w:hAnsi="仿宋" w:eastAsia="仿宋"/>
          <w:sz w:val="32"/>
          <w:szCs w:val="32"/>
          <w:lang w:val="en-US"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eastAsia="zh-CN"/>
        </w:rPr>
        <w:t>扩</w:t>
      </w:r>
      <w:r>
        <w:rPr>
          <w:rStyle w:val="16"/>
          <w:rFonts w:hint="eastAsia" w:ascii="仿宋" w:hAnsi="仿宋" w:eastAsia="仿宋"/>
          <w:sz w:val="32"/>
          <w:szCs w:val="32"/>
        </w:rPr>
        <w:t>建项目，位于</w:t>
      </w:r>
      <w:r>
        <w:rPr>
          <w:rStyle w:val="16"/>
          <w:rFonts w:hint="eastAsia" w:ascii="仿宋" w:hAnsi="仿宋" w:eastAsia="仿宋" w:cs="Times New Roman"/>
          <w:sz w:val="32"/>
          <w:szCs w:val="32"/>
          <w:lang w:val="en-US" w:eastAsia="zh-CN"/>
        </w:rPr>
        <w:t>东胜区工业园区规划三路东鄂尔多斯市弘博教学设备有限公司现有厂区内。项目总</w:t>
      </w:r>
      <w:r>
        <w:rPr>
          <w:rStyle w:val="16"/>
          <w:rFonts w:hint="eastAsia" w:ascii="仿宋" w:hAnsi="仿宋" w:eastAsia="仿宋" w:cs="Times New Roman"/>
          <w:sz w:val="32"/>
          <w:szCs w:val="32"/>
          <w:lang w:eastAsia="zh-CN"/>
        </w:rPr>
        <w:t>占地面积</w:t>
      </w:r>
      <w:r>
        <w:rPr>
          <w:rStyle w:val="16"/>
          <w:rFonts w:hint="eastAsia" w:ascii="仿宋" w:hAnsi="仿宋" w:eastAsia="仿宋" w:cs="Times New Roman"/>
          <w:sz w:val="32"/>
          <w:szCs w:val="32"/>
          <w:lang w:val="en-US" w:eastAsia="zh-CN"/>
        </w:rPr>
        <w:t>530</w:t>
      </w:r>
      <w:r>
        <w:rPr>
          <w:rStyle w:val="16"/>
          <w:rFonts w:hint="eastAsia" w:ascii="仿宋" w:hAnsi="仿宋" w:eastAsia="仿宋" w:cs="Times New Roman"/>
          <w:sz w:val="32"/>
          <w:szCs w:val="32"/>
          <w:lang w:eastAsia="zh-CN"/>
        </w:rPr>
        <w:t>平方米，</w:t>
      </w:r>
      <w:r>
        <w:rPr>
          <w:rStyle w:val="16"/>
          <w:rFonts w:hint="default" w:ascii="仿宋" w:hAnsi="仿宋" w:eastAsia="仿宋" w:cs="Times New Roman"/>
          <w:sz w:val="32"/>
          <w:szCs w:val="32"/>
        </w:rPr>
        <w:t>总投资</w:t>
      </w:r>
      <w:r>
        <w:rPr>
          <w:rStyle w:val="16"/>
          <w:rFonts w:hint="eastAsia" w:ascii="仿宋" w:hAnsi="仿宋" w:eastAsia="仿宋" w:cs="Times New Roman"/>
          <w:sz w:val="32"/>
          <w:szCs w:val="32"/>
          <w:lang w:val="en-US" w:eastAsia="zh-CN"/>
        </w:rPr>
        <w:t>100</w:t>
      </w:r>
      <w:r>
        <w:rPr>
          <w:rStyle w:val="16"/>
          <w:rFonts w:hint="eastAsia" w:ascii="仿宋" w:hAnsi="仿宋" w:eastAsia="仿宋"/>
          <w:sz w:val="32"/>
          <w:szCs w:val="32"/>
          <w:lang w:val="en-US" w:eastAsia="zh-CN"/>
        </w:rPr>
        <w:t>万</w:t>
      </w:r>
      <w:r>
        <w:rPr>
          <w:rStyle w:val="16"/>
          <w:rFonts w:hint="default" w:ascii="仿宋" w:hAnsi="仿宋" w:eastAsia="仿宋"/>
          <w:sz w:val="32"/>
          <w:szCs w:val="32"/>
        </w:rPr>
        <w:t>元，</w:t>
      </w:r>
      <w:r>
        <w:rPr>
          <w:rStyle w:val="16"/>
          <w:rFonts w:hint="eastAsia" w:ascii="仿宋" w:hAnsi="仿宋" w:eastAsia="仿宋"/>
          <w:sz w:val="32"/>
          <w:szCs w:val="32"/>
          <w:lang w:eastAsia="zh-CN"/>
        </w:rPr>
        <w:t>其中</w:t>
      </w:r>
      <w:r>
        <w:rPr>
          <w:rStyle w:val="16"/>
          <w:rFonts w:hint="default" w:ascii="仿宋" w:hAnsi="仿宋" w:eastAsia="仿宋"/>
          <w:sz w:val="32"/>
          <w:szCs w:val="32"/>
        </w:rPr>
        <w:t>环保投资</w:t>
      </w:r>
      <w:r>
        <w:rPr>
          <w:rStyle w:val="16"/>
          <w:rFonts w:hint="eastAsia" w:ascii="仿宋" w:hAnsi="仿宋" w:eastAsia="仿宋"/>
          <w:sz w:val="32"/>
          <w:szCs w:val="32"/>
          <w:lang w:val="en-US" w:eastAsia="zh-CN"/>
        </w:rPr>
        <w:t>36.8万元</w:t>
      </w:r>
      <w:r>
        <w:rPr>
          <w:rStyle w:val="16"/>
          <w:rFonts w:hint="eastAsia" w:ascii="仿宋" w:hAnsi="仿宋" w:eastAsia="仿宋"/>
          <w:sz w:val="32"/>
          <w:szCs w:val="32"/>
        </w:rPr>
        <w:t>。</w:t>
      </w:r>
      <w:r>
        <w:rPr>
          <w:rStyle w:val="16"/>
          <w:rFonts w:hint="eastAsia" w:ascii="仿宋" w:hAnsi="仿宋" w:eastAsia="仿宋"/>
          <w:sz w:val="32"/>
          <w:szCs w:val="32"/>
          <w:lang w:eastAsia="zh-CN"/>
        </w:rPr>
        <w:t>主要建设内容及规模：</w:t>
      </w:r>
      <w:r>
        <w:rPr>
          <w:rStyle w:val="16"/>
          <w:rFonts w:hint="eastAsia" w:ascii="仿宋" w:hAnsi="仿宋" w:eastAsia="仿宋" w:cs="Times New Roman"/>
          <w:sz w:val="32"/>
          <w:szCs w:val="32"/>
          <w:lang w:val="en-US" w:eastAsia="zh-CN"/>
        </w:rPr>
        <w:t>本项目利用原库房改造</w:t>
      </w:r>
      <w:r>
        <w:rPr>
          <w:rStyle w:val="16"/>
          <w:rFonts w:hint="eastAsia" w:ascii="仿宋" w:hAnsi="仿宋" w:eastAsia="仿宋" w:cs="Times New Roman"/>
          <w:sz w:val="32"/>
          <w:szCs w:val="32"/>
          <w:lang w:val="en-US" w:eastAsia="zh-CN"/>
        </w:rPr>
        <w:t>，</w:t>
      </w:r>
      <w:r>
        <w:rPr>
          <w:rStyle w:val="16"/>
          <w:rFonts w:hint="eastAsia" w:ascii="仿宋" w:hAnsi="仿宋" w:eastAsia="仿宋" w:cs="Times New Roman"/>
          <w:sz w:val="32"/>
          <w:szCs w:val="32"/>
          <w:lang w:val="en-US" w:eastAsia="zh-CN"/>
        </w:rPr>
        <w:t>扩建1座实木车间，内置1条实木家具生产线；新建1间210</w:t>
      </w:r>
      <w:r>
        <w:rPr>
          <w:rStyle w:val="16"/>
          <w:rFonts w:hint="eastAsia" w:ascii="仿宋" w:hAnsi="仿宋" w:eastAsia="仿宋" w:cs="Times New Roman"/>
          <w:sz w:val="32"/>
          <w:szCs w:val="32"/>
          <w:lang w:eastAsia="zh-CN"/>
        </w:rPr>
        <w:t>平方米</w:t>
      </w:r>
      <w:r>
        <w:rPr>
          <w:rStyle w:val="16"/>
          <w:rFonts w:hint="eastAsia" w:ascii="仿宋" w:hAnsi="仿宋" w:eastAsia="仿宋" w:cs="Times New Roman"/>
          <w:sz w:val="32"/>
          <w:szCs w:val="32"/>
          <w:lang w:val="en-US" w:eastAsia="zh-CN"/>
        </w:rPr>
        <w:t>喷漆车间和1间21</w:t>
      </w:r>
      <w:r>
        <w:rPr>
          <w:rStyle w:val="16"/>
          <w:rFonts w:hint="eastAsia" w:ascii="仿宋" w:hAnsi="仿宋" w:eastAsia="仿宋" w:cs="Times New Roman"/>
          <w:sz w:val="32"/>
          <w:szCs w:val="32"/>
          <w:lang w:eastAsia="zh-CN"/>
        </w:rPr>
        <w:t>平方</w:t>
      </w:r>
      <w:r>
        <w:rPr>
          <w:rStyle w:val="16"/>
          <w:rFonts w:hint="eastAsia" w:ascii="仿宋" w:hAnsi="仿宋" w:eastAsia="仿宋" w:cs="Times New Roman"/>
          <w:sz w:val="32"/>
          <w:szCs w:val="32"/>
          <w:lang w:val="en-US" w:eastAsia="zh-CN"/>
        </w:rPr>
        <w:t>米危废暂存间；同时配套建设公辅工程和环保工程。扩建后，原有项目的人造板家具和铁制家具生产规模不变，仍为年生产44000套教学设备；扩建实木家具规模为年生产幼儿椅子10000把、幼儿桌子2500张、幼儿玩具柜2000个、幼儿书架2000个和幼儿套床3000套。</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default" w:ascii="仿宋" w:hAnsi="仿宋" w:eastAsia="仿宋"/>
          <w:color w:val="auto"/>
          <w:sz w:val="32"/>
          <w:szCs w:val="32"/>
          <w:lang w:val="en-US"/>
        </w:rPr>
      </w:pPr>
      <w:r>
        <w:rPr>
          <w:rStyle w:val="16"/>
          <w:rFonts w:hint="eastAsia" w:ascii="仿宋" w:hAnsi="仿宋" w:eastAsia="仿宋"/>
          <w:sz w:val="32"/>
          <w:szCs w:val="32"/>
          <w:lang w:val="en-US" w:eastAsia="zh-CN"/>
        </w:rPr>
        <w:t>二、在项目工程设计、建设和环境管理中，你单位必须严格落实</w:t>
      </w:r>
      <w:r>
        <w:rPr>
          <w:rStyle w:val="16"/>
          <w:rFonts w:hint="eastAsia" w:ascii="仿宋" w:hAnsi="仿宋" w:eastAsia="仿宋"/>
          <w:sz w:val="32"/>
          <w:szCs w:val="32"/>
        </w:rPr>
        <w:t>《报告表》</w:t>
      </w:r>
      <w:r>
        <w:rPr>
          <w:rStyle w:val="16"/>
          <w:rFonts w:hint="eastAsia" w:ascii="仿宋" w:hAnsi="仿宋" w:eastAsia="仿宋"/>
          <w:sz w:val="32"/>
          <w:szCs w:val="32"/>
          <w:lang w:val="en-US" w:eastAsia="zh-CN"/>
        </w:rPr>
        <w:t>中提出的各项环保措施和要求，确保各项污染物稳定达标排放，并须着重做好以下工作：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（一）严格落实施工期污染防治措施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olor w:val="0D0D0D" w:themeColor="text1" w:themeTint="F2"/>
          <w:sz w:val="32"/>
          <w:szCs w:val="32"/>
          <w:lang w:val="en-US" w:eastAsia="zh-CN"/>
          <w14:textFill>
            <w14:solidFill>
              <w14:schemeClr w14:val="tx1">
                <w14:lumMod w14:val="95000"/>
                <w14:lumOff w14:val="5000"/>
              </w14:schemeClr>
            </w14:solidFill>
          </w14:textFill>
        </w:rPr>
        <w:t>1、</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加强</w:t>
      </w:r>
      <w:r>
        <w:rPr>
          <w:rStyle w:val="16"/>
          <w:rFonts w:hint="eastAsia" w:ascii="仿宋" w:hAnsi="仿宋" w:eastAsia="仿宋" w:cs="Times New Roman"/>
          <w:color w:val="0D0D0D" w:themeColor="text1" w:themeTint="F2"/>
          <w:sz w:val="32"/>
          <w:szCs w:val="32"/>
          <w14:textFill>
            <w14:solidFill>
              <w14:schemeClr w14:val="tx1">
                <w14:lumMod w14:val="95000"/>
                <w14:lumOff w14:val="5000"/>
              </w14:schemeClr>
            </w14:solidFill>
          </w14:textFill>
        </w:rPr>
        <w:t>施工期环境管理，配备足够的洒水车、篷布等防尘设备，有效控制施工期挖土、物料装卸、物料运输过程中产生的扬尘污染。</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2、施工人员生活污水经现有</w:t>
      </w:r>
      <w:r>
        <w:rPr>
          <w:rFonts w:hint="eastAsia" w:ascii="仿宋" w:hAnsi="仿宋" w:eastAsia="仿宋" w:cs="仿宋"/>
          <w:color w:val="auto"/>
          <w:sz w:val="32"/>
          <w:szCs w:val="32"/>
        </w:rPr>
        <w:t>化粪池沉淀后</w:t>
      </w:r>
      <w:r>
        <w:rPr>
          <w:rFonts w:hint="eastAsia" w:ascii="仿宋" w:hAnsi="仿宋" w:eastAsia="仿宋" w:cs="仿宋"/>
          <w:color w:val="auto"/>
          <w:sz w:val="32"/>
          <w:szCs w:val="32"/>
          <w:lang w:val="en-US" w:eastAsia="zh-CN"/>
        </w:rPr>
        <w:t>排入市政污水管网</w:t>
      </w:r>
      <w:r>
        <w:rPr>
          <w:rFonts w:hint="eastAsia" w:ascii="仿宋" w:hAnsi="仿宋" w:eastAsia="仿宋" w:cs="仿宋"/>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3、选用低噪声施工设备，合理安排作业时间，避免夜间施工，控制车辆时速。施工期噪声执行《建筑施工场界环境噪声排放标准》（GB12523-2011）。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4、固体废物集中堆放及时清运交有关部门进行相关处理。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320" w:firstLineChars="1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（二）严格落实运营期污染防治措施</w:t>
      </w:r>
    </w:p>
    <w:p>
      <w:pPr>
        <w:numPr>
          <w:ilvl w:val="0"/>
          <w:numId w:val="1"/>
        </w:numPr>
        <w:spacing w:line="360" w:lineRule="auto"/>
        <w:ind w:firstLine="640" w:firstLineChars="200"/>
        <w:textAlignment w:val="auto"/>
        <w:rPr>
          <w:rStyle w:val="16"/>
          <w:rFonts w:hint="eastAsia" w:ascii="仿宋" w:hAnsi="仿宋" w:eastAsia="仿宋" w:cs="Times New Roman"/>
          <w:color w:val="auto"/>
          <w:sz w:val="32"/>
          <w:szCs w:val="32"/>
          <w:highlight w:val="none"/>
          <w:lang w:val="en-US" w:eastAsia="zh-CN"/>
        </w:rPr>
      </w:pPr>
      <w:r>
        <w:rPr>
          <w:rStyle w:val="16"/>
          <w:rFonts w:hint="eastAsia" w:ascii="仿宋" w:hAnsi="仿宋" w:eastAsia="仿宋" w:cs="Times New Roman"/>
          <w:color w:val="auto"/>
          <w:sz w:val="32"/>
          <w:szCs w:val="32"/>
          <w:highlight w:val="none"/>
        </w:rPr>
        <w:t>运营期生产过程全封闭。</w:t>
      </w:r>
      <w:r>
        <w:rPr>
          <w:rStyle w:val="16"/>
          <w:rFonts w:hint="eastAsia" w:ascii="仿宋" w:hAnsi="仿宋" w:eastAsia="仿宋" w:cs="Times New Roman"/>
          <w:color w:val="auto"/>
          <w:sz w:val="32"/>
          <w:szCs w:val="32"/>
          <w:highlight w:val="none"/>
          <w:lang w:val="en-US" w:eastAsia="zh-CN"/>
        </w:rPr>
        <w:t>喷漆</w:t>
      </w:r>
      <w:r>
        <w:rPr>
          <w:rStyle w:val="16"/>
          <w:rFonts w:hint="eastAsia" w:ascii="仿宋" w:hAnsi="仿宋" w:eastAsia="仿宋" w:cs="Times New Roman"/>
          <w:color w:val="auto"/>
          <w:sz w:val="32"/>
          <w:szCs w:val="32"/>
          <w:highlight w:val="none"/>
          <w:lang w:val="en-US" w:eastAsia="zh-CN"/>
        </w:rPr>
        <w:t>、晾干过程产生的废气经风机收集，采用水帘柜+活性炭吸附装置处理后由15米高排气筒排放，执行《大气污染物综合排放标准》（GB16279-1996）表2中</w:t>
      </w:r>
      <w:r>
        <w:rPr>
          <w:rStyle w:val="16"/>
          <w:rFonts w:hint="eastAsia" w:ascii="仿宋" w:hAnsi="仿宋" w:eastAsia="仿宋" w:cs="Times New Roman"/>
          <w:color w:val="auto"/>
          <w:sz w:val="32"/>
          <w:szCs w:val="32"/>
          <w:highlight w:val="none"/>
          <w:lang w:val="en-US" w:eastAsia="zh-CN"/>
        </w:rPr>
        <w:t>最高允许排放浓度，</w:t>
      </w:r>
      <w:r>
        <w:rPr>
          <w:rFonts w:hint="eastAsia" w:ascii="仿宋" w:hAnsi="仿宋" w:eastAsia="仿宋" w:cs="仿宋"/>
          <w:color w:val="auto"/>
          <w:kern w:val="0"/>
          <w:sz w:val="32"/>
          <w:szCs w:val="32"/>
          <w:highlight w:val="none"/>
          <w:lang w:val="en-US" w:eastAsia="zh-CN" w:bidi="ar-SA"/>
        </w:rPr>
        <w:t>本项目排气筒高度没有高出周围200m半径范围的建筑5m以上，按其高度对应的表列中二级排放速率标准值严格50%执行。</w:t>
      </w:r>
      <w:r>
        <w:rPr>
          <w:rStyle w:val="16"/>
          <w:rFonts w:hint="eastAsia" w:ascii="仿宋" w:hAnsi="仿宋" w:eastAsia="仿宋" w:cs="Times New Roman"/>
          <w:color w:val="auto"/>
          <w:sz w:val="32"/>
          <w:szCs w:val="32"/>
          <w:highlight w:val="none"/>
          <w:lang w:val="en-US" w:eastAsia="zh-CN"/>
        </w:rPr>
        <w:t>项目废气无组织排放执行《大气污染物综合排放标准》（GB16297-1996）表2中无组织排放监控浓度限值。车间外非甲烷总烃执行《挥发性有机物无组织排放控制标准》（GB37822-2019）附录A中表A.1排放限值。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6"/>
          <w:rFonts w:hint="eastAsia" w:ascii="仿宋" w:hAnsi="仿宋" w:eastAsia="仿宋" w:cs="Times New Roman"/>
          <w:color w:val="auto"/>
          <w:sz w:val="32"/>
          <w:szCs w:val="32"/>
          <w:lang w:val="en-US" w:eastAsia="zh-CN"/>
        </w:rPr>
        <w:t>2、</w:t>
      </w:r>
      <w:r>
        <w:rPr>
          <w:rStyle w:val="16"/>
          <w:rFonts w:hint="default" w:ascii="仿宋" w:hAnsi="仿宋" w:eastAsia="仿宋" w:cs="Times New Roman"/>
          <w:color w:val="auto"/>
          <w:sz w:val="32"/>
          <w:szCs w:val="32"/>
          <w:lang w:val="en-US" w:eastAsia="zh-CN"/>
        </w:rPr>
        <w:t>运</w:t>
      </w:r>
      <w:r>
        <w:rPr>
          <w:rStyle w:val="16"/>
          <w:rFonts w:hint="eastAsia" w:ascii="仿宋" w:hAnsi="仿宋" w:eastAsia="仿宋" w:cs="Times New Roman"/>
          <w:color w:val="auto"/>
          <w:sz w:val="32"/>
          <w:szCs w:val="32"/>
          <w:lang w:val="en-US" w:eastAsia="zh-CN"/>
        </w:rPr>
        <w:t>营</w:t>
      </w:r>
      <w:r>
        <w:rPr>
          <w:rStyle w:val="16"/>
          <w:rFonts w:hint="default" w:ascii="仿宋" w:hAnsi="仿宋" w:eastAsia="仿宋" w:cs="Times New Roman"/>
          <w:color w:val="auto"/>
          <w:sz w:val="32"/>
          <w:szCs w:val="32"/>
          <w:lang w:val="en-US" w:eastAsia="zh-CN"/>
        </w:rPr>
        <w:t>期</w:t>
      </w:r>
      <w:r>
        <w:rPr>
          <w:rStyle w:val="16"/>
          <w:rFonts w:hint="eastAsia" w:ascii="仿宋" w:hAnsi="仿宋" w:eastAsia="仿宋" w:cs="Times New Roman"/>
          <w:color w:val="auto"/>
          <w:sz w:val="32"/>
          <w:szCs w:val="32"/>
          <w:lang w:val="en-US" w:eastAsia="zh-CN"/>
        </w:rPr>
        <w:t>生产废水循环使用，不外排。</w:t>
      </w:r>
      <w:r>
        <w:rPr>
          <w:rStyle w:val="16"/>
          <w:rFonts w:hint="default" w:ascii="仿宋" w:hAnsi="仿宋" w:eastAsia="仿宋" w:cs="Times New Roman"/>
          <w:color w:val="auto"/>
          <w:sz w:val="32"/>
          <w:szCs w:val="32"/>
          <w:lang w:val="en-US" w:eastAsia="zh-CN"/>
        </w:rPr>
        <w:t>生活污水</w:t>
      </w:r>
      <w:r>
        <w:rPr>
          <w:rFonts w:hint="eastAsia" w:ascii="仿宋" w:hAnsi="仿宋" w:eastAsia="仿宋" w:cs="仿宋"/>
          <w:color w:val="auto"/>
          <w:sz w:val="32"/>
          <w:szCs w:val="32"/>
          <w:lang w:val="en-US" w:eastAsia="zh-CN"/>
        </w:rPr>
        <w:t>经</w:t>
      </w:r>
      <w:r>
        <w:rPr>
          <w:rFonts w:hint="eastAsia" w:ascii="仿宋" w:hAnsi="仿宋" w:eastAsia="仿宋" w:cs="仿宋"/>
          <w:color w:val="auto"/>
          <w:sz w:val="32"/>
          <w:szCs w:val="32"/>
        </w:rPr>
        <w:t>化粪池沉淀后</w:t>
      </w:r>
      <w:r>
        <w:rPr>
          <w:rFonts w:hint="eastAsia" w:ascii="仿宋" w:hAnsi="仿宋" w:eastAsia="仿宋" w:cs="仿宋"/>
          <w:color w:val="auto"/>
          <w:sz w:val="32"/>
          <w:szCs w:val="32"/>
          <w:lang w:val="en-US" w:eastAsia="zh-CN"/>
        </w:rPr>
        <w:t>排入市政污水管网</w:t>
      </w:r>
      <w:r>
        <w:rPr>
          <w:rFonts w:hint="eastAsia" w:ascii="仿宋" w:hAnsi="仿宋" w:eastAsia="仿宋" w:cs="仿宋"/>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运营期厂界噪声执行《工业企业厂界环境噪声排放</w:t>
      </w:r>
      <w:r>
        <w:rPr>
          <w:rStyle w:val="16"/>
          <w:rFonts w:hint="eastAsia" w:ascii="仿宋" w:hAnsi="仿宋" w:eastAsia="仿宋"/>
          <w:color w:val="auto"/>
          <w:sz w:val="32"/>
          <w:szCs w:val="32"/>
          <w:lang w:val="en-US" w:eastAsia="zh-CN"/>
        </w:rPr>
        <w:t>标</w:t>
      </w:r>
      <w:r>
        <w:rPr>
          <w:rStyle w:val="16"/>
          <w:rFonts w:hint="eastAsia" w:ascii="仿宋" w:hAnsi="仿宋" w:eastAsia="仿宋"/>
          <w:color w:val="auto"/>
          <w:sz w:val="32"/>
          <w:szCs w:val="32"/>
        </w:rPr>
        <w:t>准》（GB12348-2008）中</w:t>
      </w:r>
      <w:r>
        <w:rPr>
          <w:rStyle w:val="16"/>
          <w:rFonts w:hint="eastAsia" w:ascii="仿宋" w:hAnsi="仿宋" w:eastAsia="仿宋"/>
          <w:color w:val="auto"/>
          <w:sz w:val="32"/>
          <w:szCs w:val="32"/>
          <w:lang w:val="en-US" w:eastAsia="zh-CN"/>
        </w:rPr>
        <w:t>1</w:t>
      </w:r>
      <w:r>
        <w:rPr>
          <w:rStyle w:val="16"/>
          <w:rFonts w:hint="eastAsia" w:ascii="仿宋" w:hAnsi="仿宋" w:eastAsia="仿宋"/>
          <w:color w:val="auto"/>
          <w:sz w:val="32"/>
          <w:szCs w:val="32"/>
        </w:rPr>
        <w:t>类标准。</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6"/>
          <w:rFonts w:hint="eastAsia" w:ascii="仿宋" w:hAnsi="仿宋" w:eastAsia="仿宋"/>
          <w:color w:val="auto"/>
          <w:sz w:val="32"/>
          <w:szCs w:val="32"/>
          <w:lang w:val="en-US" w:eastAsia="zh-CN"/>
        </w:rPr>
        <w:t>5、地面须按相关要求做好防渗措施，确保不会对地下水造成影响。</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s="Times New Roman"/>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w:t>
      </w:r>
      <w:r>
        <w:rPr>
          <w:rStyle w:val="16"/>
          <w:rFonts w:hint="eastAsia" w:ascii="仿宋" w:hAnsi="仿宋" w:eastAsia="仿宋" w:cs="Times New Roman"/>
          <w:color w:val="auto"/>
          <w:sz w:val="32"/>
          <w:szCs w:val="32"/>
          <w:lang w:eastAsia="zh-CN"/>
        </w:rPr>
        <w:t>。</w:t>
      </w:r>
      <w:r>
        <w:rPr>
          <w:rStyle w:val="16"/>
          <w:rFonts w:hint="eastAsia" w:ascii="仿宋" w:hAnsi="仿宋" w:eastAsia="仿宋"/>
          <w:color w:val="auto"/>
          <w:sz w:val="32"/>
          <w:szCs w:val="32"/>
        </w:rPr>
        <w:t>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6"/>
          <w:rFonts w:ascii="仿宋" w:hAnsi="仿宋" w:eastAsia="仿宋"/>
          <w:color w:val="auto"/>
          <w:sz w:val="32"/>
          <w:szCs w:val="32"/>
        </w:rPr>
        <w:t xml:space="preserve">                                       </w:t>
      </w:r>
    </w:p>
    <w:p>
      <w:pPr>
        <w:pStyle w:val="3"/>
        <w:jc w:val="both"/>
        <w:rPr>
          <w:rFonts w:hint="eastAsia"/>
          <w:color w:val="auto"/>
          <w:lang w:val="en-US" w:eastAsia="zh-CN"/>
        </w:rPr>
      </w:pPr>
      <w:r>
        <w:rPr>
          <w:rFonts w:hint="eastAsia"/>
          <w:color w:val="auto"/>
          <w:lang w:val="en-US" w:eastAsia="zh-CN"/>
        </w:rPr>
        <w:t xml:space="preserve">   </w:t>
      </w:r>
    </w:p>
    <w:p>
      <w:pPr>
        <w:rPr>
          <w:rFonts w:hint="eastAsia"/>
          <w:color w:val="auto"/>
          <w:lang w:val="en-US" w:eastAsia="zh-CN"/>
        </w:rPr>
      </w:pPr>
    </w:p>
    <w:p>
      <w:pPr>
        <w:pStyle w:val="2"/>
        <w:rPr>
          <w:rFonts w:hint="eastAsia"/>
          <w:lang w:val="en-US" w:eastAsia="zh-CN"/>
        </w:rPr>
      </w:pPr>
    </w:p>
    <w:p>
      <w:pPr>
        <w:pStyle w:val="2"/>
        <w:rPr>
          <w:rFonts w:hint="default"/>
          <w:lang w:val="en-US" w:eastAsia="zh-CN"/>
        </w:rPr>
      </w:pPr>
    </w:p>
    <w:p>
      <w:pPr>
        <w:jc w:val="left"/>
      </w:pPr>
    </w:p>
    <w:p>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3</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12</w:t>
      </w:r>
      <w:r>
        <w:rPr>
          <w:rStyle w:val="16"/>
          <w:rFonts w:hint="eastAsia" w:ascii="仿宋" w:hAnsi="仿宋" w:eastAsia="仿宋"/>
          <w:color w:val="auto"/>
          <w:sz w:val="32"/>
          <w:szCs w:val="32"/>
        </w:rPr>
        <w:t>月</w:t>
      </w:r>
      <w:r>
        <w:rPr>
          <w:rStyle w:val="16"/>
          <w:rFonts w:hint="eastAsia" w:ascii="仿宋" w:hAnsi="仿宋" w:eastAsia="仿宋"/>
          <w:color w:val="auto"/>
          <w:sz w:val="32"/>
          <w:szCs w:val="32"/>
          <w:lang w:val="en-US" w:eastAsia="zh-CN"/>
        </w:rPr>
        <w:t>21</w:t>
      </w:r>
      <w:r>
        <w:rPr>
          <w:rStyle w:val="16"/>
          <w:rFonts w:hint="eastAsia" w:ascii="仿宋" w:hAnsi="仿宋" w:eastAsia="仿宋"/>
          <w:color w:val="auto"/>
          <w:sz w:val="32"/>
          <w:szCs w:val="32"/>
        </w:rPr>
        <w:t>日</w:t>
      </w:r>
      <w:r>
        <w:rPr>
          <w:rStyle w:val="16"/>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rPr>
          <w:color w:val="auto"/>
        </w:rPr>
      </w:pPr>
      <w:r>
        <w:rPr>
          <w:color w:val="auto"/>
        </w:rPr>
        <w:br w:type="page"/>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3</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12</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21</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5E497C"/>
    <w:multiLevelType w:val="singleLevel"/>
    <w:tmpl w:val="CB5E497C"/>
    <w:lvl w:ilvl="0" w:tentative="0">
      <w:start w:val="1"/>
      <w:numFmt w:val="decimal"/>
      <w:suff w:val="nothing"/>
      <w:lvlText w:val="%1、"/>
      <w:lvlJc w:val="left"/>
    </w:lvl>
  </w:abstractNum>
  <w:abstractNum w:abstractNumId="1">
    <w:nsid w:val="6A8A7D25"/>
    <w:multiLevelType w:val="singleLevel"/>
    <w:tmpl w:val="6A8A7D25"/>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N2E2MTRmYjM2NzM2N2YwMzQyOWU3MDQxMjhiZD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6A1510"/>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822685D"/>
    <w:rsid w:val="08660559"/>
    <w:rsid w:val="086B5A8B"/>
    <w:rsid w:val="088554D8"/>
    <w:rsid w:val="08A1120A"/>
    <w:rsid w:val="08AD4A87"/>
    <w:rsid w:val="08B51389"/>
    <w:rsid w:val="08CE2C2B"/>
    <w:rsid w:val="08EA5D86"/>
    <w:rsid w:val="08FA6E92"/>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A55642"/>
    <w:rsid w:val="0BD72E57"/>
    <w:rsid w:val="0BDE1694"/>
    <w:rsid w:val="0C2B3A73"/>
    <w:rsid w:val="0C301322"/>
    <w:rsid w:val="0C5555BE"/>
    <w:rsid w:val="0CAF1FCC"/>
    <w:rsid w:val="0CC65836"/>
    <w:rsid w:val="0CFC12E8"/>
    <w:rsid w:val="0D693F98"/>
    <w:rsid w:val="0D830185"/>
    <w:rsid w:val="0DF20A80"/>
    <w:rsid w:val="0E2F5220"/>
    <w:rsid w:val="0E364873"/>
    <w:rsid w:val="0E385A18"/>
    <w:rsid w:val="0E570138"/>
    <w:rsid w:val="0E846C5B"/>
    <w:rsid w:val="0E9A33FF"/>
    <w:rsid w:val="0EB72A51"/>
    <w:rsid w:val="0EC36AE6"/>
    <w:rsid w:val="0EF75580"/>
    <w:rsid w:val="0F1B51C5"/>
    <w:rsid w:val="0F3A0931"/>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1C091C"/>
    <w:rsid w:val="171F5F2F"/>
    <w:rsid w:val="1747459A"/>
    <w:rsid w:val="178F5508"/>
    <w:rsid w:val="17D90483"/>
    <w:rsid w:val="17E15C23"/>
    <w:rsid w:val="181C5F12"/>
    <w:rsid w:val="18207E93"/>
    <w:rsid w:val="188A5136"/>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197ECC"/>
    <w:rsid w:val="1F7A6B27"/>
    <w:rsid w:val="1F9A03FC"/>
    <w:rsid w:val="1F9F4FD0"/>
    <w:rsid w:val="1FB13B43"/>
    <w:rsid w:val="1FFD3A90"/>
    <w:rsid w:val="203E5C2F"/>
    <w:rsid w:val="20723F75"/>
    <w:rsid w:val="208B0C0A"/>
    <w:rsid w:val="209F2E8C"/>
    <w:rsid w:val="20C94FCD"/>
    <w:rsid w:val="20CF0133"/>
    <w:rsid w:val="212154AC"/>
    <w:rsid w:val="21500F9E"/>
    <w:rsid w:val="217D77E0"/>
    <w:rsid w:val="21DC075D"/>
    <w:rsid w:val="21EF70BE"/>
    <w:rsid w:val="220E66BC"/>
    <w:rsid w:val="221B45B1"/>
    <w:rsid w:val="2265588B"/>
    <w:rsid w:val="228C2292"/>
    <w:rsid w:val="23541649"/>
    <w:rsid w:val="235E3785"/>
    <w:rsid w:val="23921405"/>
    <w:rsid w:val="23C9100A"/>
    <w:rsid w:val="23F35EC2"/>
    <w:rsid w:val="24421E65"/>
    <w:rsid w:val="24855506"/>
    <w:rsid w:val="24C456C6"/>
    <w:rsid w:val="24F868A6"/>
    <w:rsid w:val="25125EFC"/>
    <w:rsid w:val="25366867"/>
    <w:rsid w:val="2537664C"/>
    <w:rsid w:val="253C64B1"/>
    <w:rsid w:val="25733248"/>
    <w:rsid w:val="259E0F68"/>
    <w:rsid w:val="25AA1BAB"/>
    <w:rsid w:val="25AF47C5"/>
    <w:rsid w:val="25D60BC4"/>
    <w:rsid w:val="25D873ED"/>
    <w:rsid w:val="25F75335"/>
    <w:rsid w:val="260007C3"/>
    <w:rsid w:val="261325BB"/>
    <w:rsid w:val="267000E4"/>
    <w:rsid w:val="269E1BDF"/>
    <w:rsid w:val="26C86AE1"/>
    <w:rsid w:val="27063174"/>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E76F53"/>
    <w:rsid w:val="2AF53CB3"/>
    <w:rsid w:val="2B065713"/>
    <w:rsid w:val="2B496FAB"/>
    <w:rsid w:val="2B5F7DC4"/>
    <w:rsid w:val="2BD26C46"/>
    <w:rsid w:val="2BDE5B5E"/>
    <w:rsid w:val="2C3F708C"/>
    <w:rsid w:val="2C871D94"/>
    <w:rsid w:val="2CAE4D3A"/>
    <w:rsid w:val="2CE7407F"/>
    <w:rsid w:val="2CFB6C68"/>
    <w:rsid w:val="2D5C4C74"/>
    <w:rsid w:val="2D5F771D"/>
    <w:rsid w:val="2DD6130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B97443"/>
    <w:rsid w:val="31C4479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352E7D"/>
    <w:rsid w:val="3587701E"/>
    <w:rsid w:val="35A21902"/>
    <w:rsid w:val="35F90D08"/>
    <w:rsid w:val="361479B3"/>
    <w:rsid w:val="362A341F"/>
    <w:rsid w:val="36CB51E2"/>
    <w:rsid w:val="36D33EE3"/>
    <w:rsid w:val="37010A46"/>
    <w:rsid w:val="37075CEA"/>
    <w:rsid w:val="371F6C8E"/>
    <w:rsid w:val="372344BA"/>
    <w:rsid w:val="37334EA2"/>
    <w:rsid w:val="375C4DD9"/>
    <w:rsid w:val="375D3876"/>
    <w:rsid w:val="37663248"/>
    <w:rsid w:val="37966A72"/>
    <w:rsid w:val="37D77582"/>
    <w:rsid w:val="37E5426D"/>
    <w:rsid w:val="37FF7133"/>
    <w:rsid w:val="38114125"/>
    <w:rsid w:val="38176CB5"/>
    <w:rsid w:val="38252AC8"/>
    <w:rsid w:val="389B5401"/>
    <w:rsid w:val="38B32843"/>
    <w:rsid w:val="38DE2C23"/>
    <w:rsid w:val="39625ABB"/>
    <w:rsid w:val="39750C1A"/>
    <w:rsid w:val="39815D3F"/>
    <w:rsid w:val="39CB16C6"/>
    <w:rsid w:val="39CE6D77"/>
    <w:rsid w:val="39CF3432"/>
    <w:rsid w:val="3A102EB3"/>
    <w:rsid w:val="3A1559AB"/>
    <w:rsid w:val="3A1716A8"/>
    <w:rsid w:val="3A2C25BF"/>
    <w:rsid w:val="3A4100A2"/>
    <w:rsid w:val="3A420ECD"/>
    <w:rsid w:val="3AEA62F0"/>
    <w:rsid w:val="3B164E12"/>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17760"/>
    <w:rsid w:val="3DD06792"/>
    <w:rsid w:val="3DF633C5"/>
    <w:rsid w:val="3E6216DB"/>
    <w:rsid w:val="3E6D2368"/>
    <w:rsid w:val="3E8C50F6"/>
    <w:rsid w:val="3E9E6EFC"/>
    <w:rsid w:val="3EA147B7"/>
    <w:rsid w:val="3EAA1A98"/>
    <w:rsid w:val="3ED64314"/>
    <w:rsid w:val="3EDA3818"/>
    <w:rsid w:val="3EE12A57"/>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7C5B9E"/>
    <w:rsid w:val="4780431E"/>
    <w:rsid w:val="479235C6"/>
    <w:rsid w:val="47D54997"/>
    <w:rsid w:val="481E12C4"/>
    <w:rsid w:val="482F22FC"/>
    <w:rsid w:val="483A153F"/>
    <w:rsid w:val="48714DBB"/>
    <w:rsid w:val="487F2935"/>
    <w:rsid w:val="49540677"/>
    <w:rsid w:val="496A64EE"/>
    <w:rsid w:val="49926C6C"/>
    <w:rsid w:val="49AA4FB0"/>
    <w:rsid w:val="49DB78B5"/>
    <w:rsid w:val="49E97A04"/>
    <w:rsid w:val="49EA569C"/>
    <w:rsid w:val="4A494A22"/>
    <w:rsid w:val="4A911B79"/>
    <w:rsid w:val="4ADF223E"/>
    <w:rsid w:val="4AF07DCC"/>
    <w:rsid w:val="4B125F29"/>
    <w:rsid w:val="4B620F05"/>
    <w:rsid w:val="4B9F6E4A"/>
    <w:rsid w:val="4BA42C32"/>
    <w:rsid w:val="4BAD0F90"/>
    <w:rsid w:val="4BD3258C"/>
    <w:rsid w:val="4C2274BE"/>
    <w:rsid w:val="4CD95DD7"/>
    <w:rsid w:val="4D137AF0"/>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642B9B"/>
    <w:rsid w:val="5288313B"/>
    <w:rsid w:val="52D27DE3"/>
    <w:rsid w:val="52F33045"/>
    <w:rsid w:val="531F408E"/>
    <w:rsid w:val="53406525"/>
    <w:rsid w:val="534B5C0F"/>
    <w:rsid w:val="53646721"/>
    <w:rsid w:val="53E44017"/>
    <w:rsid w:val="5432323D"/>
    <w:rsid w:val="54331B24"/>
    <w:rsid w:val="54583460"/>
    <w:rsid w:val="54686A39"/>
    <w:rsid w:val="54AD6A7C"/>
    <w:rsid w:val="54E641C3"/>
    <w:rsid w:val="54EC6DF6"/>
    <w:rsid w:val="54F16F78"/>
    <w:rsid w:val="55215714"/>
    <w:rsid w:val="554D7806"/>
    <w:rsid w:val="555B0286"/>
    <w:rsid w:val="55876BE5"/>
    <w:rsid w:val="55A94050"/>
    <w:rsid w:val="55CA36B6"/>
    <w:rsid w:val="567F5F3C"/>
    <w:rsid w:val="56DB6AC7"/>
    <w:rsid w:val="56DF16DC"/>
    <w:rsid w:val="57184CF1"/>
    <w:rsid w:val="57780B5F"/>
    <w:rsid w:val="57B679F5"/>
    <w:rsid w:val="57B96494"/>
    <w:rsid w:val="57DD76E9"/>
    <w:rsid w:val="57FC658A"/>
    <w:rsid w:val="57FE5FE5"/>
    <w:rsid w:val="586A1F97"/>
    <w:rsid w:val="589C6ECF"/>
    <w:rsid w:val="593212FE"/>
    <w:rsid w:val="59597413"/>
    <w:rsid w:val="59BA4CD4"/>
    <w:rsid w:val="59EE5797"/>
    <w:rsid w:val="5AC272A3"/>
    <w:rsid w:val="5B307B0A"/>
    <w:rsid w:val="5B557E8F"/>
    <w:rsid w:val="5BB1110B"/>
    <w:rsid w:val="5C2B7BE1"/>
    <w:rsid w:val="5C4242AB"/>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5FFF65AF"/>
    <w:rsid w:val="602B2726"/>
    <w:rsid w:val="60417BB4"/>
    <w:rsid w:val="60854409"/>
    <w:rsid w:val="60B2650C"/>
    <w:rsid w:val="611D40E2"/>
    <w:rsid w:val="614462DE"/>
    <w:rsid w:val="61B516C4"/>
    <w:rsid w:val="61EF4764"/>
    <w:rsid w:val="625904A9"/>
    <w:rsid w:val="628730AA"/>
    <w:rsid w:val="62A64AED"/>
    <w:rsid w:val="62BE2B8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8A3A01"/>
    <w:rsid w:val="698D0D6B"/>
    <w:rsid w:val="69E6116E"/>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A73C10"/>
    <w:rsid w:val="6DC319FF"/>
    <w:rsid w:val="6DD24A05"/>
    <w:rsid w:val="6E1844B8"/>
    <w:rsid w:val="6E541954"/>
    <w:rsid w:val="6E6D5C0E"/>
    <w:rsid w:val="6E7C3113"/>
    <w:rsid w:val="6EA67FA2"/>
    <w:rsid w:val="6F957251"/>
    <w:rsid w:val="6FE25C4F"/>
    <w:rsid w:val="70921C55"/>
    <w:rsid w:val="70B658E9"/>
    <w:rsid w:val="71283ECD"/>
    <w:rsid w:val="713D11CB"/>
    <w:rsid w:val="7147364E"/>
    <w:rsid w:val="71502437"/>
    <w:rsid w:val="71E362C3"/>
    <w:rsid w:val="7219039A"/>
    <w:rsid w:val="731775B6"/>
    <w:rsid w:val="73BA11B9"/>
    <w:rsid w:val="73D60472"/>
    <w:rsid w:val="73F53D48"/>
    <w:rsid w:val="73F676A0"/>
    <w:rsid w:val="7496752E"/>
    <w:rsid w:val="755B54D7"/>
    <w:rsid w:val="75765328"/>
    <w:rsid w:val="75A177EE"/>
    <w:rsid w:val="75C71031"/>
    <w:rsid w:val="75D86CD4"/>
    <w:rsid w:val="760E7139"/>
    <w:rsid w:val="76496AA8"/>
    <w:rsid w:val="76745CA5"/>
    <w:rsid w:val="768559AF"/>
    <w:rsid w:val="768D3BBF"/>
    <w:rsid w:val="76A05F87"/>
    <w:rsid w:val="76A730E4"/>
    <w:rsid w:val="76F33AE6"/>
    <w:rsid w:val="76F4119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C30024"/>
    <w:rsid w:val="79E24199"/>
    <w:rsid w:val="7A281851"/>
    <w:rsid w:val="7A550F13"/>
    <w:rsid w:val="7A773BB5"/>
    <w:rsid w:val="7AC34054"/>
    <w:rsid w:val="7AD20151"/>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qFormat/>
    <w:uiPriority w:val="99"/>
    <w:pPr>
      <w:ind w:left="420" w:leftChars="20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character" w:styleId="15">
    <w:name w:val="Strong"/>
    <w:basedOn w:val="16"/>
    <w:qFormat/>
    <w:uiPriority w:val="99"/>
    <w:rPr>
      <w:rFonts w:cs="Times New Roman"/>
      <w:b/>
    </w:rPr>
  </w:style>
  <w:style w:type="character" w:customStyle="1" w:styleId="16">
    <w:name w:val="NormalCharacter"/>
    <w:semiHidden/>
    <w:qFormat/>
    <w:uiPriority w:val="99"/>
  </w:style>
  <w:style w:type="character" w:styleId="17">
    <w:name w:val="annotation reference"/>
    <w:qFormat/>
    <w:uiPriority w:val="0"/>
    <w:rPr>
      <w:sz w:val="21"/>
      <w:szCs w:val="21"/>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19">
    <w:name w:val="正文首行缩进 21"/>
    <w:basedOn w:val="4"/>
    <w:next w:val="1"/>
    <w:qFormat/>
    <w:uiPriority w:val="0"/>
    <w:pPr>
      <w:spacing w:afterLines="0"/>
      <w:ind w:left="420" w:firstLine="420" w:firstLineChars="200"/>
    </w:pPr>
    <w:rPr>
      <w:lang w:eastAsia="zh-CN" w:bidi="ar-SA"/>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4"/>
    <w:link w:val="6"/>
    <w:semiHidden/>
    <w:qFormat/>
    <w:uiPriority w:val="99"/>
    <w:rPr>
      <w:color w:val="000000"/>
      <w:kern w:val="0"/>
      <w:szCs w:val="20"/>
    </w:rPr>
  </w:style>
  <w:style w:type="character" w:customStyle="1" w:styleId="22">
    <w:name w:val="日期 Char"/>
    <w:basedOn w:val="14"/>
    <w:link w:val="8"/>
    <w:semiHidden/>
    <w:qFormat/>
    <w:uiPriority w:val="99"/>
    <w:rPr>
      <w:color w:val="000000"/>
      <w:kern w:val="0"/>
      <w:szCs w:val="20"/>
    </w:rPr>
  </w:style>
  <w:style w:type="character" w:customStyle="1" w:styleId="23">
    <w:name w:val="页脚 Char"/>
    <w:basedOn w:val="16"/>
    <w:link w:val="9"/>
    <w:qFormat/>
    <w:locked/>
    <w:uiPriority w:val="99"/>
    <w:rPr>
      <w:rFonts w:cs="Times New Roman"/>
      <w:color w:val="000000"/>
      <w:sz w:val="18"/>
    </w:rPr>
  </w:style>
  <w:style w:type="character" w:customStyle="1" w:styleId="24">
    <w:name w:val="页眉 Char"/>
    <w:basedOn w:val="16"/>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1840</Words>
  <Characters>2002</Characters>
  <Lines>10</Lines>
  <Paragraphs>3</Paragraphs>
  <TotalTime>5</TotalTime>
  <ScaleCrop>false</ScaleCrop>
  <LinksUpToDate>false</LinksUpToDate>
  <CharactersWithSpaces>2084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2023-09-13T02:44:00Z</cp:lastPrinted>
  <dcterms:modified xsi:type="dcterms:W3CDTF">2023-12-13T07:55:47Z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22CDF840E130411EBD95BB3CF2C51C49_13</vt:lpwstr>
  </property>
</Properties>
</file>