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8"/>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ascii="Times New Roman" w:hAnsi="Times New Roman" w:eastAsia="宋体"/>
                <w:szCs w:val="22"/>
              </w:rPr>
              <w:t>内蒙古蓝色火宴科技环保股份公司 3 万吨/年生物质复合型燃料</w:t>
            </w:r>
          </w:p>
        </w:tc>
        <w:tc>
          <w:tcPr>
            <w:tcW w:w="397" w:type="dxa"/>
            <w:vAlign w:val="center"/>
          </w:tcPr>
          <w:p>
            <w:pPr>
              <w:spacing w:line="240" w:lineRule="atLeast"/>
              <w:jc w:val="center"/>
              <w:rPr>
                <w:color w:val="000000"/>
                <w:szCs w:val="21"/>
              </w:rPr>
            </w:pPr>
            <w:r>
              <w:rPr>
                <w:rFonts w:hint="eastAsia"/>
                <w:color w:val="000000"/>
                <w:szCs w:val="21"/>
              </w:rPr>
              <w:t>鄂尔多斯市</w:t>
            </w:r>
            <w:r>
              <w:rPr>
                <w:rFonts w:hint="eastAsia"/>
                <w:color w:val="000000"/>
                <w:szCs w:val="21"/>
                <w:lang w:val="en-US" w:eastAsia="zh-CN"/>
              </w:rPr>
              <w:t>鄂尔多斯高新技术产业开发区装备制造产业园</w:t>
            </w:r>
          </w:p>
        </w:tc>
        <w:tc>
          <w:tcPr>
            <w:tcW w:w="465" w:type="dxa"/>
            <w:vAlign w:val="center"/>
          </w:tcPr>
          <w:p>
            <w:pPr>
              <w:spacing w:line="240" w:lineRule="atLeast"/>
              <w:jc w:val="center"/>
              <w:rPr>
                <w:color w:val="000000"/>
                <w:szCs w:val="21"/>
              </w:rPr>
            </w:pPr>
            <w:r>
              <w:rPr>
                <w:rFonts w:hint="eastAsia"/>
                <w:color w:val="000000"/>
                <w:szCs w:val="21"/>
              </w:rPr>
              <w:t>内蒙古蓝色火宴科技环保股份公司</w:t>
            </w:r>
            <w:r>
              <w:rPr>
                <w:color w:val="000000"/>
                <w:szCs w:val="21"/>
              </w:rPr>
              <w:t xml:space="preserve">  </w:t>
            </w:r>
          </w:p>
        </w:tc>
        <w:tc>
          <w:tcPr>
            <w:tcW w:w="675" w:type="dxa"/>
            <w:vAlign w:val="center"/>
          </w:tcPr>
          <w:p>
            <w:pPr>
              <w:spacing w:line="360" w:lineRule="auto"/>
              <w:jc w:val="center"/>
              <w:rPr>
                <w:color w:val="000000"/>
                <w:szCs w:val="21"/>
              </w:rPr>
            </w:pPr>
            <w:r>
              <w:rPr>
                <w:rFonts w:ascii="Times New Roman" w:hAnsi="Times New Roman" w:eastAsia="宋体"/>
                <w:szCs w:val="22"/>
              </w:rPr>
              <w:t>内蒙古意丰环保科技有限公司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该项目属于新建项目，</w:t>
            </w:r>
            <w:r>
              <w:rPr>
                <w:rFonts w:hint="eastAsia"/>
                <w:color w:val="000000"/>
                <w:szCs w:val="21"/>
                <w:lang w:eastAsia="zh-CN"/>
              </w:rPr>
              <w:t>位于</w:t>
            </w:r>
            <w:r>
              <w:rPr>
                <w:rFonts w:hint="eastAsia"/>
                <w:color w:val="000000"/>
                <w:szCs w:val="21"/>
                <w:lang w:val="en-US" w:eastAsia="zh-CN"/>
              </w:rPr>
              <w:t>鄂尔多斯高新技术产业开发区装备制造产业园。项目总</w:t>
            </w:r>
            <w:r>
              <w:rPr>
                <w:rFonts w:hint="eastAsia"/>
                <w:color w:val="000000"/>
                <w:szCs w:val="21"/>
                <w:lang w:eastAsia="zh-CN"/>
              </w:rPr>
              <w:t>占地面积</w:t>
            </w:r>
            <w:r>
              <w:rPr>
                <w:rFonts w:hint="eastAsia"/>
                <w:color w:val="000000"/>
                <w:szCs w:val="21"/>
                <w:lang w:val="en-US" w:eastAsia="zh-CN"/>
              </w:rPr>
              <w:t>31</w:t>
            </w:r>
            <w:r>
              <w:rPr>
                <w:rFonts w:hint="default"/>
                <w:color w:val="000000"/>
                <w:szCs w:val="21"/>
                <w:lang w:val="en-US" w:eastAsia="zh-CN"/>
              </w:rPr>
              <w:t>00</w:t>
            </w:r>
            <w:r>
              <w:rPr>
                <w:rFonts w:hint="eastAsia"/>
                <w:color w:val="000000"/>
                <w:szCs w:val="21"/>
                <w:lang w:eastAsia="zh-CN"/>
              </w:rPr>
              <w:t>平方米，</w:t>
            </w:r>
            <w:r>
              <w:rPr>
                <w:rFonts w:hint="default"/>
                <w:color w:val="000000"/>
                <w:szCs w:val="21"/>
              </w:rPr>
              <w:t>总投资</w:t>
            </w:r>
            <w:r>
              <w:rPr>
                <w:rFonts w:hint="eastAsia"/>
                <w:color w:val="000000"/>
                <w:szCs w:val="21"/>
                <w:lang w:val="en-US" w:eastAsia="zh-CN"/>
              </w:rPr>
              <w:t>1550万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109万元</w:t>
            </w:r>
            <w:r>
              <w:rPr>
                <w:rFonts w:hint="eastAsia"/>
                <w:color w:val="000000"/>
                <w:szCs w:val="21"/>
              </w:rPr>
              <w:t>。</w:t>
            </w:r>
            <w:r>
              <w:rPr>
                <w:rFonts w:hint="eastAsia"/>
                <w:color w:val="000000"/>
                <w:szCs w:val="21"/>
                <w:lang w:eastAsia="zh-CN"/>
              </w:rPr>
              <w:t>主要建设内容及规模：</w:t>
            </w:r>
            <w:r>
              <w:rPr>
                <w:rFonts w:hint="eastAsia"/>
                <w:color w:val="000000"/>
                <w:szCs w:val="21"/>
              </w:rPr>
              <w:t>本项目租用鄂尔多斯市光大电线电缆有限责任公司闲置空厂房建设1座生物质复合型燃料生产加工车间，内设3条生物质复合型燃料生产线，包含1条挤压线、1条冲压线、1条对辊线。</w:t>
            </w:r>
            <w:r>
              <w:rPr>
                <w:rFonts w:hint="eastAsia"/>
                <w:color w:val="000000"/>
                <w:szCs w:val="21"/>
                <w:lang w:val="en-US" w:eastAsia="zh-CN"/>
              </w:rPr>
              <w:t>新</w:t>
            </w:r>
            <w:r>
              <w:rPr>
                <w:rFonts w:hint="eastAsia"/>
                <w:color w:val="000000"/>
                <w:szCs w:val="21"/>
                <w:lang w:eastAsia="zh-CN"/>
              </w:rPr>
              <w:t>建</w:t>
            </w:r>
            <w:r>
              <w:rPr>
                <w:rFonts w:hint="eastAsia"/>
                <w:color w:val="000000"/>
                <w:szCs w:val="21"/>
              </w:rPr>
              <w:t>1</w:t>
            </w:r>
            <w:r>
              <w:rPr>
                <w:rFonts w:hint="eastAsia"/>
                <w:color w:val="000000"/>
                <w:szCs w:val="21"/>
                <w:lang w:eastAsia="zh-CN"/>
              </w:rPr>
              <w:t>座</w:t>
            </w:r>
            <w:r>
              <w:rPr>
                <w:rFonts w:hint="eastAsia"/>
                <w:color w:val="000000"/>
                <w:szCs w:val="21"/>
                <w:lang w:val="en-US" w:eastAsia="zh-CN"/>
              </w:rPr>
              <w:t>1</w:t>
            </w:r>
            <w:r>
              <w:rPr>
                <w:rFonts w:hint="default"/>
                <w:color w:val="000000"/>
                <w:szCs w:val="21"/>
                <w:lang w:val="en-US" w:eastAsia="zh-CN"/>
              </w:rPr>
              <w:t>0</w:t>
            </w:r>
            <w:r>
              <w:rPr>
                <w:rFonts w:hint="eastAsia"/>
                <w:color w:val="000000"/>
                <w:szCs w:val="21"/>
                <w:lang w:eastAsia="zh-CN"/>
              </w:rPr>
              <w:t>平方米</w:t>
            </w:r>
            <w:r>
              <w:rPr>
                <w:rFonts w:hint="eastAsia"/>
                <w:color w:val="000000"/>
                <w:szCs w:val="21"/>
              </w:rPr>
              <w:t>危废暂存间</w:t>
            </w:r>
            <w:r>
              <w:rPr>
                <w:rFonts w:hint="eastAsia"/>
                <w:color w:val="000000"/>
                <w:szCs w:val="21"/>
                <w:lang w:eastAsia="zh-CN"/>
              </w:rPr>
              <w:t>，</w:t>
            </w:r>
            <w:r>
              <w:rPr>
                <w:rFonts w:hint="eastAsia"/>
                <w:color w:val="000000"/>
                <w:szCs w:val="21"/>
                <w:lang w:val="en-US" w:eastAsia="zh-CN"/>
              </w:rPr>
              <w:t>同时配套建设公辅工程和环保工程</w:t>
            </w:r>
            <w:r>
              <w:rPr>
                <w:rFonts w:hint="eastAsia"/>
                <w:color w:val="000000"/>
                <w:szCs w:val="21"/>
                <w:lang w:eastAsia="zh-CN"/>
              </w:rPr>
              <w:t>。建成后</w:t>
            </w:r>
            <w:r>
              <w:rPr>
                <w:rFonts w:hint="eastAsia"/>
                <w:color w:val="000000"/>
                <w:szCs w:val="21"/>
              </w:rPr>
              <w:t>年生产生物质复合型燃料30000吨，包含生物质型燃料10000吨、艾草燃料1000吨、沙棘燃料1000吨、沙柳燃料5000吨、生物质复合速燃燃料6000吨以及金火炬复合燃料7000吨。</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2、施工人员生活污水经现有</w:t>
            </w:r>
            <w:r>
              <w:rPr>
                <w:rFonts w:hint="eastAsia"/>
                <w:color w:val="000000"/>
                <w:szCs w:val="21"/>
              </w:rPr>
              <w:t>化粪池沉淀后</w:t>
            </w:r>
            <w:r>
              <w:rPr>
                <w:rFonts w:hint="eastAsia"/>
                <w:color w:val="000000"/>
                <w:szCs w:val="21"/>
                <w:lang w:val="en-US" w:eastAsia="zh-CN"/>
              </w:rPr>
              <w:t>排入市政污水管网</w:t>
            </w:r>
            <w:r>
              <w:rPr>
                <w:rFonts w:hint="eastAsia"/>
                <w:color w:val="000000"/>
                <w:szCs w:val="21"/>
              </w:rPr>
              <w:t>。</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破碎粉尘经集气罩收集后由15米高排气筒排放，执行《大气污染物综合排放标准》（GB16279-1996）表2中二级标准。运营期燃气锅炉废气经1根8米高排气筒排放，执行《锅炉大气污染物排放标准》（GB13271-2014）中表2新建锅炉大气污染物排放浓度限值中燃气锅炉限值。项目废气无组织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2、运营期锅炉排水排入园区污水管网。生活污水经化粪池沉淀后排入园区污水管网。</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危废暂存库须严格按照《危险废物贮存污染控制标准》（GB18597-20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该项目从批准之日起超过5年方决定开工建设，其环评文件应重新审核。如果建设地点、规模、防治污染和防</w:t>
            </w:r>
            <w:bookmarkStart w:id="0" w:name="_GoBack"/>
            <w:bookmarkEnd w:id="0"/>
            <w:r>
              <w:rPr>
                <w:rFonts w:hint="eastAsia"/>
                <w:color w:val="000000"/>
                <w:szCs w:val="21"/>
              </w:rPr>
              <w:t xml:space="preserve">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43E342FC"/>
    <w:rsid w:val="6E8F5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Body Text Indent 3"/>
    <w:basedOn w:val="1"/>
    <w:qFormat/>
    <w:uiPriority w:val="0"/>
    <w:pPr>
      <w:spacing w:line="360" w:lineRule="auto"/>
      <w:ind w:firstLine="567"/>
      <w:jc w:val="left"/>
    </w:pPr>
    <w:rPr>
      <w:sz w:val="28"/>
    </w:r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character" w:customStyle="1" w:styleId="12">
    <w:name w:val="NormalCharacter"/>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0</TotalTime>
  <ScaleCrop>false</ScaleCrop>
  <LinksUpToDate>false</LinksUpToDate>
  <CharactersWithSpaces>1576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2023-12-15T03:42:47Z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80F7A427FECA4254869E66C4E9138997_12</vt:lpwstr>
  </property>
</Properties>
</file>