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rPr>
        <w:t>3〕5</w:t>
      </w:r>
      <w:r>
        <w:rPr>
          <w:rStyle w:val="16"/>
          <w:rFonts w:ascii="仿宋" w:hAnsi="仿宋" w:eastAsia="仿宋"/>
          <w:color w:val="auto"/>
          <w:sz w:val="32"/>
          <w:szCs w:val="32"/>
        </w:rPr>
        <w:t>0</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ascii="宋体" w:hAnsi="宋体" w:cs="宋体"/>
          <w:b/>
          <w:color w:val="auto"/>
          <w:sz w:val="44"/>
          <w:szCs w:val="44"/>
        </w:rPr>
      </w:pPr>
    </w:p>
    <w:p>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鄂尔多斯市生态环境局东胜区分局关于</w:t>
      </w:r>
    </w:p>
    <w:p>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晶旭年产200万千瓦光伏组件建设</w:t>
      </w:r>
    </w:p>
    <w:p>
      <w:pPr>
        <w:spacing w:line="600" w:lineRule="exact"/>
        <w:jc w:val="center"/>
        <w:rPr>
          <w:rStyle w:val="16"/>
          <w:rFonts w:ascii="宋体" w:hAnsi="宋体" w:cs="宋体"/>
          <w:b/>
          <w:color w:val="auto"/>
          <w:sz w:val="44"/>
          <w:szCs w:val="44"/>
        </w:rPr>
      </w:pPr>
      <w:r>
        <w:rPr>
          <w:rStyle w:val="16"/>
          <w:rFonts w:hint="eastAsia" w:ascii="宋体" w:hAnsi="宋体"/>
          <w:b/>
          <w:color w:val="auto"/>
          <w:sz w:val="44"/>
          <w:szCs w:val="44"/>
        </w:rPr>
        <w:t>项目</w:t>
      </w:r>
      <w:r>
        <w:rPr>
          <w:rStyle w:val="16"/>
          <w:rFonts w:hint="eastAsia" w:ascii="宋体" w:hAnsi="宋体" w:cs="宋体"/>
          <w:b/>
          <w:color w:val="auto"/>
          <w:sz w:val="44"/>
          <w:szCs w:val="44"/>
        </w:rPr>
        <w:t>环境影响报告表的批复</w:t>
      </w:r>
    </w:p>
    <w:p>
      <w:pPr>
        <w:spacing w:line="360" w:lineRule="auto"/>
        <w:ind w:firstLine="640" w:firstLineChars="200"/>
        <w:textAlignment w:val="auto"/>
        <w:rPr>
          <w:rStyle w:val="16"/>
          <w:rFonts w:ascii="仿宋" w:hAnsi="仿宋" w:eastAsia="仿宋"/>
          <w:sz w:val="32"/>
          <w:szCs w:val="32"/>
        </w:rPr>
      </w:pPr>
    </w:p>
    <w:p>
      <w:pPr>
        <w:widowControl w:val="0"/>
        <w:spacing w:line="360" w:lineRule="auto"/>
        <w:jc w:val="both"/>
        <w:textAlignment w:val="auto"/>
        <w:rPr>
          <w:rStyle w:val="16"/>
          <w:rFonts w:ascii="仿宋" w:hAnsi="仿宋" w:eastAsia="仿宋"/>
          <w:sz w:val="32"/>
          <w:szCs w:val="32"/>
        </w:rPr>
      </w:pPr>
      <w:r>
        <w:rPr>
          <w:rStyle w:val="16"/>
          <w:rFonts w:hint="eastAsia" w:ascii="仿宋" w:hAnsi="仿宋" w:eastAsia="仿宋"/>
          <w:sz w:val="32"/>
          <w:szCs w:val="32"/>
        </w:rPr>
        <w:t>内蒙古晶旭新能源科技有限</w:t>
      </w:r>
      <w:r>
        <w:rPr>
          <w:rStyle w:val="16"/>
          <w:rFonts w:ascii="仿宋" w:hAnsi="仿宋" w:eastAsia="仿宋"/>
          <w:sz w:val="32"/>
          <w:szCs w:val="32"/>
        </w:rPr>
        <w:t>公司</w:t>
      </w:r>
      <w:r>
        <w:rPr>
          <w:rStyle w:val="16"/>
          <w:rFonts w:hint="eastAsia" w:ascii="仿宋" w:hAnsi="仿宋" w:eastAsia="仿宋"/>
          <w:sz w:val="32"/>
          <w:szCs w:val="32"/>
        </w:rPr>
        <w:t>：</w:t>
      </w:r>
    </w:p>
    <w:p>
      <w:pPr>
        <w:widowControl w:val="0"/>
        <w:spacing w:line="360" w:lineRule="auto"/>
        <w:ind w:firstLine="640" w:firstLineChars="200"/>
        <w:jc w:val="both"/>
        <w:textAlignment w:val="auto"/>
        <w:rPr>
          <w:rStyle w:val="16"/>
          <w:rFonts w:ascii="仿宋" w:hAnsi="仿宋" w:eastAsia="仿宋"/>
          <w:sz w:val="32"/>
          <w:szCs w:val="32"/>
        </w:rPr>
      </w:pPr>
      <w:r>
        <w:rPr>
          <w:rStyle w:val="16"/>
          <w:rFonts w:hint="eastAsia" w:ascii="仿宋" w:hAnsi="仿宋" w:eastAsia="仿宋"/>
          <w:sz w:val="32"/>
          <w:szCs w:val="32"/>
        </w:rPr>
        <w:t>你单位报送的由内蒙古钜捷环保科技有限公司编制的《晶旭年产200万千瓦光伏组件建设</w:t>
      </w:r>
      <w:r>
        <w:rPr>
          <w:rStyle w:val="16"/>
          <w:rFonts w:ascii="仿宋" w:hAnsi="仿宋" w:eastAsia="仿宋"/>
          <w:sz w:val="32"/>
          <w:szCs w:val="32"/>
        </w:rPr>
        <w:t>项目</w:t>
      </w:r>
      <w:r>
        <w:rPr>
          <w:rStyle w:val="16"/>
          <w:rFonts w:hint="eastAsia" w:ascii="仿宋" w:hAnsi="仿宋" w:eastAsia="仿宋"/>
          <w:sz w:val="32"/>
          <w:szCs w:val="32"/>
        </w:rPr>
        <w:t>环境影响报告表》（以下简称《报告表》）已收悉。经组织专家评审，集体研究，形成如下审批意见：</w:t>
      </w:r>
    </w:p>
    <w:p>
      <w:pPr>
        <w:spacing w:line="360" w:lineRule="auto"/>
        <w:ind w:firstLine="640" w:firstLineChars="200"/>
        <w:jc w:val="both"/>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pPr>
      <w:r>
        <w:rPr>
          <w:rStyle w:val="16"/>
          <w:rFonts w:hint="eastAsia" w:ascii="仿宋" w:hAnsi="仿宋" w:eastAsia="仿宋"/>
          <w:sz w:val="32"/>
          <w:szCs w:val="32"/>
        </w:rPr>
        <w:t>一、该项目属于新建项目，位于鄂尔多斯市装备制造基地中环西大道西新兴技术产业园。项目总占地面积16312平方米，</w:t>
      </w:r>
      <w:r>
        <w:rPr>
          <w:rStyle w:val="16"/>
          <w:rFonts w:ascii="仿宋" w:hAnsi="仿宋" w:eastAsia="仿宋"/>
          <w:sz w:val="32"/>
          <w:szCs w:val="32"/>
        </w:rPr>
        <w:t>总投资</w:t>
      </w:r>
      <w:r>
        <w:rPr>
          <w:rStyle w:val="16"/>
          <w:rFonts w:hint="eastAsia" w:ascii="仿宋" w:hAnsi="仿宋" w:eastAsia="仿宋"/>
          <w:sz w:val="32"/>
          <w:szCs w:val="32"/>
        </w:rPr>
        <w:t>100000万</w:t>
      </w:r>
      <w:r>
        <w:rPr>
          <w:rStyle w:val="16"/>
          <w:rFonts w:ascii="仿宋" w:hAnsi="仿宋" w:eastAsia="仿宋"/>
          <w:sz w:val="32"/>
          <w:szCs w:val="32"/>
        </w:rPr>
        <w:t>元，</w:t>
      </w:r>
      <w:r>
        <w:rPr>
          <w:rStyle w:val="16"/>
          <w:rFonts w:hint="eastAsia" w:ascii="仿宋" w:hAnsi="仿宋" w:eastAsia="仿宋"/>
          <w:sz w:val="32"/>
          <w:szCs w:val="32"/>
        </w:rPr>
        <w:t>其中</w:t>
      </w:r>
      <w:r>
        <w:rPr>
          <w:rStyle w:val="16"/>
          <w:rFonts w:ascii="仿宋" w:hAnsi="仿宋" w:eastAsia="仿宋"/>
          <w:sz w:val="32"/>
          <w:szCs w:val="32"/>
        </w:rPr>
        <w:t>环保投资</w:t>
      </w:r>
      <w:r>
        <w:rPr>
          <w:rStyle w:val="16"/>
          <w:rFonts w:hint="eastAsia" w:ascii="仿宋" w:hAnsi="仿宋" w:eastAsia="仿宋"/>
          <w:sz w:val="32"/>
          <w:szCs w:val="32"/>
        </w:rPr>
        <w:t>300万元。主要建设内容及规</w:t>
      </w:r>
      <w:r>
        <w:rPr>
          <w:rStyle w:val="16"/>
          <w:rFonts w:hint="eastAsia" w:ascii="仿宋" w:hAnsi="仿宋" w:eastAsia="仿宋"/>
          <w:sz w:val="32"/>
          <w:szCs w:val="32"/>
          <w:highlight w:val="none"/>
        </w:rPr>
        <w:t>模：</w:t>
      </w:r>
      <w:r>
        <w:rPr>
          <w:rStyle w:val="16"/>
          <w:rFonts w:hint="eastAsia" w:ascii="仿宋" w:hAnsi="仿宋" w:eastAsia="仿宋"/>
          <w:sz w:val="32"/>
          <w:szCs w:val="32"/>
          <w:highlight w:val="none"/>
          <w:lang w:val="zh-CN"/>
        </w:rPr>
        <w:t>本项目</w:t>
      </w:r>
      <w:r>
        <w:rPr>
          <w:rFonts w:hint="eastAsia" w:ascii="仿宋" w:hAnsi="仿宋" w:eastAsia="仿宋"/>
          <w:sz w:val="32"/>
          <w:szCs w:val="32"/>
          <w:highlight w:val="none"/>
        </w:rPr>
        <w:t>租用鄂尔多斯市佳奇城市建设投资有限公司现有厂房进行建设，新</w:t>
      </w:r>
      <w:r>
        <w:rPr>
          <w:rStyle w:val="16"/>
          <w:rFonts w:ascii="仿宋" w:hAnsi="仿宋" w:eastAsia="仿宋"/>
          <w:sz w:val="32"/>
          <w:szCs w:val="32"/>
          <w:highlight w:val="none"/>
        </w:rPr>
        <w:t>建</w:t>
      </w:r>
      <w:r>
        <w:rPr>
          <w:rStyle w:val="16"/>
          <w:rFonts w:hint="eastAsia" w:ascii="仿宋" w:hAnsi="仿宋" w:eastAsia="仿宋"/>
          <w:sz w:val="32"/>
          <w:szCs w:val="32"/>
          <w:highlight w:val="none"/>
        </w:rPr>
        <w:t>1条年产200万千瓦</w:t>
      </w:r>
      <w:r>
        <w:rPr>
          <w:rStyle w:val="16"/>
          <w:rFonts w:ascii="仿宋" w:hAnsi="仿宋" w:eastAsia="仿宋"/>
          <w:sz w:val="32"/>
          <w:szCs w:val="32"/>
          <w:highlight w:val="none"/>
        </w:rPr>
        <w:t>全自动光伏组件生产线</w:t>
      </w:r>
      <w:r>
        <w:rPr>
          <w:rStyle w:val="16"/>
          <w:rFonts w:hint="eastAsia" w:ascii="仿宋" w:hAnsi="仿宋" w:eastAsia="仿宋"/>
          <w:sz w:val="32"/>
          <w:szCs w:val="32"/>
          <w:highlight w:val="none"/>
          <w:lang w:eastAsia="zh-CN"/>
        </w:rPr>
        <w:t>，</w:t>
      </w:r>
      <w:r>
        <w:rPr>
          <w:rFonts w:hint="eastAsia" w:ascii="仿宋" w:hAnsi="仿宋" w:eastAsia="仿宋"/>
          <w:sz w:val="32"/>
          <w:szCs w:val="32"/>
          <w:highlight w:val="none"/>
        </w:rPr>
        <w:t>新建1座80.04</w:t>
      </w:r>
      <w:r>
        <w:rPr>
          <w:rStyle w:val="16"/>
          <w:rFonts w:hint="eastAsia" w:ascii="仿宋" w:hAnsi="仿宋" w:eastAsia="仿宋"/>
          <w:sz w:val="32"/>
          <w:szCs w:val="32"/>
          <w:highlight w:val="none"/>
        </w:rPr>
        <w:t>平方米</w:t>
      </w:r>
      <w:r>
        <w:rPr>
          <w:rFonts w:hint="eastAsia" w:ascii="仿宋" w:hAnsi="仿宋" w:eastAsia="仿宋"/>
          <w:sz w:val="32"/>
          <w:szCs w:val="32"/>
          <w:highlight w:val="none"/>
        </w:rPr>
        <w:t>危废暂存间，配套建设公辅工程和环保工程。</w:t>
      </w:r>
    </w:p>
    <w:p>
      <w:pPr>
        <w:widowControl w:val="0"/>
        <w:spacing w:line="360" w:lineRule="auto"/>
        <w:ind w:firstLine="640" w:firstLineChars="200"/>
        <w:jc w:val="both"/>
        <w:textAlignment w:val="auto"/>
        <w:rPr>
          <w:rStyle w:val="16"/>
          <w:rFonts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widowControl w:val="0"/>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pPr>
        <w:widowControl w:val="0"/>
        <w:spacing w:line="360" w:lineRule="auto"/>
        <w:ind w:firstLine="640" w:firstLineChars="200"/>
        <w:jc w:val="both"/>
        <w:textAlignment w:val="auto"/>
        <w:rPr>
          <w:rFonts w:ascii="仿宋" w:hAnsi="仿宋" w:eastAsia="仿宋" w:cs="仿宋"/>
          <w:color w:val="auto"/>
          <w:sz w:val="32"/>
          <w:szCs w:val="32"/>
        </w:rPr>
      </w:pP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1、加强施工期环境管理，配备足够的洒水车、篷布等防尘设备，有效控制施工期挖土、物料装卸、物料运输过程中产生的扬尘污染。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widowControl w:val="0"/>
        <w:spacing w:line="360" w:lineRule="auto"/>
        <w:ind w:firstLine="640" w:firstLineChars="2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auto"/>
          <w:sz w:val="32"/>
          <w:szCs w:val="32"/>
        </w:rPr>
        <w:t>2、施工人员</w:t>
      </w:r>
      <w:r>
        <w:rPr>
          <w:rFonts w:hint="eastAsia" w:ascii="仿宋" w:hAnsi="仿宋" w:eastAsia="仿宋" w:cs="仿宋"/>
          <w:color w:val="000000" w:themeColor="text1"/>
          <w:sz w:val="32"/>
          <w:szCs w:val="32"/>
          <w14:textFill>
            <w14:solidFill>
              <w14:schemeClr w14:val="tx1"/>
            </w14:solidFill>
          </w14:textFill>
        </w:rPr>
        <w:t>生活污水经化粪池沉淀后排入市政污水管网。</w:t>
      </w:r>
    </w:p>
    <w:p>
      <w:pPr>
        <w:widowControl w:val="0"/>
        <w:spacing w:line="360" w:lineRule="auto"/>
        <w:ind w:firstLine="640" w:firstLineChars="200"/>
        <w:jc w:val="both"/>
        <w:textAlignment w:val="auto"/>
        <w:rPr>
          <w:rFonts w:ascii="仿宋" w:hAnsi="仿宋" w:eastAsia="仿宋" w:cs="仿宋"/>
          <w:color w:val="auto"/>
          <w:sz w:val="32"/>
          <w:szCs w:val="32"/>
        </w:rPr>
      </w:pPr>
      <w:r>
        <w:rPr>
          <w:rFonts w:hint="eastAsia" w:ascii="仿宋" w:hAnsi="仿宋" w:eastAsia="仿宋" w:cs="仿宋"/>
          <w:color w:val="000000" w:themeColor="text1"/>
          <w:sz w:val="32"/>
          <w:szCs w:val="32"/>
          <w14:textFill>
            <w14:solidFill>
              <w14:schemeClr w14:val="tx1"/>
            </w14:solidFill>
          </w14:textFill>
        </w:rPr>
        <w:t>3、选用低噪声施工设备，合理安排作业时间，避</w:t>
      </w:r>
      <w:r>
        <w:rPr>
          <w:rFonts w:hint="eastAsia" w:ascii="仿宋" w:hAnsi="仿宋" w:eastAsia="仿宋" w:cs="仿宋"/>
          <w:color w:val="auto"/>
          <w:sz w:val="32"/>
          <w:szCs w:val="32"/>
        </w:rPr>
        <w:t>免夜间施工，控制车辆时速。施工期噪声执行《建筑施工场界环境噪声排放标准》（GB12523-2011）。</w:t>
      </w:r>
    </w:p>
    <w:p>
      <w:pPr>
        <w:widowControl w:val="0"/>
        <w:spacing w:line="360" w:lineRule="auto"/>
        <w:ind w:firstLine="640" w:firstLineChars="2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4、固体废物集中堆放及时清运交有关部门进行相关处理。</w:t>
      </w:r>
    </w:p>
    <w:p>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pPr>
        <w:widowControl w:val="0"/>
        <w:spacing w:line="360" w:lineRule="auto"/>
        <w:ind w:firstLine="640" w:firstLineChars="200"/>
        <w:jc w:val="both"/>
        <w:textAlignment w:val="auto"/>
        <w:rPr>
          <w:rStyle w:val="16"/>
          <w:rFonts w:hint="eastAsia" w:ascii="仿宋" w:hAnsi="仿宋" w:eastAsia="仿宋"/>
          <w:color w:val="auto"/>
          <w:sz w:val="32"/>
          <w:szCs w:val="32"/>
        </w:rPr>
      </w:pPr>
      <w:r>
        <w:rPr>
          <w:rFonts w:hint="eastAsia" w:ascii="仿宋" w:hAnsi="仿宋" w:eastAsia="仿宋" w:cs="仿宋"/>
          <w:color w:val="auto"/>
          <w:sz w:val="32"/>
          <w:szCs w:val="32"/>
        </w:rPr>
        <w:t>1、</w:t>
      </w:r>
      <w:r>
        <w:rPr>
          <w:rFonts w:ascii="仿宋" w:hAnsi="仿宋" w:eastAsia="仿宋" w:cs="仿宋"/>
          <w:color w:val="auto"/>
          <w:sz w:val="32"/>
          <w:szCs w:val="32"/>
          <w:highlight w:val="none"/>
        </w:rPr>
        <w:t>运营期</w:t>
      </w:r>
      <w:r>
        <w:rPr>
          <w:rFonts w:hint="eastAsia" w:ascii="仿宋" w:hAnsi="仿宋" w:eastAsia="仿宋" w:cs="仿宋"/>
          <w:color w:val="auto"/>
          <w:sz w:val="32"/>
          <w:szCs w:val="32"/>
          <w:highlight w:val="none"/>
          <w:lang w:val="en-US" w:eastAsia="zh-CN"/>
        </w:rPr>
        <w:t>生产过程</w:t>
      </w:r>
      <w:r>
        <w:rPr>
          <w:rFonts w:hint="eastAsia" w:ascii="仿宋" w:hAnsi="仿宋" w:eastAsia="仿宋" w:cs="仿宋"/>
          <w:color w:val="auto"/>
          <w:sz w:val="32"/>
          <w:szCs w:val="32"/>
          <w:highlight w:val="none"/>
          <w:lang w:eastAsia="zh-CN"/>
        </w:rPr>
        <w:t>全封闭。</w:t>
      </w:r>
      <w:r>
        <w:rPr>
          <w:rFonts w:hint="eastAsia" w:ascii="仿宋" w:hAnsi="仿宋" w:eastAsia="仿宋" w:cs="仿宋"/>
          <w:color w:val="auto"/>
          <w:sz w:val="32"/>
          <w:szCs w:val="32"/>
        </w:rPr>
        <w:t>串焊废气、层压废气、胶水废气、固化废气、乙醇废气</w:t>
      </w:r>
      <w:r>
        <w:rPr>
          <w:rFonts w:hint="eastAsia" w:ascii="仿宋" w:hAnsi="仿宋" w:eastAsia="仿宋" w:cs="仿宋"/>
          <w:color w:val="auto"/>
          <w:sz w:val="32"/>
          <w:szCs w:val="32"/>
          <w:lang w:eastAsia="zh-CN"/>
        </w:rPr>
        <w:t>经</w:t>
      </w:r>
      <w:r>
        <w:rPr>
          <w:rFonts w:hint="eastAsia" w:ascii="仿宋" w:hAnsi="仿宋" w:eastAsia="仿宋" w:cs="仿宋"/>
          <w:color w:val="auto"/>
          <w:sz w:val="32"/>
          <w:szCs w:val="32"/>
        </w:rPr>
        <w:t>收集处理后</w:t>
      </w:r>
      <w:r>
        <w:rPr>
          <w:rFonts w:hint="eastAsia" w:ascii="仿宋" w:hAnsi="仿宋" w:eastAsia="仿宋" w:cs="仿宋"/>
          <w:color w:val="auto"/>
          <w:sz w:val="32"/>
          <w:szCs w:val="32"/>
          <w:lang w:eastAsia="zh-CN"/>
        </w:rPr>
        <w:t>由</w:t>
      </w:r>
      <w:r>
        <w:rPr>
          <w:rFonts w:hint="eastAsia" w:ascii="仿宋" w:hAnsi="仿宋" w:eastAsia="仿宋" w:cs="仿宋"/>
          <w:color w:val="auto"/>
          <w:sz w:val="32"/>
          <w:szCs w:val="32"/>
        </w:rPr>
        <w:t>1根</w:t>
      </w:r>
      <w:r>
        <w:rPr>
          <w:rFonts w:hint="eastAsia" w:ascii="仿宋" w:hAnsi="仿宋" w:eastAsia="仿宋" w:cs="仿宋"/>
          <w:color w:val="auto"/>
          <w:sz w:val="32"/>
          <w:szCs w:val="32"/>
          <w:lang w:val="en-US" w:eastAsia="zh-CN"/>
        </w:rPr>
        <w:t>20米高</w:t>
      </w:r>
      <w:r>
        <w:rPr>
          <w:rFonts w:hint="eastAsia" w:ascii="仿宋" w:hAnsi="仿宋" w:eastAsia="仿宋" w:cs="仿宋"/>
          <w:color w:val="auto"/>
          <w:sz w:val="32"/>
          <w:szCs w:val="32"/>
        </w:rPr>
        <w:t>排气筒排放，叠焊废气</w:t>
      </w:r>
      <w:r>
        <w:rPr>
          <w:rFonts w:hint="eastAsia" w:ascii="仿宋" w:hAnsi="仿宋" w:eastAsia="仿宋" w:cs="仿宋"/>
          <w:color w:val="auto"/>
          <w:sz w:val="32"/>
          <w:szCs w:val="32"/>
          <w:lang w:eastAsia="zh-CN"/>
        </w:rPr>
        <w:t>经</w:t>
      </w:r>
      <w:r>
        <w:rPr>
          <w:rFonts w:hint="eastAsia" w:ascii="仿宋" w:hAnsi="仿宋" w:eastAsia="仿宋" w:cs="仿宋"/>
          <w:color w:val="auto"/>
          <w:sz w:val="32"/>
          <w:szCs w:val="32"/>
        </w:rPr>
        <w:t>收集处理后</w:t>
      </w:r>
      <w:r>
        <w:rPr>
          <w:rFonts w:hint="eastAsia" w:ascii="仿宋" w:hAnsi="仿宋" w:eastAsia="仿宋" w:cs="仿宋"/>
          <w:color w:val="auto"/>
          <w:sz w:val="32"/>
          <w:szCs w:val="32"/>
          <w:lang w:eastAsia="zh-CN"/>
        </w:rPr>
        <w:t>由</w:t>
      </w:r>
      <w:r>
        <w:rPr>
          <w:rFonts w:hint="eastAsia" w:ascii="仿宋" w:hAnsi="仿宋" w:eastAsia="仿宋" w:cs="仿宋"/>
          <w:color w:val="auto"/>
          <w:sz w:val="32"/>
          <w:szCs w:val="32"/>
        </w:rPr>
        <w:t>另1根</w:t>
      </w:r>
      <w:r>
        <w:rPr>
          <w:rFonts w:hint="eastAsia" w:ascii="仿宋" w:hAnsi="仿宋" w:eastAsia="仿宋" w:cs="仿宋"/>
          <w:color w:val="auto"/>
          <w:sz w:val="32"/>
          <w:szCs w:val="32"/>
          <w:lang w:val="en-US" w:eastAsia="zh-CN"/>
        </w:rPr>
        <w:t>20米高</w:t>
      </w:r>
      <w:r>
        <w:rPr>
          <w:rFonts w:hint="eastAsia" w:ascii="仿宋" w:hAnsi="仿宋" w:eastAsia="仿宋" w:cs="仿宋"/>
          <w:color w:val="auto"/>
          <w:sz w:val="32"/>
          <w:szCs w:val="32"/>
        </w:rPr>
        <w:t>排气筒排放，均执行《大气污染物综合排放标准》（GB16297-1996）表2中二级标准。天然气锅炉采用低氮燃烧技术，2用1备，锅炉废气经1根20米高排气筒排放，执行《锅炉大气污染排放标准》（GB13271-2014）表2中燃气锅炉污染物排放限值。</w:t>
      </w:r>
      <w:r>
        <w:rPr>
          <w:rFonts w:hint="default" w:ascii="仿宋" w:hAnsi="仿宋" w:eastAsia="仿宋" w:cs="仿宋"/>
          <w:color w:val="auto"/>
          <w:sz w:val="32"/>
          <w:szCs w:val="32"/>
          <w:highlight w:val="none"/>
          <w:lang w:val="en-US" w:eastAsia="zh-CN"/>
        </w:rPr>
        <w:t>非甲烷总烃车间外</w:t>
      </w:r>
      <w:r>
        <w:rPr>
          <w:rFonts w:hint="eastAsia" w:ascii="仿宋" w:hAnsi="仿宋" w:eastAsia="仿宋" w:cs="仿宋"/>
          <w:color w:val="auto"/>
          <w:sz w:val="32"/>
          <w:szCs w:val="32"/>
          <w:highlight w:val="none"/>
          <w:lang w:val="en-US" w:eastAsia="zh-CN"/>
        </w:rPr>
        <w:t>无组织排放</w:t>
      </w:r>
      <w:r>
        <w:rPr>
          <w:rFonts w:hint="default" w:ascii="仿宋" w:hAnsi="仿宋" w:eastAsia="仿宋" w:cs="仿宋"/>
          <w:color w:val="auto"/>
          <w:sz w:val="32"/>
          <w:szCs w:val="32"/>
          <w:highlight w:val="none"/>
          <w:lang w:val="en-US" w:eastAsia="zh-CN"/>
        </w:rPr>
        <w:t>执行《挥发性有机物无组织排放控制标准》（GB37822-2019）附录A中表A.1排放限值。</w:t>
      </w:r>
      <w:r>
        <w:rPr>
          <w:rFonts w:hint="eastAsia" w:ascii="仿宋" w:hAnsi="仿宋" w:eastAsia="仿宋" w:cs="仿宋"/>
          <w:color w:val="auto"/>
          <w:sz w:val="32"/>
          <w:szCs w:val="32"/>
        </w:rPr>
        <w:t>厂界无组织废气</w:t>
      </w:r>
      <w:r>
        <w:rPr>
          <w:rStyle w:val="16"/>
          <w:rFonts w:hint="eastAsia" w:ascii="仿宋" w:hAnsi="仿宋" w:eastAsia="仿宋"/>
          <w:color w:val="auto"/>
          <w:sz w:val="32"/>
          <w:szCs w:val="32"/>
        </w:rPr>
        <w:t>排放执行《大气污染物综合排放标准》（GB16297-1996）</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6"/>
          <w:rFonts w:hint="eastAsia" w:ascii="仿宋" w:hAnsi="仿宋" w:eastAsia="仿宋"/>
          <w:color w:val="auto"/>
          <w:sz w:val="32"/>
          <w:szCs w:val="32"/>
        </w:rPr>
        <w:t>无组织排放监控浓度限值。</w:t>
      </w:r>
    </w:p>
    <w:p>
      <w:pPr>
        <w:widowControl w:val="0"/>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2、</w:t>
      </w:r>
      <w:r>
        <w:rPr>
          <w:rStyle w:val="16"/>
          <w:rFonts w:ascii="仿宋" w:hAnsi="仿宋" w:eastAsia="仿宋"/>
          <w:color w:val="auto"/>
          <w:sz w:val="32"/>
          <w:szCs w:val="32"/>
        </w:rPr>
        <w:t>运</w:t>
      </w:r>
      <w:r>
        <w:rPr>
          <w:rStyle w:val="16"/>
          <w:rFonts w:hint="eastAsia" w:ascii="仿宋" w:hAnsi="仿宋" w:eastAsia="仿宋"/>
          <w:color w:val="auto"/>
          <w:sz w:val="32"/>
          <w:szCs w:val="32"/>
        </w:rPr>
        <w:t>营</w:t>
      </w:r>
      <w:r>
        <w:rPr>
          <w:rStyle w:val="16"/>
          <w:rFonts w:ascii="仿宋" w:hAnsi="仿宋" w:eastAsia="仿宋"/>
          <w:color w:val="auto"/>
          <w:sz w:val="32"/>
          <w:szCs w:val="32"/>
        </w:rPr>
        <w:t>期</w:t>
      </w:r>
      <w:r>
        <w:rPr>
          <w:rStyle w:val="16"/>
          <w:rFonts w:hint="eastAsia" w:ascii="仿宋" w:hAnsi="仿宋" w:eastAsia="仿宋"/>
          <w:color w:val="auto"/>
          <w:sz w:val="32"/>
          <w:szCs w:val="32"/>
        </w:rPr>
        <w:t>生产废水经</w:t>
      </w:r>
      <w:bookmarkStart w:id="0" w:name="_GoBack"/>
      <w:bookmarkEnd w:id="0"/>
      <w:r>
        <w:rPr>
          <w:rStyle w:val="16"/>
          <w:rFonts w:hint="eastAsia" w:ascii="仿宋" w:hAnsi="仿宋" w:eastAsia="仿宋"/>
          <w:color w:val="auto"/>
          <w:sz w:val="32"/>
          <w:szCs w:val="32"/>
        </w:rPr>
        <w:t>沉淀池</w:t>
      </w:r>
      <w:r>
        <w:rPr>
          <w:rStyle w:val="16"/>
          <w:rFonts w:hint="eastAsia" w:ascii="仿宋" w:hAnsi="仿宋" w:eastAsia="仿宋"/>
          <w:color w:val="auto"/>
          <w:sz w:val="32"/>
          <w:szCs w:val="32"/>
          <w:lang w:eastAsia="zh-CN"/>
        </w:rPr>
        <w:t>沉淀</w:t>
      </w:r>
      <w:r>
        <w:rPr>
          <w:rStyle w:val="16"/>
          <w:rFonts w:hint="eastAsia" w:ascii="仿宋" w:hAnsi="仿宋" w:eastAsia="仿宋"/>
          <w:color w:val="auto"/>
          <w:sz w:val="32"/>
          <w:szCs w:val="32"/>
        </w:rPr>
        <w:t>后拉运至内蒙古久科康瑞环保科技有限公司处理。</w:t>
      </w:r>
      <w:r>
        <w:rPr>
          <w:rStyle w:val="16"/>
          <w:rFonts w:ascii="仿宋" w:hAnsi="仿宋" w:eastAsia="仿宋"/>
          <w:color w:val="auto"/>
          <w:sz w:val="32"/>
          <w:szCs w:val="32"/>
        </w:rPr>
        <w:t>生活污水</w:t>
      </w:r>
      <w:r>
        <w:rPr>
          <w:rStyle w:val="16"/>
          <w:rFonts w:hint="eastAsia" w:ascii="仿宋" w:hAnsi="仿宋" w:eastAsia="仿宋"/>
          <w:color w:val="auto"/>
          <w:sz w:val="32"/>
          <w:szCs w:val="32"/>
        </w:rPr>
        <w:t>经化粪池沉淀后排入园区污水管网。</w:t>
      </w:r>
    </w:p>
    <w:p>
      <w:pPr>
        <w:widowControl w:val="0"/>
        <w:spacing w:line="360" w:lineRule="auto"/>
        <w:ind w:firstLine="640" w:firstLineChars="200"/>
        <w:jc w:val="both"/>
        <w:textAlignment w:val="auto"/>
      </w:pPr>
      <w:r>
        <w:rPr>
          <w:rStyle w:val="16"/>
          <w:rFonts w:hint="eastAsia" w:ascii="仿宋" w:hAnsi="仿宋" w:eastAsia="仿宋"/>
          <w:color w:val="auto"/>
          <w:sz w:val="32"/>
          <w:szCs w:val="32"/>
        </w:rPr>
        <w:t>3、运营期厂界噪声执行《工业企业厂界环境噪声排放标准》（GB12348-2008）中3类标准。</w:t>
      </w:r>
    </w:p>
    <w:p>
      <w:pPr>
        <w:pStyle w:val="2"/>
        <w:widowControl w:val="0"/>
        <w:spacing w:line="360" w:lineRule="auto"/>
        <w:ind w:left="0" w:leftChars="0" w:firstLine="640" w:firstLineChars="200"/>
        <w:jc w:val="both"/>
        <w:rPr>
          <w:color w:val="auto"/>
        </w:rPr>
      </w:pPr>
      <w:r>
        <w:rPr>
          <w:rFonts w:hint="eastAsia" w:ascii="仿宋" w:hAnsi="仿宋" w:eastAsia="仿宋" w:cs="仿宋"/>
          <w:color w:val="auto"/>
          <w:sz w:val="32"/>
          <w:szCs w:val="32"/>
        </w:rPr>
        <w:t>4、妥善处置各类固体废弃物。建设单位须严格按照《一般工业固体废物贮存和填埋污染控制标准》（GB18599-2020）处置一般固废，不得乱弃。</w:t>
      </w:r>
      <w:r>
        <w:rPr>
          <w:rFonts w:ascii="仿宋" w:hAnsi="仿宋" w:eastAsia="仿宋" w:cs="仿宋"/>
          <w:color w:val="auto"/>
          <w:sz w:val="32"/>
          <w:szCs w:val="32"/>
        </w:rPr>
        <w:t>危废暂存库须严格按照《危险废物贮存污染控制标准》（GB18597-20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运输技术规范》(HJ2025-2012)要求执行。危废必须由有资质单位处置。非正常情况下泄露的危险废物及冲洗水进入</w:t>
      </w:r>
      <w:r>
        <w:rPr>
          <w:rFonts w:ascii="仿宋" w:hAnsi="仿宋" w:eastAsia="仿宋" w:cs="仿宋"/>
          <w:color w:val="auto"/>
          <w:sz w:val="32"/>
          <w:szCs w:val="32"/>
        </w:rPr>
        <w:t>应急事故池</w:t>
      </w:r>
      <w:r>
        <w:rPr>
          <w:rFonts w:hint="eastAsia" w:ascii="仿宋" w:hAnsi="仿宋" w:eastAsia="仿宋" w:cs="仿宋"/>
          <w:color w:val="auto"/>
          <w:sz w:val="32"/>
          <w:szCs w:val="32"/>
        </w:rPr>
        <w:t>中，收集后交由有资质单位处置。</w:t>
      </w:r>
    </w:p>
    <w:p>
      <w:pPr>
        <w:pStyle w:val="2"/>
        <w:widowControl w:val="0"/>
        <w:spacing w:line="360" w:lineRule="auto"/>
        <w:ind w:left="0" w:leftChars="0" w:firstLine="640" w:firstLineChars="200"/>
        <w:jc w:val="both"/>
      </w:pPr>
      <w:r>
        <w:rPr>
          <w:rStyle w:val="16"/>
          <w:rFonts w:hint="eastAsia" w:ascii="仿宋" w:hAnsi="仿宋" w:eastAsia="仿宋"/>
          <w:color w:val="auto"/>
          <w:sz w:val="32"/>
          <w:szCs w:val="32"/>
        </w:rPr>
        <w:t>5、地面须按相关要求做好防渗措施，确保不会对地下水造成影响。</w:t>
      </w:r>
    </w:p>
    <w:p>
      <w:pPr>
        <w:pStyle w:val="2"/>
        <w:widowControl w:val="0"/>
        <w:spacing w:line="360" w:lineRule="auto"/>
        <w:ind w:left="0" w:leftChars="0" w:firstLine="640" w:firstLineChars="200"/>
        <w:jc w:val="both"/>
      </w:pPr>
      <w:r>
        <w:rPr>
          <w:rFonts w:hint="eastAsia" w:ascii="仿宋" w:hAnsi="仿宋" w:eastAsia="仿宋" w:cs="仿宋"/>
          <w:color w:val="auto"/>
          <w:sz w:val="32"/>
          <w:szCs w:val="32"/>
        </w:rPr>
        <w:t>6、强化环境风险防范，制定突发环境事件应急预案，落实环境风险事故防范措施，提高事故风险防范和污染控制能力。</w:t>
      </w:r>
    </w:p>
    <w:p>
      <w:pPr>
        <w:pStyle w:val="2"/>
        <w:widowControl w:val="0"/>
        <w:spacing w:line="360" w:lineRule="auto"/>
        <w:ind w:left="0" w:leftChars="0" w:firstLine="640" w:firstLineChars="200"/>
        <w:jc w:val="both"/>
        <w:rPr>
          <w:rFonts w:ascii="仿宋" w:hAnsi="仿宋" w:eastAsia="仿宋" w:cs="仿宋"/>
          <w:color w:val="auto"/>
          <w:sz w:val="32"/>
          <w:szCs w:val="32"/>
        </w:rPr>
      </w:pPr>
      <w:r>
        <w:rPr>
          <w:rFonts w:hint="eastAsia" w:ascii="仿宋" w:hAnsi="仿宋" w:eastAsia="仿宋" w:cs="仿宋"/>
          <w:color w:val="auto"/>
          <w:sz w:val="32"/>
          <w:szCs w:val="32"/>
        </w:rPr>
        <w:t>7、按照《排污口规范化整治技术要求》（环监〔1996〕470号）规范设置排污口。</w:t>
      </w:r>
    </w:p>
    <w:p>
      <w:pPr>
        <w:widowControl w:val="0"/>
        <w:numPr>
          <w:ilvl w:val="0"/>
          <w:numId w:val="1"/>
        </w:numPr>
        <w:spacing w:line="360" w:lineRule="auto"/>
        <w:ind w:firstLine="640" w:firstLineChars="2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本项目二氧化硫和氮氧化物总量分别为0.67吨/年和2.34吨/年（鄂环气字〔2023〕58号）。</w:t>
      </w:r>
    </w:p>
    <w:p>
      <w:pPr>
        <w:widowControl w:val="0"/>
        <w:numPr>
          <w:ilvl w:val="0"/>
          <w:numId w:val="1"/>
        </w:numPr>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color w:val="auto"/>
          <w:sz w:val="32"/>
          <w:szCs w:val="32"/>
        </w:rPr>
        <w:t>你单位应委托有相应资质的设计单位对建设项目重点环保设施进行设计，并在项目施工及运行过程中严格落实环保设施安全生产工作要求。</w:t>
      </w:r>
    </w:p>
    <w:p>
      <w:pPr>
        <w:widowControl w:val="0"/>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widowControl w:val="0"/>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2"/>
        <w:jc w:val="left"/>
        <w:rPr>
          <w:color w:val="auto"/>
        </w:rPr>
      </w:pPr>
      <w:r>
        <w:rPr>
          <w:rFonts w:hint="eastAsia"/>
          <w:color w:val="auto"/>
        </w:rPr>
        <w:t xml:space="preserve">   </w:t>
      </w:r>
    </w:p>
    <w:p>
      <w:pPr>
        <w:rPr>
          <w:color w:val="auto"/>
        </w:rPr>
      </w:pPr>
    </w:p>
    <w:p>
      <w:pPr>
        <w:pStyle w:val="4"/>
      </w:pPr>
    </w:p>
    <w:p>
      <w:pPr>
        <w:pStyle w:val="4"/>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rPr>
        <w:t>3年1</w:t>
      </w:r>
      <w:r>
        <w:rPr>
          <w:rStyle w:val="16"/>
          <w:rFonts w:ascii="仿宋" w:hAnsi="仿宋" w:eastAsia="仿宋"/>
          <w:color w:val="auto"/>
          <w:sz w:val="32"/>
          <w:szCs w:val="32"/>
        </w:rPr>
        <w:t>2</w:t>
      </w:r>
      <w:r>
        <w:rPr>
          <w:rStyle w:val="16"/>
          <w:rFonts w:hint="eastAsia" w:ascii="仿宋" w:hAnsi="仿宋" w:eastAsia="仿宋"/>
          <w:color w:val="auto"/>
          <w:sz w:val="32"/>
          <w:szCs w:val="32"/>
        </w:rPr>
        <w:t>月4日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rPr>
          <w:color w:val="auto"/>
        </w:rPr>
      </w:pPr>
      <w:r>
        <w:rPr>
          <w:color w:val="auto"/>
        </w:rPr>
        <w:br w:type="page"/>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rPr>
        <w:t>3年1</w:t>
      </w:r>
      <w:r>
        <w:rPr>
          <w:rStyle w:val="16"/>
          <w:rFonts w:hint="eastAsia" w:ascii="仿宋" w:hAnsi="仿宋" w:eastAsia="仿宋"/>
          <w:color w:val="auto"/>
          <w:sz w:val="28"/>
          <w:szCs w:val="28"/>
          <w:lang w:val="en-US" w:eastAsia="zh-CN"/>
        </w:rPr>
        <w:t>2</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C4B18"/>
    <w:rsid w:val="002D2E4B"/>
    <w:rsid w:val="00354558"/>
    <w:rsid w:val="00494E3D"/>
    <w:rsid w:val="005B2A4E"/>
    <w:rsid w:val="006F5E64"/>
    <w:rsid w:val="007E2F8E"/>
    <w:rsid w:val="0088565C"/>
    <w:rsid w:val="008C54C5"/>
    <w:rsid w:val="008C77A6"/>
    <w:rsid w:val="008E69A5"/>
    <w:rsid w:val="00913A20"/>
    <w:rsid w:val="0092520E"/>
    <w:rsid w:val="009A3BD3"/>
    <w:rsid w:val="00A104F9"/>
    <w:rsid w:val="00AE48E3"/>
    <w:rsid w:val="00AF0FF6"/>
    <w:rsid w:val="00B20AEA"/>
    <w:rsid w:val="00B51603"/>
    <w:rsid w:val="00B93F27"/>
    <w:rsid w:val="00BA2ACE"/>
    <w:rsid w:val="00D2091F"/>
    <w:rsid w:val="00E42E5F"/>
    <w:rsid w:val="00E44AC0"/>
    <w:rsid w:val="00E82E40"/>
    <w:rsid w:val="00EF5272"/>
    <w:rsid w:val="00F5710E"/>
    <w:rsid w:val="00F634D8"/>
    <w:rsid w:val="00F7548A"/>
    <w:rsid w:val="00F83DA0"/>
    <w:rsid w:val="00FA618D"/>
    <w:rsid w:val="010B22B0"/>
    <w:rsid w:val="01210341"/>
    <w:rsid w:val="018C519F"/>
    <w:rsid w:val="018F4C90"/>
    <w:rsid w:val="01AC556B"/>
    <w:rsid w:val="02290C40"/>
    <w:rsid w:val="02325B33"/>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694018"/>
    <w:rsid w:val="097134F8"/>
    <w:rsid w:val="098F5074"/>
    <w:rsid w:val="09B06929"/>
    <w:rsid w:val="09D92F4C"/>
    <w:rsid w:val="0A3D33B0"/>
    <w:rsid w:val="0A5D0D80"/>
    <w:rsid w:val="0A667AEF"/>
    <w:rsid w:val="0A6D53BD"/>
    <w:rsid w:val="0A9A115F"/>
    <w:rsid w:val="0AA477AD"/>
    <w:rsid w:val="0B440899"/>
    <w:rsid w:val="0B6446A4"/>
    <w:rsid w:val="0B6B051B"/>
    <w:rsid w:val="0BA55642"/>
    <w:rsid w:val="0BD72E57"/>
    <w:rsid w:val="0BDE1694"/>
    <w:rsid w:val="0C2B3A73"/>
    <w:rsid w:val="0C301322"/>
    <w:rsid w:val="0C5555BE"/>
    <w:rsid w:val="0CAF1FCC"/>
    <w:rsid w:val="0CC65836"/>
    <w:rsid w:val="0CD143AE"/>
    <w:rsid w:val="0CFC12E8"/>
    <w:rsid w:val="0D38565E"/>
    <w:rsid w:val="0D693F98"/>
    <w:rsid w:val="0D830185"/>
    <w:rsid w:val="0D8E229F"/>
    <w:rsid w:val="0DF20A80"/>
    <w:rsid w:val="0E2F5220"/>
    <w:rsid w:val="0E364873"/>
    <w:rsid w:val="0E385A18"/>
    <w:rsid w:val="0E570138"/>
    <w:rsid w:val="0E846C5B"/>
    <w:rsid w:val="0E9A33FF"/>
    <w:rsid w:val="0EB72A51"/>
    <w:rsid w:val="0EC10FA6"/>
    <w:rsid w:val="0EC36AE6"/>
    <w:rsid w:val="0EF75580"/>
    <w:rsid w:val="0F1B51C5"/>
    <w:rsid w:val="0F7E2F3B"/>
    <w:rsid w:val="0F8B77A7"/>
    <w:rsid w:val="0FA364D6"/>
    <w:rsid w:val="0FB279DE"/>
    <w:rsid w:val="0FD03B40"/>
    <w:rsid w:val="0FF94348"/>
    <w:rsid w:val="101C23A5"/>
    <w:rsid w:val="10233173"/>
    <w:rsid w:val="103352A9"/>
    <w:rsid w:val="10376624"/>
    <w:rsid w:val="10395A2B"/>
    <w:rsid w:val="107347CB"/>
    <w:rsid w:val="10830D1C"/>
    <w:rsid w:val="10B61351"/>
    <w:rsid w:val="10C26E79"/>
    <w:rsid w:val="10C7603A"/>
    <w:rsid w:val="10C86C16"/>
    <w:rsid w:val="11131BAC"/>
    <w:rsid w:val="11356D45"/>
    <w:rsid w:val="11534193"/>
    <w:rsid w:val="11611336"/>
    <w:rsid w:val="116C0377"/>
    <w:rsid w:val="11916802"/>
    <w:rsid w:val="11CD325E"/>
    <w:rsid w:val="11D2180D"/>
    <w:rsid w:val="12EA255A"/>
    <w:rsid w:val="13464D5E"/>
    <w:rsid w:val="1398649C"/>
    <w:rsid w:val="139A0B1F"/>
    <w:rsid w:val="13C532EF"/>
    <w:rsid w:val="144C07C7"/>
    <w:rsid w:val="1562595D"/>
    <w:rsid w:val="15652C35"/>
    <w:rsid w:val="156D1455"/>
    <w:rsid w:val="15E91737"/>
    <w:rsid w:val="16015C16"/>
    <w:rsid w:val="16041455"/>
    <w:rsid w:val="167D3884"/>
    <w:rsid w:val="168C74C9"/>
    <w:rsid w:val="16FF6904"/>
    <w:rsid w:val="171F5F2F"/>
    <w:rsid w:val="1747459A"/>
    <w:rsid w:val="178F5508"/>
    <w:rsid w:val="17C52D61"/>
    <w:rsid w:val="17CC0594"/>
    <w:rsid w:val="17D90483"/>
    <w:rsid w:val="17DD0A6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AFE64BE"/>
    <w:rsid w:val="1B540636"/>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762772"/>
    <w:rsid w:val="1D806FC0"/>
    <w:rsid w:val="1DD85EE2"/>
    <w:rsid w:val="1E322AFA"/>
    <w:rsid w:val="1E39255D"/>
    <w:rsid w:val="1E565798"/>
    <w:rsid w:val="1E5B4E2F"/>
    <w:rsid w:val="1EB145A4"/>
    <w:rsid w:val="1EB26A2F"/>
    <w:rsid w:val="1F197ECC"/>
    <w:rsid w:val="1F7A6B27"/>
    <w:rsid w:val="1F9A03FC"/>
    <w:rsid w:val="1F9F4FD0"/>
    <w:rsid w:val="1FB13B43"/>
    <w:rsid w:val="1FEA7809"/>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B27CC"/>
    <w:rsid w:val="235E3785"/>
    <w:rsid w:val="23921405"/>
    <w:rsid w:val="23C9100A"/>
    <w:rsid w:val="23F76998"/>
    <w:rsid w:val="24421E65"/>
    <w:rsid w:val="24855506"/>
    <w:rsid w:val="24C456C6"/>
    <w:rsid w:val="24F868A6"/>
    <w:rsid w:val="25125EFC"/>
    <w:rsid w:val="25366867"/>
    <w:rsid w:val="2537664C"/>
    <w:rsid w:val="253C64B1"/>
    <w:rsid w:val="25733248"/>
    <w:rsid w:val="25AA1BAB"/>
    <w:rsid w:val="25AF47C5"/>
    <w:rsid w:val="25B97E3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32072A"/>
    <w:rsid w:val="2A4A7282"/>
    <w:rsid w:val="2A636B36"/>
    <w:rsid w:val="2A77431C"/>
    <w:rsid w:val="2A8F4F86"/>
    <w:rsid w:val="2AB8571B"/>
    <w:rsid w:val="2ABD6442"/>
    <w:rsid w:val="2ACD268E"/>
    <w:rsid w:val="2AF53CB3"/>
    <w:rsid w:val="2B065713"/>
    <w:rsid w:val="2B496FAB"/>
    <w:rsid w:val="2B5F7DC4"/>
    <w:rsid w:val="2BD26C46"/>
    <w:rsid w:val="2BDE5B5E"/>
    <w:rsid w:val="2C3F708C"/>
    <w:rsid w:val="2C7E7C57"/>
    <w:rsid w:val="2C871D94"/>
    <w:rsid w:val="2CAE4D3A"/>
    <w:rsid w:val="2CE7407F"/>
    <w:rsid w:val="2CFB6C68"/>
    <w:rsid w:val="2D016192"/>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61479B3"/>
    <w:rsid w:val="362A341F"/>
    <w:rsid w:val="364B11B5"/>
    <w:rsid w:val="36CB51E2"/>
    <w:rsid w:val="36D33EE3"/>
    <w:rsid w:val="37010A46"/>
    <w:rsid w:val="37075CEA"/>
    <w:rsid w:val="371F6C8E"/>
    <w:rsid w:val="372344BA"/>
    <w:rsid w:val="37334EA2"/>
    <w:rsid w:val="375C4DD9"/>
    <w:rsid w:val="375D3876"/>
    <w:rsid w:val="37663248"/>
    <w:rsid w:val="378620B5"/>
    <w:rsid w:val="37966A72"/>
    <w:rsid w:val="37D77582"/>
    <w:rsid w:val="37E5426D"/>
    <w:rsid w:val="37E8067A"/>
    <w:rsid w:val="37E9563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60462"/>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14E40"/>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9B2D5C"/>
    <w:rsid w:val="46C060ED"/>
    <w:rsid w:val="46C422B2"/>
    <w:rsid w:val="46DC7BF5"/>
    <w:rsid w:val="46EF6089"/>
    <w:rsid w:val="46F85ECC"/>
    <w:rsid w:val="46FF153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803555"/>
    <w:rsid w:val="4DD86D52"/>
    <w:rsid w:val="4DDE7B5E"/>
    <w:rsid w:val="4E062159"/>
    <w:rsid w:val="4E543FF1"/>
    <w:rsid w:val="4EC56144"/>
    <w:rsid w:val="4F044A24"/>
    <w:rsid w:val="4F0B6B33"/>
    <w:rsid w:val="4F2B1F6E"/>
    <w:rsid w:val="4F2E6E63"/>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C33D66"/>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77341"/>
    <w:rsid w:val="567F5F3C"/>
    <w:rsid w:val="56DB6AC7"/>
    <w:rsid w:val="56DF16DC"/>
    <w:rsid w:val="57007D7A"/>
    <w:rsid w:val="57184CF1"/>
    <w:rsid w:val="57780B5F"/>
    <w:rsid w:val="57B0459E"/>
    <w:rsid w:val="57B96494"/>
    <w:rsid w:val="57DD76E9"/>
    <w:rsid w:val="57FC658A"/>
    <w:rsid w:val="57FE5FE5"/>
    <w:rsid w:val="586A1F97"/>
    <w:rsid w:val="58957CCA"/>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0A5B3E"/>
    <w:rsid w:val="6B275374"/>
    <w:rsid w:val="6B7925A3"/>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EF56BFD"/>
    <w:rsid w:val="6F957251"/>
    <w:rsid w:val="70921C55"/>
    <w:rsid w:val="70A1528F"/>
    <w:rsid w:val="70B658E9"/>
    <w:rsid w:val="70C44AD9"/>
    <w:rsid w:val="71283ECD"/>
    <w:rsid w:val="713D11CB"/>
    <w:rsid w:val="7147364E"/>
    <w:rsid w:val="71502437"/>
    <w:rsid w:val="71E362C3"/>
    <w:rsid w:val="7219039A"/>
    <w:rsid w:val="72A11576"/>
    <w:rsid w:val="731775B6"/>
    <w:rsid w:val="73BA11B9"/>
    <w:rsid w:val="73D60472"/>
    <w:rsid w:val="73F53D48"/>
    <w:rsid w:val="7452064E"/>
    <w:rsid w:val="7496752E"/>
    <w:rsid w:val="755B54D7"/>
    <w:rsid w:val="75765328"/>
    <w:rsid w:val="75A177EE"/>
    <w:rsid w:val="75BA6DF7"/>
    <w:rsid w:val="75C71031"/>
    <w:rsid w:val="75D86CD4"/>
    <w:rsid w:val="75FC6AC3"/>
    <w:rsid w:val="760E7139"/>
    <w:rsid w:val="76496AA8"/>
    <w:rsid w:val="76745CA5"/>
    <w:rsid w:val="768559AF"/>
    <w:rsid w:val="76A05F87"/>
    <w:rsid w:val="76A730E4"/>
    <w:rsid w:val="76F33AE6"/>
    <w:rsid w:val="76F41191"/>
    <w:rsid w:val="775841CD"/>
    <w:rsid w:val="778111CA"/>
    <w:rsid w:val="779352B4"/>
    <w:rsid w:val="77C011B5"/>
    <w:rsid w:val="77DF2692"/>
    <w:rsid w:val="77E65FB7"/>
    <w:rsid w:val="77EC1D59"/>
    <w:rsid w:val="781F64BC"/>
    <w:rsid w:val="782A3DBC"/>
    <w:rsid w:val="783E6571"/>
    <w:rsid w:val="78502F65"/>
    <w:rsid w:val="786170B2"/>
    <w:rsid w:val="786E6C4A"/>
    <w:rsid w:val="789D2BB8"/>
    <w:rsid w:val="78DB6555"/>
    <w:rsid w:val="78FD20DF"/>
    <w:rsid w:val="790C1713"/>
    <w:rsid w:val="795654B4"/>
    <w:rsid w:val="79C30024"/>
    <w:rsid w:val="79E24199"/>
    <w:rsid w:val="7A281851"/>
    <w:rsid w:val="7A550F13"/>
    <w:rsid w:val="7A773BB5"/>
    <w:rsid w:val="7AC34054"/>
    <w:rsid w:val="7AD20151"/>
    <w:rsid w:val="7B345817"/>
    <w:rsid w:val="7B5D3DBD"/>
    <w:rsid w:val="7B62786A"/>
    <w:rsid w:val="7BAB6FC2"/>
    <w:rsid w:val="7BAD7F79"/>
    <w:rsid w:val="7BE82E7A"/>
    <w:rsid w:val="7C047330"/>
    <w:rsid w:val="7C1A0DC0"/>
    <w:rsid w:val="7C614B37"/>
    <w:rsid w:val="7CE039CF"/>
    <w:rsid w:val="7D54267F"/>
    <w:rsid w:val="7D7C739E"/>
    <w:rsid w:val="7D9942AA"/>
    <w:rsid w:val="7DBD5F66"/>
    <w:rsid w:val="7DC17EA6"/>
    <w:rsid w:val="7DCE69E2"/>
    <w:rsid w:val="7E0D5B2C"/>
    <w:rsid w:val="7E2115B9"/>
    <w:rsid w:val="7E244E09"/>
    <w:rsid w:val="7E2B6198"/>
    <w:rsid w:val="7E7F66A4"/>
    <w:rsid w:val="7EA72D17"/>
    <w:rsid w:val="7ED5007C"/>
    <w:rsid w:val="7EE04C7B"/>
    <w:rsid w:val="7F277A16"/>
    <w:rsid w:val="7F2F2002"/>
    <w:rsid w:val="7F402117"/>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4"/>
    <w:qFormat/>
    <w:uiPriority w:val="0"/>
    <w:pPr>
      <w:spacing w:line="360" w:lineRule="auto"/>
      <w:ind w:firstLine="200"/>
      <w:jc w:val="left"/>
      <w:textAlignment w:val="auto"/>
    </w:pPr>
    <w:rPr>
      <w:rFonts w:cs="宋体"/>
      <w:szCs w:val="22"/>
    </w:rPr>
  </w:style>
  <w:style w:type="paragraph" w:customStyle="1" w:styleId="19">
    <w:name w:val="正文首行缩进 21"/>
    <w:basedOn w:val="3"/>
    <w:next w:val="1"/>
    <w:qFormat/>
    <w:uiPriority w:val="0"/>
    <w:pPr>
      <w:ind w:firstLine="420" w:firstLineChars="200"/>
    </w:p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字符"/>
    <w:basedOn w:val="14"/>
    <w:link w:val="6"/>
    <w:semiHidden/>
    <w:qFormat/>
    <w:uiPriority w:val="99"/>
    <w:rPr>
      <w:color w:val="000000"/>
      <w:kern w:val="0"/>
      <w:szCs w:val="20"/>
    </w:rPr>
  </w:style>
  <w:style w:type="character" w:customStyle="1" w:styleId="22">
    <w:name w:val="日期 字符"/>
    <w:basedOn w:val="14"/>
    <w:link w:val="8"/>
    <w:semiHidden/>
    <w:qFormat/>
    <w:uiPriority w:val="99"/>
    <w:rPr>
      <w:color w:val="000000"/>
      <w:kern w:val="0"/>
      <w:szCs w:val="20"/>
    </w:rPr>
  </w:style>
  <w:style w:type="character" w:customStyle="1" w:styleId="23">
    <w:name w:val="页脚 字符"/>
    <w:basedOn w:val="16"/>
    <w:link w:val="9"/>
    <w:qFormat/>
    <w:locked/>
    <w:uiPriority w:val="99"/>
    <w:rPr>
      <w:rFonts w:cs="Times New Roman"/>
      <w:color w:val="000000"/>
      <w:sz w:val="18"/>
    </w:rPr>
  </w:style>
  <w:style w:type="character" w:customStyle="1" w:styleId="24">
    <w:name w:val="页眉 字符"/>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315</Words>
  <Characters>1796</Characters>
  <Lines>14</Lines>
  <Paragraphs>4</Paragraphs>
  <TotalTime>12</TotalTime>
  <ScaleCrop>false</ScaleCrop>
  <LinksUpToDate>false</LinksUpToDate>
  <CharactersWithSpaces>2107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2023-11-29T08:34:00Z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4B223CA2B5B24F0BBC3925F45DAE3489</vt:lpwstr>
  </property>
</Properties>
</file>