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7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晶旭年产200万千瓦光伏组件建设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项目环境影响报告表的批复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鄂环东审字〔2023〕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2023年1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Body Text Indent 2"/>
    <w:basedOn w:val="1"/>
    <w:link w:val="11"/>
    <w:semiHidden/>
    <w:unhideWhenUsed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字符"/>
    <w:basedOn w:val="8"/>
    <w:link w:val="6"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uiPriority w:val="99"/>
    <w:rPr>
      <w:sz w:val="18"/>
      <w:szCs w:val="18"/>
    </w:rPr>
  </w:style>
  <w:style w:type="character" w:customStyle="1" w:styleId="11">
    <w:name w:val="正文文本缩进 2 字符"/>
    <w:basedOn w:val="8"/>
    <w:link w:val="4"/>
    <w:semiHidden/>
    <w:uiPriority w:val="99"/>
    <w:rPr>
      <w:rFonts w:ascii="等线" w:hAnsi="等线" w:eastAsia="等线" w:cs="Times New Roman"/>
      <w:szCs w:val="20"/>
    </w:rPr>
  </w:style>
  <w:style w:type="character" w:customStyle="1" w:styleId="12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2023-11-27T00:52:23Z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06B54892D0904561BA8DD50340B50498_12</vt:lpwstr>
  </property>
</Properties>
</file>