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5"/>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rPr>
        <w:t>3〕4</w:t>
      </w:r>
      <w:r>
        <w:rPr>
          <w:rStyle w:val="17"/>
          <w:rFonts w:ascii="仿宋" w:hAnsi="仿宋" w:eastAsia="仿宋"/>
          <w:color w:val="auto"/>
          <w:sz w:val="32"/>
          <w:szCs w:val="32"/>
        </w:rPr>
        <w:t>5</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ascii="宋体" w:hAnsi="宋体" w:cs="宋体"/>
          <w:b/>
          <w:color w:val="auto"/>
          <w:sz w:val="44"/>
          <w:szCs w:val="44"/>
        </w:rPr>
      </w:pPr>
    </w:p>
    <w:p>
      <w:pPr>
        <w:spacing w:line="600" w:lineRule="exact"/>
        <w:jc w:val="center"/>
        <w:rPr>
          <w:rStyle w:val="17"/>
          <w:rFonts w:ascii="宋体" w:hAnsi="宋体"/>
          <w:b/>
          <w:color w:val="auto"/>
          <w:sz w:val="44"/>
          <w:szCs w:val="44"/>
        </w:rPr>
      </w:pPr>
      <w:r>
        <w:rPr>
          <w:rStyle w:val="17"/>
          <w:rFonts w:hint="eastAsia" w:ascii="宋体" w:hAnsi="宋体"/>
          <w:b/>
          <w:color w:val="auto"/>
          <w:sz w:val="44"/>
          <w:szCs w:val="44"/>
        </w:rPr>
        <w:t>鄂尔多斯市生态环境局东胜区分局关于</w:t>
      </w:r>
    </w:p>
    <w:p>
      <w:pPr>
        <w:spacing w:line="600" w:lineRule="exact"/>
        <w:jc w:val="center"/>
        <w:rPr>
          <w:rStyle w:val="17"/>
          <w:rFonts w:ascii="宋体" w:hAnsi="宋体"/>
          <w:b/>
          <w:color w:val="auto"/>
          <w:sz w:val="44"/>
          <w:szCs w:val="44"/>
        </w:rPr>
      </w:pPr>
      <w:r>
        <w:rPr>
          <w:rStyle w:val="17"/>
          <w:rFonts w:hint="eastAsia" w:ascii="宋体" w:hAnsi="宋体"/>
          <w:b/>
          <w:color w:val="auto"/>
          <w:sz w:val="44"/>
          <w:szCs w:val="44"/>
        </w:rPr>
        <w:t>鄂尔多斯市隆胜野生动物园有限</w:t>
      </w:r>
    </w:p>
    <w:p>
      <w:pPr>
        <w:spacing w:line="600" w:lineRule="exact"/>
        <w:jc w:val="center"/>
        <w:rPr>
          <w:rStyle w:val="17"/>
          <w:rFonts w:ascii="宋体" w:hAnsi="宋体"/>
          <w:b/>
          <w:color w:val="auto"/>
          <w:sz w:val="44"/>
          <w:szCs w:val="44"/>
        </w:rPr>
      </w:pPr>
      <w:r>
        <w:rPr>
          <w:rStyle w:val="17"/>
          <w:rFonts w:hint="eastAsia" w:ascii="宋体" w:hAnsi="宋体"/>
          <w:b/>
          <w:color w:val="auto"/>
          <w:sz w:val="44"/>
          <w:szCs w:val="44"/>
        </w:rPr>
        <w:t>责任公司危废暂存库建设项目</w:t>
      </w:r>
    </w:p>
    <w:p>
      <w:pPr>
        <w:spacing w:line="600" w:lineRule="exact"/>
        <w:jc w:val="center"/>
        <w:rPr>
          <w:rStyle w:val="17"/>
          <w:rFonts w:ascii="宋体" w:hAnsi="宋体" w:cs="宋体"/>
          <w:b/>
          <w:color w:val="auto"/>
          <w:sz w:val="44"/>
          <w:szCs w:val="44"/>
        </w:rPr>
      </w:pPr>
      <w:r>
        <w:rPr>
          <w:rStyle w:val="17"/>
          <w:rFonts w:hint="eastAsia" w:ascii="宋体" w:hAnsi="宋体" w:cs="宋体"/>
          <w:b/>
          <w:color w:val="auto"/>
          <w:sz w:val="44"/>
          <w:szCs w:val="44"/>
        </w:rPr>
        <w:t>环境影响报告表的批复</w:t>
      </w:r>
    </w:p>
    <w:p>
      <w:pPr>
        <w:spacing w:line="360" w:lineRule="auto"/>
        <w:ind w:firstLine="640" w:firstLineChars="200"/>
        <w:textAlignment w:val="auto"/>
        <w:rPr>
          <w:rStyle w:val="17"/>
          <w:rFonts w:ascii="仿宋" w:hAnsi="仿宋" w:eastAsia="仿宋"/>
          <w:sz w:val="32"/>
          <w:szCs w:val="32"/>
        </w:rPr>
      </w:pPr>
    </w:p>
    <w:p>
      <w:pPr>
        <w:widowControl w:val="0"/>
        <w:spacing w:line="360" w:lineRule="auto"/>
        <w:textAlignment w:val="auto"/>
        <w:rPr>
          <w:rStyle w:val="17"/>
          <w:rFonts w:ascii="仿宋" w:hAnsi="仿宋" w:eastAsia="仿宋"/>
          <w:sz w:val="32"/>
          <w:szCs w:val="32"/>
        </w:rPr>
      </w:pPr>
      <w:r>
        <w:rPr>
          <w:rStyle w:val="17"/>
          <w:rFonts w:hint="eastAsia" w:ascii="仿宋" w:hAnsi="仿宋" w:eastAsia="仿宋"/>
          <w:sz w:val="32"/>
          <w:szCs w:val="32"/>
        </w:rPr>
        <w:t>鄂尔多斯市隆胜野生动物园有限责任公司：</w:t>
      </w:r>
    </w:p>
    <w:p>
      <w:pPr>
        <w:widowControl w:val="0"/>
        <w:spacing w:line="360" w:lineRule="auto"/>
        <w:ind w:firstLine="640" w:firstLineChars="200"/>
        <w:textAlignment w:val="auto"/>
        <w:rPr>
          <w:rStyle w:val="17"/>
          <w:rFonts w:ascii="仿宋" w:hAnsi="仿宋" w:eastAsia="仿宋"/>
          <w:sz w:val="32"/>
          <w:szCs w:val="32"/>
        </w:rPr>
      </w:pPr>
      <w:r>
        <w:rPr>
          <w:rStyle w:val="17"/>
          <w:rFonts w:hint="eastAsia" w:ascii="仿宋" w:hAnsi="仿宋" w:eastAsia="仿宋"/>
          <w:sz w:val="32"/>
          <w:szCs w:val="32"/>
        </w:rPr>
        <w:t>你单位报送的由内蒙古三同时科技有限公司编制的《鄂尔多斯市隆胜野生动物园有限责任公司危废暂存库建设项目环境影响报告表》（以下简称《报告表》）已收悉。经组织专家评审，集体研究，形成如下审批意见：</w:t>
      </w:r>
    </w:p>
    <w:p>
      <w:pPr>
        <w:widowControl w:val="0"/>
        <w:numPr>
          <w:ilvl w:val="0"/>
          <w:numId w:val="1"/>
        </w:numPr>
        <w:spacing w:line="360" w:lineRule="auto"/>
        <w:ind w:firstLine="640" w:firstLineChars="200"/>
        <w:textAlignment w:val="auto"/>
        <w:rPr>
          <w:rStyle w:val="17"/>
          <w:rFonts w:ascii="仿宋" w:hAnsi="仿宋" w:eastAsia="仿宋"/>
          <w:sz w:val="32"/>
          <w:szCs w:val="32"/>
        </w:rPr>
      </w:pPr>
      <w:r>
        <w:rPr>
          <w:rStyle w:val="17"/>
          <w:rFonts w:hint="eastAsia" w:ascii="仿宋" w:hAnsi="仿宋" w:eastAsia="仿宋"/>
          <w:sz w:val="32"/>
          <w:szCs w:val="32"/>
        </w:rPr>
        <w:t>该项目属于新建项目，位于东胜区铁西区三园路1号鄂尔多斯市隆胜野生动物园有限责任公司内。项目总占地面积21.5平方米，</w:t>
      </w:r>
      <w:r>
        <w:rPr>
          <w:rStyle w:val="17"/>
          <w:rFonts w:ascii="仿宋" w:hAnsi="仿宋" w:eastAsia="仿宋"/>
          <w:sz w:val="32"/>
          <w:szCs w:val="32"/>
        </w:rPr>
        <w:t>总投资</w:t>
      </w:r>
      <w:r>
        <w:rPr>
          <w:rStyle w:val="17"/>
          <w:rFonts w:hint="eastAsia" w:ascii="仿宋" w:hAnsi="仿宋" w:eastAsia="仿宋"/>
          <w:sz w:val="32"/>
          <w:szCs w:val="32"/>
        </w:rPr>
        <w:t>20万</w:t>
      </w:r>
      <w:r>
        <w:rPr>
          <w:rStyle w:val="17"/>
          <w:rFonts w:ascii="仿宋" w:hAnsi="仿宋" w:eastAsia="仿宋"/>
          <w:sz w:val="32"/>
          <w:szCs w:val="32"/>
        </w:rPr>
        <w:t>元，</w:t>
      </w:r>
      <w:r>
        <w:rPr>
          <w:rStyle w:val="17"/>
          <w:rFonts w:hint="eastAsia" w:ascii="仿宋" w:hAnsi="仿宋" w:eastAsia="仿宋"/>
          <w:sz w:val="32"/>
          <w:szCs w:val="32"/>
        </w:rPr>
        <w:t>全部为</w:t>
      </w:r>
      <w:r>
        <w:rPr>
          <w:rStyle w:val="17"/>
          <w:rFonts w:ascii="仿宋" w:hAnsi="仿宋" w:eastAsia="仿宋"/>
          <w:sz w:val="32"/>
          <w:szCs w:val="32"/>
        </w:rPr>
        <w:t>环保投资</w:t>
      </w:r>
      <w:r>
        <w:rPr>
          <w:rStyle w:val="17"/>
          <w:rFonts w:hint="eastAsia" w:ascii="仿宋" w:hAnsi="仿宋" w:eastAsia="仿宋"/>
          <w:sz w:val="32"/>
          <w:szCs w:val="32"/>
        </w:rPr>
        <w:t>。主要建设内容及规模：利用原有建筑物新建危废暂存库2座，</w:t>
      </w:r>
      <w:r>
        <w:rPr>
          <w:rStyle w:val="17"/>
          <w:rFonts w:hint="eastAsia" w:ascii="仿宋" w:hAnsi="仿宋" w:eastAsia="仿宋"/>
          <w:color w:val="auto"/>
          <w:sz w:val="32"/>
          <w:szCs w:val="32"/>
        </w:rPr>
        <w:t>设置导流槽、废液收集池，项目配套建设公辅工程、防渗工程等。建成后</w:t>
      </w:r>
      <w:r>
        <w:rPr>
          <w:rStyle w:val="17"/>
          <w:rFonts w:hint="eastAsia" w:ascii="仿宋" w:hAnsi="仿宋" w:eastAsia="仿宋"/>
          <w:sz w:val="32"/>
          <w:szCs w:val="32"/>
        </w:rPr>
        <w:t>用于暂存鄂尔多斯市隆胜野生动物园有限责任公司动物园内产生的废矿物油、废油桶、废弃针筒及药剂包装袋等。</w:t>
      </w:r>
    </w:p>
    <w:p>
      <w:pPr>
        <w:widowControl w:val="0"/>
        <w:spacing w:line="360" w:lineRule="auto"/>
        <w:ind w:firstLine="640" w:firstLineChars="200"/>
        <w:textAlignment w:val="auto"/>
        <w:rPr>
          <w:rStyle w:val="17"/>
          <w:rFonts w:ascii="仿宋" w:hAnsi="仿宋" w:eastAsia="仿宋"/>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widowControl w:val="0"/>
        <w:spacing w:line="360" w:lineRule="auto"/>
        <w:ind w:firstLine="640" w:firstLineChars="200"/>
        <w:textAlignment w:val="auto"/>
        <w:rPr>
          <w:rStyle w:val="17"/>
          <w:rFonts w:ascii="仿宋" w:hAnsi="仿宋" w:eastAsia="仿宋"/>
          <w:color w:val="auto"/>
          <w:sz w:val="32"/>
          <w:szCs w:val="32"/>
        </w:rPr>
      </w:pPr>
      <w:r>
        <w:rPr>
          <w:rStyle w:val="17"/>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pPr>
        <w:widowControl w:val="0"/>
        <w:spacing w:line="360" w:lineRule="auto"/>
        <w:ind w:firstLine="320" w:firstLineChars="100"/>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pPr>
        <w:widowControl w:val="0"/>
        <w:spacing w:line="360" w:lineRule="auto"/>
        <w:ind w:firstLine="640" w:firstLineChars="200"/>
        <w:textAlignment w:val="auto"/>
        <w:rPr>
          <w:rStyle w:val="17"/>
          <w:rFonts w:ascii="仿宋" w:hAnsi="仿宋" w:eastAsia="仿宋"/>
          <w:sz w:val="32"/>
          <w:szCs w:val="32"/>
        </w:rPr>
      </w:pPr>
      <w:r>
        <w:rPr>
          <w:rStyle w:val="17"/>
          <w:rFonts w:hint="eastAsia" w:ascii="仿宋" w:hAnsi="仿宋" w:eastAsia="仿宋"/>
          <w:sz w:val="32"/>
          <w:szCs w:val="32"/>
        </w:rPr>
        <w:t>1、施工期大气污染物排放执行《大气污染物综合排放标准》（GB16297-1996）表2中无组织排放监控浓度限值。</w:t>
      </w:r>
    </w:p>
    <w:p>
      <w:pPr>
        <w:widowControl w:val="0"/>
        <w:spacing w:line="360" w:lineRule="auto"/>
        <w:ind w:firstLine="640" w:firstLineChars="200"/>
        <w:textAlignment w:val="auto"/>
        <w:rPr>
          <w:rStyle w:val="17"/>
          <w:rFonts w:ascii="仿宋" w:hAnsi="仿宋" w:eastAsia="仿宋"/>
          <w:sz w:val="32"/>
          <w:szCs w:val="32"/>
        </w:rPr>
      </w:pPr>
      <w:r>
        <w:rPr>
          <w:rStyle w:val="17"/>
          <w:rFonts w:hint="eastAsia" w:ascii="仿宋" w:hAnsi="仿宋" w:eastAsia="仿宋"/>
          <w:sz w:val="32"/>
          <w:szCs w:val="32"/>
        </w:rPr>
        <w:t>2、施工人员生活污水经化粪池沉淀后拉运处理。</w:t>
      </w:r>
    </w:p>
    <w:p>
      <w:pPr>
        <w:widowControl w:val="0"/>
        <w:spacing w:line="360" w:lineRule="auto"/>
        <w:ind w:firstLine="640" w:firstLineChars="200"/>
        <w:textAlignment w:val="auto"/>
        <w:rPr>
          <w:rStyle w:val="17"/>
          <w:rFonts w:ascii="仿宋" w:hAnsi="仿宋" w:eastAsia="仿宋"/>
          <w:sz w:val="32"/>
          <w:szCs w:val="32"/>
        </w:rPr>
      </w:pPr>
      <w:r>
        <w:rPr>
          <w:rStyle w:val="17"/>
          <w:rFonts w:hint="eastAsia" w:ascii="仿宋" w:hAnsi="仿宋" w:eastAsia="仿宋"/>
          <w:sz w:val="32"/>
          <w:szCs w:val="32"/>
        </w:rPr>
        <w:t>3、选用低噪声施工设备，合理安排作业时间，避免夜间施工，控制车辆时速。施工期噪声执行《建筑施工场界环境噪声排放标准》（GB12523-2011）。</w:t>
      </w:r>
    </w:p>
    <w:p>
      <w:pPr>
        <w:widowControl w:val="0"/>
        <w:spacing w:line="360" w:lineRule="auto"/>
        <w:ind w:firstLine="640" w:firstLineChars="200"/>
        <w:textAlignment w:val="auto"/>
        <w:rPr>
          <w:rFonts w:ascii="仿宋" w:hAnsi="仿宋" w:eastAsia="仿宋" w:cs="仿宋"/>
          <w:color w:val="auto"/>
          <w:sz w:val="32"/>
          <w:szCs w:val="32"/>
        </w:rPr>
      </w:pPr>
      <w:r>
        <w:rPr>
          <w:rFonts w:hint="eastAsia" w:ascii="仿宋" w:hAnsi="仿宋" w:eastAsia="仿宋" w:cs="仿宋"/>
          <w:color w:val="auto"/>
          <w:sz w:val="32"/>
          <w:szCs w:val="32"/>
        </w:rPr>
        <w:t>4、固体废物集中堆放及时清运交有关部门进行相关处理。</w:t>
      </w:r>
    </w:p>
    <w:p>
      <w:pPr>
        <w:widowControl w:val="0"/>
        <w:spacing w:line="360" w:lineRule="auto"/>
        <w:ind w:firstLine="320" w:firstLineChars="100"/>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pPr>
        <w:numPr>
          <w:ilvl w:val="0"/>
          <w:numId w:val="2"/>
        </w:numPr>
        <w:spacing w:line="360" w:lineRule="auto"/>
        <w:ind w:firstLine="640" w:firstLineChars="200"/>
        <w:textAlignment w:val="auto"/>
        <w:rPr>
          <w:rStyle w:val="17"/>
          <w:rFonts w:ascii="仿宋" w:hAnsi="仿宋" w:eastAsia="仿宋"/>
          <w:color w:val="auto"/>
          <w:sz w:val="32"/>
          <w:szCs w:val="32"/>
        </w:rPr>
      </w:pPr>
      <w:r>
        <w:rPr>
          <w:rFonts w:hint="eastAsia" w:ascii="仿宋" w:hAnsi="仿宋" w:eastAsia="仿宋" w:cs="仿宋"/>
          <w:color w:val="auto"/>
          <w:sz w:val="32"/>
          <w:szCs w:val="32"/>
        </w:rPr>
        <w:t>运营</w:t>
      </w:r>
      <w:r>
        <w:rPr>
          <w:rStyle w:val="17"/>
          <w:rFonts w:hint="eastAsia" w:ascii="仿宋" w:hAnsi="仿宋" w:eastAsia="仿宋"/>
          <w:sz w:val="32"/>
          <w:szCs w:val="32"/>
        </w:rPr>
        <w:t>期</w:t>
      </w:r>
      <w:r>
        <w:rPr>
          <w:rStyle w:val="17"/>
          <w:rFonts w:hint="eastAsia" w:ascii="仿宋" w:hAnsi="仿宋" w:eastAsia="仿宋"/>
          <w:color w:val="auto"/>
          <w:sz w:val="32"/>
          <w:szCs w:val="32"/>
        </w:rPr>
        <w:t>非甲烷总烃无组织排放执行《大气污染物综合排放标准》（GB16297-1996）</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无组织排放监控浓度限值。</w:t>
      </w:r>
    </w:p>
    <w:p>
      <w:pPr>
        <w:numPr>
          <w:ilvl w:val="0"/>
          <w:numId w:val="2"/>
        </w:numPr>
        <w:spacing w:line="360" w:lineRule="auto"/>
        <w:ind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运营期不产生生产废水,不新增生活污水。</w:t>
      </w:r>
    </w:p>
    <w:p>
      <w:pPr>
        <w:numPr>
          <w:ilvl w:val="0"/>
          <w:numId w:val="2"/>
        </w:numPr>
        <w:spacing w:line="360" w:lineRule="auto"/>
        <w:ind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运营期厂界噪声执行《工业企业厂界环境噪声排放标准》（GB12348-2008）中2类标准。</w:t>
      </w:r>
    </w:p>
    <w:p>
      <w:pPr>
        <w:numPr>
          <w:ilvl w:val="0"/>
          <w:numId w:val="2"/>
        </w:numPr>
        <w:spacing w:line="360" w:lineRule="auto"/>
        <w:ind w:firstLine="640" w:firstLineChars="200"/>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处置一般固废，不得乱弃。</w:t>
      </w:r>
      <w:r>
        <w:rPr>
          <w:rFonts w:ascii="仿宋" w:hAnsi="仿宋" w:eastAsia="仿宋" w:cs="仿宋"/>
          <w:color w:val="auto"/>
          <w:sz w:val="32"/>
          <w:szCs w:val="32"/>
        </w:rPr>
        <w:t>危废暂存库须严格按照《危险废物贮存污染控制标准》（GB18597-20</w:t>
      </w:r>
      <w:r>
        <w:rPr>
          <w:rFonts w:hint="eastAsia" w:ascii="仿宋" w:hAnsi="仿宋" w:eastAsia="仿宋" w:cs="仿宋"/>
          <w:color w:val="auto"/>
          <w:sz w:val="32"/>
          <w:szCs w:val="32"/>
        </w:rPr>
        <w:t>23</w:t>
      </w:r>
      <w:r>
        <w:rPr>
          <w:rFonts w:ascii="仿宋" w:hAnsi="仿宋" w:eastAsia="仿宋" w:cs="仿宋"/>
          <w:color w:val="auto"/>
          <w:sz w:val="32"/>
          <w:szCs w:val="32"/>
        </w:rPr>
        <w:t>）进行设计、建设和管理。</w:t>
      </w:r>
      <w:r>
        <w:rPr>
          <w:rFonts w:hint="eastAsia" w:ascii="仿宋" w:hAnsi="仿宋" w:eastAsia="仿宋" w:cs="仿宋"/>
          <w:color w:val="auto"/>
          <w:sz w:val="32"/>
          <w:szCs w:val="32"/>
        </w:rPr>
        <w:t>危险废物收集和运输等均按照《危险废物收集 贮存 运输技术规范》(HJ2025-2012)、</w:t>
      </w:r>
      <w:r>
        <w:rPr>
          <w:rFonts w:hint="eastAsia" w:ascii="仿宋" w:hAnsi="仿宋" w:eastAsia="仿宋" w:cs="仿宋"/>
          <w:color w:val="0000FF"/>
          <w:kern w:val="2"/>
          <w:sz w:val="32"/>
          <w:szCs w:val="32"/>
        </w:rPr>
        <w:t>《医疗废物处理处置污染控制标准》（GB39707-2020）</w:t>
      </w:r>
      <w:r>
        <w:rPr>
          <w:rFonts w:hint="eastAsia" w:ascii="仿宋" w:hAnsi="仿宋" w:eastAsia="仿宋" w:cs="仿宋"/>
          <w:color w:val="auto"/>
          <w:kern w:val="2"/>
          <w:sz w:val="32"/>
          <w:szCs w:val="32"/>
        </w:rPr>
        <w:t>要求执行。危废必须由有资</w:t>
      </w:r>
      <w:bookmarkStart w:id="0" w:name="_GoBack"/>
      <w:bookmarkEnd w:id="0"/>
      <w:r>
        <w:rPr>
          <w:rFonts w:hint="eastAsia" w:ascii="仿宋" w:hAnsi="仿宋" w:eastAsia="仿宋" w:cs="仿宋"/>
          <w:color w:val="auto"/>
          <w:kern w:val="2"/>
          <w:sz w:val="32"/>
          <w:szCs w:val="32"/>
        </w:rPr>
        <w:t>质单位处置。非正常情况下泄露的危险废物及冲洗水</w:t>
      </w:r>
      <w:r>
        <w:rPr>
          <w:rFonts w:hint="eastAsia" w:ascii="仿宋" w:hAnsi="仿宋" w:eastAsia="仿宋" w:cs="仿宋"/>
          <w:color w:val="auto"/>
          <w:sz w:val="32"/>
          <w:szCs w:val="32"/>
        </w:rPr>
        <w:t>进入废液池中，收集后交由有资质单位处置。</w:t>
      </w:r>
    </w:p>
    <w:p>
      <w:pPr>
        <w:numPr>
          <w:ilvl w:val="0"/>
          <w:numId w:val="2"/>
        </w:numPr>
        <w:spacing w:line="360" w:lineRule="auto"/>
        <w:ind w:firstLine="640" w:firstLineChars="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地面须按相关要求做好防渗措施，确保不会对地下水造成影响。</w:t>
      </w:r>
    </w:p>
    <w:p>
      <w:pPr>
        <w:numPr>
          <w:ilvl w:val="0"/>
          <w:numId w:val="2"/>
        </w:numPr>
        <w:spacing w:line="360" w:lineRule="auto"/>
        <w:ind w:firstLine="640" w:firstLineChars="200"/>
        <w:textAlignment w:val="auto"/>
        <w:rPr>
          <w:rFonts w:ascii="仿宋" w:hAnsi="仿宋" w:eastAsia="仿宋" w:cs="仿宋"/>
          <w:color w:val="auto"/>
          <w:sz w:val="32"/>
          <w:szCs w:val="32"/>
        </w:rPr>
      </w:pPr>
      <w:r>
        <w:rPr>
          <w:rFonts w:hint="eastAsia" w:ascii="仿宋" w:hAnsi="仿宋" w:eastAsia="仿宋" w:cs="仿宋"/>
          <w:color w:val="auto"/>
          <w:sz w:val="32"/>
          <w:szCs w:val="32"/>
        </w:rPr>
        <w:t>强化环境风险防范，制定突发环境事件应急预案，落实环境风险事故防范措施，提高事故风险防范和污染控制能力。</w:t>
      </w:r>
    </w:p>
    <w:p>
      <w:pPr>
        <w:widowControl w:val="0"/>
        <w:numPr>
          <w:ilvl w:val="0"/>
          <w:numId w:val="3"/>
        </w:numPr>
        <w:spacing w:line="360" w:lineRule="auto"/>
        <w:ind w:firstLine="640" w:firstLineChars="200"/>
        <w:textAlignment w:val="auto"/>
        <w:rPr>
          <w:rStyle w:val="17"/>
          <w:rFonts w:ascii="仿宋" w:hAnsi="仿宋" w:eastAsia="仿宋"/>
          <w:color w:val="auto"/>
          <w:sz w:val="32"/>
          <w:szCs w:val="32"/>
        </w:rPr>
      </w:pPr>
      <w:r>
        <w:rPr>
          <w:rFonts w:hint="eastAsia" w:ascii="仿宋" w:hAnsi="仿宋" w:eastAsia="仿宋" w:cs="仿宋"/>
          <w:color w:val="auto"/>
          <w:sz w:val="32"/>
          <w:szCs w:val="32"/>
        </w:rPr>
        <w:t>你单位应委托有相应资质的设计单位对建设项目重点环保设施进行设计，并在项目施工及运行过程中严格落实环保设施安全生产工作要求。</w:t>
      </w:r>
    </w:p>
    <w:p>
      <w:pPr>
        <w:widowControl w:val="0"/>
        <w:numPr>
          <w:ilvl w:val="0"/>
          <w:numId w:val="3"/>
        </w:numPr>
        <w:spacing w:line="360" w:lineRule="auto"/>
        <w:ind w:firstLine="640" w:firstLineChars="200"/>
        <w:jc w:val="left"/>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widowControl w:val="0"/>
        <w:numPr>
          <w:ilvl w:val="0"/>
          <w:numId w:val="3"/>
        </w:numPr>
        <w:spacing w:line="360" w:lineRule="auto"/>
        <w:ind w:firstLine="640" w:firstLineChars="200"/>
        <w:jc w:val="left"/>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pPr>
        <w:pStyle w:val="2"/>
        <w:jc w:val="left"/>
        <w:rPr>
          <w:color w:val="auto"/>
        </w:rPr>
      </w:pPr>
      <w:r>
        <w:rPr>
          <w:rFonts w:hint="eastAsia"/>
          <w:color w:val="auto"/>
        </w:rPr>
        <w:t xml:space="preserve">   </w:t>
      </w:r>
    </w:p>
    <w:p>
      <w:pPr>
        <w:rPr>
          <w:color w:val="auto"/>
        </w:rPr>
      </w:pPr>
    </w:p>
    <w:p>
      <w:pPr>
        <w:pStyle w:val="4"/>
        <w:ind w:firstLine="0"/>
      </w:pPr>
    </w:p>
    <w:p>
      <w:pPr>
        <w:pStyle w:val="4"/>
      </w:pPr>
    </w:p>
    <w:p>
      <w:pPr>
        <w:jc w:val="left"/>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rPr>
        <w:t>3年1</w:t>
      </w:r>
      <w:r>
        <w:rPr>
          <w:rStyle w:val="17"/>
          <w:rFonts w:ascii="仿宋" w:hAnsi="仿宋" w:eastAsia="仿宋"/>
          <w:color w:val="auto"/>
          <w:sz w:val="32"/>
          <w:szCs w:val="32"/>
        </w:rPr>
        <w:t>1</w:t>
      </w:r>
      <w:r>
        <w:rPr>
          <w:rStyle w:val="17"/>
          <w:rFonts w:hint="eastAsia" w:ascii="仿宋" w:hAnsi="仿宋" w:eastAsia="仿宋"/>
          <w:color w:val="auto"/>
          <w:sz w:val="32"/>
          <w:szCs w:val="32"/>
        </w:rPr>
        <w:t>月2日</w:t>
      </w:r>
      <w:r>
        <w:rPr>
          <w:rStyle w:val="17"/>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rFonts w:hint="eastAsia"/>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rPr>
        <w:t>3年1</w:t>
      </w:r>
      <w:r>
        <w:rPr>
          <w:rStyle w:val="17"/>
          <w:rFonts w:ascii="仿宋" w:hAnsi="仿宋" w:eastAsia="仿宋"/>
          <w:color w:val="auto"/>
          <w:sz w:val="28"/>
          <w:szCs w:val="28"/>
        </w:rPr>
        <w:t>1</w:t>
      </w:r>
      <w:r>
        <w:rPr>
          <w:rStyle w:val="17"/>
          <w:rFonts w:hint="eastAsia" w:ascii="仿宋" w:hAnsi="仿宋" w:eastAsia="仿宋"/>
          <w:color w:val="auto"/>
          <w:sz w:val="28"/>
          <w:szCs w:val="28"/>
        </w:rPr>
        <w:t>月2日印发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- 1 -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259184"/>
    <w:multiLevelType w:val="singleLevel"/>
    <w:tmpl w:val="51259184"/>
    <w:lvl w:ilvl="0" w:tentative="0">
      <w:start w:val="1"/>
      <w:numFmt w:val="chineseCounting"/>
      <w:suff w:val="nothing"/>
      <w:lvlText w:val="%1、"/>
      <w:lvlJc w:val="left"/>
      <w:rPr>
        <w:rFonts w:hint="eastAsia"/>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abstractNum w:abstractNumId="2">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0E7643"/>
    <w:rsid w:val="001204A9"/>
    <w:rsid w:val="0015076A"/>
    <w:rsid w:val="00175BF5"/>
    <w:rsid w:val="001E4E45"/>
    <w:rsid w:val="002D2E4B"/>
    <w:rsid w:val="00354558"/>
    <w:rsid w:val="00494E3D"/>
    <w:rsid w:val="005B2A4E"/>
    <w:rsid w:val="00622964"/>
    <w:rsid w:val="0066586F"/>
    <w:rsid w:val="006F5E64"/>
    <w:rsid w:val="007E2F8E"/>
    <w:rsid w:val="008C77A6"/>
    <w:rsid w:val="008E69A5"/>
    <w:rsid w:val="0092520E"/>
    <w:rsid w:val="009A3BD3"/>
    <w:rsid w:val="00A104F9"/>
    <w:rsid w:val="00A96AC8"/>
    <w:rsid w:val="00AE48E3"/>
    <w:rsid w:val="00AF0FF6"/>
    <w:rsid w:val="00B20AEA"/>
    <w:rsid w:val="00B51603"/>
    <w:rsid w:val="00B93F27"/>
    <w:rsid w:val="00BA2ACE"/>
    <w:rsid w:val="00D2091F"/>
    <w:rsid w:val="00E42E5F"/>
    <w:rsid w:val="00E44AC0"/>
    <w:rsid w:val="00E52E5B"/>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3635E"/>
    <w:rsid w:val="048A4438"/>
    <w:rsid w:val="048A4FCC"/>
    <w:rsid w:val="04916917"/>
    <w:rsid w:val="04C133B2"/>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E24DC5"/>
    <w:rsid w:val="0822685D"/>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DD71F7"/>
    <w:rsid w:val="0CFC12E8"/>
    <w:rsid w:val="0D693F98"/>
    <w:rsid w:val="0D830185"/>
    <w:rsid w:val="0DA16476"/>
    <w:rsid w:val="0DF20A80"/>
    <w:rsid w:val="0E2F5220"/>
    <w:rsid w:val="0E364873"/>
    <w:rsid w:val="0E385A18"/>
    <w:rsid w:val="0E570138"/>
    <w:rsid w:val="0E71409B"/>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A7392F"/>
    <w:rsid w:val="11CD325E"/>
    <w:rsid w:val="11D2180D"/>
    <w:rsid w:val="12A10CC7"/>
    <w:rsid w:val="12EA255A"/>
    <w:rsid w:val="13464D5E"/>
    <w:rsid w:val="13917046"/>
    <w:rsid w:val="1398649C"/>
    <w:rsid w:val="139A0B1F"/>
    <w:rsid w:val="13C532EF"/>
    <w:rsid w:val="14414ABA"/>
    <w:rsid w:val="144C07C7"/>
    <w:rsid w:val="1562595D"/>
    <w:rsid w:val="15652C35"/>
    <w:rsid w:val="156D1455"/>
    <w:rsid w:val="15C471A6"/>
    <w:rsid w:val="15E91737"/>
    <w:rsid w:val="16015C16"/>
    <w:rsid w:val="16041455"/>
    <w:rsid w:val="168C74C9"/>
    <w:rsid w:val="16FF6904"/>
    <w:rsid w:val="171F5F2F"/>
    <w:rsid w:val="1747459A"/>
    <w:rsid w:val="178F5508"/>
    <w:rsid w:val="17C4348D"/>
    <w:rsid w:val="17D90483"/>
    <w:rsid w:val="17E15C23"/>
    <w:rsid w:val="181C5F12"/>
    <w:rsid w:val="18207E93"/>
    <w:rsid w:val="188024B2"/>
    <w:rsid w:val="188A5136"/>
    <w:rsid w:val="18A37FC9"/>
    <w:rsid w:val="18AE27A5"/>
    <w:rsid w:val="18CC5434"/>
    <w:rsid w:val="18E54146"/>
    <w:rsid w:val="19473B43"/>
    <w:rsid w:val="19AC1F9C"/>
    <w:rsid w:val="19EA6791"/>
    <w:rsid w:val="19F825D9"/>
    <w:rsid w:val="1A437161"/>
    <w:rsid w:val="1A6C6995"/>
    <w:rsid w:val="1A805ECF"/>
    <w:rsid w:val="1AFA27E4"/>
    <w:rsid w:val="1B570174"/>
    <w:rsid w:val="1BBA357C"/>
    <w:rsid w:val="1BBC5800"/>
    <w:rsid w:val="1BDD6112"/>
    <w:rsid w:val="1BF630B5"/>
    <w:rsid w:val="1C0715F0"/>
    <w:rsid w:val="1C1C4F1A"/>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831280"/>
    <w:rsid w:val="1EB145A4"/>
    <w:rsid w:val="1EB26A2F"/>
    <w:rsid w:val="1EDA17E8"/>
    <w:rsid w:val="1F197ECC"/>
    <w:rsid w:val="1F7A6B27"/>
    <w:rsid w:val="1F9A03FC"/>
    <w:rsid w:val="1F9F4FD0"/>
    <w:rsid w:val="1FAA740D"/>
    <w:rsid w:val="1FB13B43"/>
    <w:rsid w:val="1FFD3A90"/>
    <w:rsid w:val="20210D51"/>
    <w:rsid w:val="203E5C2F"/>
    <w:rsid w:val="20723F75"/>
    <w:rsid w:val="208B0C0A"/>
    <w:rsid w:val="209F2E8C"/>
    <w:rsid w:val="20C94FCD"/>
    <w:rsid w:val="20CF0133"/>
    <w:rsid w:val="212154AC"/>
    <w:rsid w:val="21500F9E"/>
    <w:rsid w:val="217D77E0"/>
    <w:rsid w:val="21B87493"/>
    <w:rsid w:val="21DC075D"/>
    <w:rsid w:val="21EF70BE"/>
    <w:rsid w:val="220E66BC"/>
    <w:rsid w:val="221B45B1"/>
    <w:rsid w:val="224449A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6D905D7"/>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1F083A"/>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12C0E37"/>
    <w:rsid w:val="31451F91"/>
    <w:rsid w:val="3166710B"/>
    <w:rsid w:val="31B97443"/>
    <w:rsid w:val="31C0486E"/>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1758AF"/>
    <w:rsid w:val="35352E7D"/>
    <w:rsid w:val="3587701E"/>
    <w:rsid w:val="361479B3"/>
    <w:rsid w:val="362A341F"/>
    <w:rsid w:val="36743E79"/>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A60B04"/>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656A54"/>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30334A"/>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8CB3DCC"/>
    <w:rsid w:val="48FD5F50"/>
    <w:rsid w:val="49540677"/>
    <w:rsid w:val="49836455"/>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3457E4"/>
    <w:rsid w:val="4C4243A5"/>
    <w:rsid w:val="4CD95DD7"/>
    <w:rsid w:val="4D137AF0"/>
    <w:rsid w:val="4D1675E0"/>
    <w:rsid w:val="4D377F90"/>
    <w:rsid w:val="4D743394"/>
    <w:rsid w:val="4D7C0517"/>
    <w:rsid w:val="4DD86D52"/>
    <w:rsid w:val="4DDE7B5E"/>
    <w:rsid w:val="4E062159"/>
    <w:rsid w:val="4E543FF1"/>
    <w:rsid w:val="4EBF61E5"/>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780B5F"/>
    <w:rsid w:val="57B96494"/>
    <w:rsid w:val="57DD76E9"/>
    <w:rsid w:val="57FC658A"/>
    <w:rsid w:val="57FE5FE5"/>
    <w:rsid w:val="586A1F97"/>
    <w:rsid w:val="589C6ECF"/>
    <w:rsid w:val="58D44036"/>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CA6734"/>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864720"/>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7632CC"/>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5A0AAD"/>
    <w:rsid w:val="70921C55"/>
    <w:rsid w:val="70B658E9"/>
    <w:rsid w:val="71283ECD"/>
    <w:rsid w:val="712B6906"/>
    <w:rsid w:val="713D11CB"/>
    <w:rsid w:val="7147364E"/>
    <w:rsid w:val="71502437"/>
    <w:rsid w:val="71E362C3"/>
    <w:rsid w:val="7219039A"/>
    <w:rsid w:val="731775B6"/>
    <w:rsid w:val="73BA11B9"/>
    <w:rsid w:val="73D60472"/>
    <w:rsid w:val="73F53D48"/>
    <w:rsid w:val="73F92CEC"/>
    <w:rsid w:val="7496752E"/>
    <w:rsid w:val="755B54D7"/>
    <w:rsid w:val="75765328"/>
    <w:rsid w:val="75A177EE"/>
    <w:rsid w:val="75C71031"/>
    <w:rsid w:val="75D86CD4"/>
    <w:rsid w:val="760E7139"/>
    <w:rsid w:val="76496AA8"/>
    <w:rsid w:val="76745CA5"/>
    <w:rsid w:val="768559AF"/>
    <w:rsid w:val="76A05F87"/>
    <w:rsid w:val="76A730E4"/>
    <w:rsid w:val="76F33AE6"/>
    <w:rsid w:val="76F41191"/>
    <w:rsid w:val="77253DF8"/>
    <w:rsid w:val="773329B9"/>
    <w:rsid w:val="777C4360"/>
    <w:rsid w:val="778111CA"/>
    <w:rsid w:val="779352B4"/>
    <w:rsid w:val="77C011B5"/>
    <w:rsid w:val="77DF2692"/>
    <w:rsid w:val="77E65FB7"/>
    <w:rsid w:val="77EC1D59"/>
    <w:rsid w:val="781F64BC"/>
    <w:rsid w:val="783E6571"/>
    <w:rsid w:val="784C1F84"/>
    <w:rsid w:val="78502F65"/>
    <w:rsid w:val="786170B2"/>
    <w:rsid w:val="786E6C4A"/>
    <w:rsid w:val="789D2BB8"/>
    <w:rsid w:val="78DB6555"/>
    <w:rsid w:val="78FD20DF"/>
    <w:rsid w:val="795654B4"/>
    <w:rsid w:val="79C30024"/>
    <w:rsid w:val="79E24199"/>
    <w:rsid w:val="79F2090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2F777E"/>
    <w:rsid w:val="7D54267F"/>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5"/>
    <w:qFormat/>
    <w:uiPriority w:val="0"/>
    <w:pPr>
      <w:ind w:firstLine="420"/>
    </w:pPr>
  </w:style>
  <w:style w:type="paragraph" w:customStyle="1" w:styleId="5">
    <w:name w:val="正文首行缩进 21"/>
    <w:basedOn w:val="3"/>
    <w:next w:val="1"/>
    <w:qFormat/>
    <w:uiPriority w:val="0"/>
    <w:pPr>
      <w:ind w:firstLine="420" w:firstLineChars="200"/>
    </w:pPr>
  </w:style>
  <w:style w:type="paragraph" w:styleId="6">
    <w:name w:val="annotation text"/>
    <w:basedOn w:val="1"/>
    <w:qFormat/>
    <w:uiPriority w:val="0"/>
    <w:pPr>
      <w:jc w:val="left"/>
    </w:pPr>
  </w:style>
  <w:style w:type="paragraph" w:styleId="7">
    <w:name w:val="Body Text"/>
    <w:basedOn w:val="1"/>
    <w:link w:val="21"/>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Date"/>
    <w:basedOn w:val="1"/>
    <w:next w:val="1"/>
    <w:link w:val="22"/>
    <w:qFormat/>
    <w:uiPriority w:val="99"/>
    <w:pPr>
      <w:ind w:left="100" w:leftChars="2500"/>
    </w:pPr>
  </w:style>
  <w:style w:type="paragraph" w:styleId="10">
    <w:name w:val="footer"/>
    <w:basedOn w:val="1"/>
    <w:link w:val="23"/>
    <w:qFormat/>
    <w:uiPriority w:val="99"/>
    <w:pPr>
      <w:tabs>
        <w:tab w:val="center" w:pos="4153"/>
        <w:tab w:val="right" w:pos="8306"/>
      </w:tabs>
      <w:snapToGrid w:val="0"/>
      <w:jc w:val="left"/>
    </w:pPr>
    <w:rPr>
      <w:sz w:val="18"/>
    </w:rPr>
  </w:style>
  <w:style w:type="paragraph" w:styleId="11">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4"/>
    <w:qFormat/>
    <w:uiPriority w:val="0"/>
    <w:pPr>
      <w:spacing w:line="360" w:lineRule="auto"/>
      <w:ind w:firstLine="200"/>
      <w:jc w:val="left"/>
      <w:textAlignment w:val="auto"/>
    </w:pPr>
    <w:rPr>
      <w:rFonts w:cs="宋体"/>
      <w:szCs w:val="22"/>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字符"/>
    <w:basedOn w:val="15"/>
    <w:link w:val="7"/>
    <w:semiHidden/>
    <w:qFormat/>
    <w:uiPriority w:val="99"/>
    <w:rPr>
      <w:color w:val="000000"/>
      <w:kern w:val="0"/>
      <w:szCs w:val="20"/>
    </w:rPr>
  </w:style>
  <w:style w:type="character" w:customStyle="1" w:styleId="22">
    <w:name w:val="日期 字符"/>
    <w:basedOn w:val="15"/>
    <w:link w:val="9"/>
    <w:semiHidden/>
    <w:qFormat/>
    <w:uiPriority w:val="99"/>
    <w:rPr>
      <w:color w:val="000000"/>
      <w:kern w:val="0"/>
      <w:szCs w:val="20"/>
    </w:rPr>
  </w:style>
  <w:style w:type="character" w:customStyle="1" w:styleId="23">
    <w:name w:val="页脚 字符"/>
    <w:basedOn w:val="17"/>
    <w:link w:val="10"/>
    <w:qFormat/>
    <w:locked/>
    <w:uiPriority w:val="99"/>
    <w:rPr>
      <w:rFonts w:cs="Times New Roman"/>
      <w:color w:val="000000"/>
      <w:sz w:val="18"/>
    </w:rPr>
  </w:style>
  <w:style w:type="character" w:customStyle="1" w:styleId="24">
    <w:name w:val="页眉 字符"/>
    <w:basedOn w:val="17"/>
    <w:link w:val="11"/>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7"/>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7"/>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255</Words>
  <Characters>1458</Characters>
  <Lines>12</Lines>
  <Paragraphs>3</Paragraphs>
  <TotalTime>31</TotalTime>
  <ScaleCrop>false</ScaleCrop>
  <LinksUpToDate>false</LinksUpToDate>
  <CharactersWithSpaces>1710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♪(´ε｀ )</cp:lastModifiedBy>
  <cp:lastPrinted>2023-09-13T02:44:00Z</cp:lastPrinted>
  <dcterms:modified xsi:type="dcterms:W3CDTF">2023-10-26T07:59:31Z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4B223CA2B5B24F0BBC3925F45DAE3489</vt:lpwstr>
  </property>
</Properties>
</file>