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pStyle w:val="27"/>
        <w:rPr>
          <w:rStyle w:val="17"/>
          <w:color w:val="auto"/>
        </w:rPr>
      </w:pPr>
    </w:p>
    <w:p>
      <w:pPr>
        <w:snapToGrid w:val="0"/>
        <w:spacing w:line="600" w:lineRule="exact"/>
        <w:rPr>
          <w:rStyle w:val="17"/>
          <w:rFonts w:ascii="仿宋_GB2312" w:eastAsia="仿宋_GB2312"/>
          <w:color w:val="auto"/>
          <w:sz w:val="32"/>
          <w:szCs w:val="32"/>
        </w:rPr>
      </w:pPr>
    </w:p>
    <w:p>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39</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pPr>
        <w:spacing w:line="600" w:lineRule="exact"/>
        <w:jc w:val="center"/>
        <w:rPr>
          <w:rStyle w:val="17"/>
          <w:rFonts w:hint="eastAsia" w:ascii="宋体" w:hAnsi="宋体" w:eastAsia="宋体" w:cs="宋体"/>
          <w:b/>
          <w:bCs w:val="0"/>
          <w:color w:val="auto"/>
          <w:sz w:val="44"/>
          <w:szCs w:val="44"/>
        </w:rPr>
      </w:pPr>
    </w:p>
    <w:p>
      <w:pPr>
        <w:spacing w:line="600" w:lineRule="exact"/>
        <w:jc w:val="center"/>
        <w:rPr>
          <w:rStyle w:val="17"/>
          <w:rFonts w:hint="eastAsia"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pPr>
        <w:spacing w:line="600" w:lineRule="exact"/>
        <w:jc w:val="center"/>
        <w:rPr>
          <w:rStyle w:val="17"/>
          <w:rFonts w:hint="eastAsia" w:ascii="宋体" w:hAnsi="宋体" w:eastAsia="宋体"/>
          <w:b/>
          <w:bCs w:val="0"/>
          <w:color w:val="auto"/>
          <w:sz w:val="44"/>
          <w:szCs w:val="44"/>
          <w:lang w:eastAsia="zh-CN"/>
        </w:rPr>
      </w:pPr>
      <w:r>
        <w:rPr>
          <w:rStyle w:val="17"/>
          <w:rFonts w:hint="eastAsia" w:ascii="宋体" w:hAnsi="宋体"/>
          <w:b/>
          <w:bCs w:val="0"/>
          <w:color w:val="auto"/>
          <w:sz w:val="44"/>
          <w:szCs w:val="44"/>
          <w:lang w:eastAsia="zh-CN"/>
        </w:rPr>
        <w:t>内蒙古亿利一道新能源有限公司</w:t>
      </w:r>
    </w:p>
    <w:p>
      <w:pPr>
        <w:spacing w:line="600" w:lineRule="exact"/>
        <w:jc w:val="center"/>
        <w:rPr>
          <w:rStyle w:val="17"/>
          <w:rFonts w:hint="eastAsia" w:ascii="宋体" w:hAnsi="宋体"/>
          <w:b/>
          <w:bCs w:val="0"/>
          <w:color w:val="auto"/>
          <w:sz w:val="44"/>
          <w:szCs w:val="44"/>
        </w:rPr>
      </w:pPr>
      <w:r>
        <w:rPr>
          <w:rStyle w:val="17"/>
          <w:rFonts w:hint="eastAsia" w:ascii="宋体" w:hAnsi="宋体"/>
          <w:b/>
          <w:bCs w:val="0"/>
          <w:color w:val="auto"/>
          <w:sz w:val="44"/>
          <w:szCs w:val="44"/>
        </w:rPr>
        <w:t>年产4GW高效组件</w:t>
      </w:r>
      <w:r>
        <w:rPr>
          <w:rStyle w:val="17"/>
          <w:rFonts w:hint="eastAsia" w:ascii="宋体" w:hAnsi="宋体"/>
          <w:b/>
          <w:bCs w:val="0"/>
          <w:color w:val="auto"/>
          <w:sz w:val="44"/>
          <w:szCs w:val="44"/>
          <w:lang w:eastAsia="zh-CN"/>
        </w:rPr>
        <w:t>建设</w:t>
      </w:r>
      <w:r>
        <w:rPr>
          <w:rStyle w:val="17"/>
          <w:rFonts w:hint="eastAsia" w:ascii="宋体" w:hAnsi="宋体"/>
          <w:b/>
          <w:bCs w:val="0"/>
          <w:color w:val="auto"/>
          <w:sz w:val="44"/>
          <w:szCs w:val="44"/>
        </w:rPr>
        <w:t>项目</w:t>
      </w:r>
    </w:p>
    <w:p>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b/>
          <w:bCs w:val="0"/>
          <w:color w:val="auto"/>
          <w:sz w:val="44"/>
          <w:szCs w:val="44"/>
        </w:rPr>
        <w:t>环</w:t>
      </w:r>
      <w:r>
        <w:rPr>
          <w:rStyle w:val="17"/>
          <w:rFonts w:hint="eastAsia" w:ascii="宋体" w:hAnsi="宋体" w:eastAsia="宋体" w:cs="宋体"/>
          <w:b/>
          <w:bCs w:val="0"/>
          <w:color w:val="auto"/>
          <w:sz w:val="44"/>
          <w:szCs w:val="44"/>
        </w:rPr>
        <w:t>境影响报告表的批复</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Style w:val="17"/>
          <w:rFonts w:hint="eastAsia" w:ascii="仿宋" w:hAnsi="仿宋" w:eastAsia="仿宋" w:cs="Times New Roman"/>
          <w:sz w:val="32"/>
          <w:szCs w:val="32"/>
          <w:lang w:eastAsia="zh-CN"/>
        </w:rPr>
      </w:pPr>
      <w:r>
        <w:rPr>
          <w:rStyle w:val="17"/>
          <w:rFonts w:hint="eastAsia" w:ascii="仿宋" w:hAnsi="仿宋" w:eastAsia="仿宋" w:cs="Times New Roman"/>
          <w:sz w:val="32"/>
          <w:szCs w:val="32"/>
          <w:lang w:eastAsia="zh-CN"/>
        </w:rPr>
        <w:t>内蒙古亿利一道新能源有限公司：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sz w:val="32"/>
          <w:szCs w:val="32"/>
          <w:lang w:val="en-US" w:eastAsia="zh-CN"/>
        </w:rPr>
      </w:pPr>
      <w:r>
        <w:rPr>
          <w:rStyle w:val="17"/>
          <w:rFonts w:hint="eastAsia" w:ascii="仿宋" w:hAnsi="仿宋" w:eastAsia="仿宋" w:cs="Times New Roman"/>
          <w:sz w:val="32"/>
          <w:szCs w:val="32"/>
        </w:rPr>
        <w:t>你</w:t>
      </w:r>
      <w:r>
        <w:rPr>
          <w:rStyle w:val="17"/>
          <w:rFonts w:hint="eastAsia" w:ascii="仿宋" w:hAnsi="仿宋" w:eastAsia="仿宋" w:cs="Times New Roman"/>
          <w:sz w:val="32"/>
          <w:szCs w:val="32"/>
          <w:lang w:val="en-US" w:eastAsia="zh-CN"/>
        </w:rPr>
        <w:t>单位</w:t>
      </w:r>
      <w:r>
        <w:rPr>
          <w:rStyle w:val="17"/>
          <w:rFonts w:hint="eastAsia" w:ascii="仿宋" w:hAnsi="仿宋" w:eastAsia="仿宋" w:cs="Times New Roman"/>
          <w:sz w:val="32"/>
          <w:szCs w:val="32"/>
        </w:rPr>
        <w:t>报送的由</w:t>
      </w:r>
      <w:r>
        <w:rPr>
          <w:rStyle w:val="17"/>
          <w:rFonts w:hint="eastAsia" w:ascii="仿宋" w:hAnsi="仿宋" w:eastAsia="仿宋" w:cs="Times New Roman"/>
          <w:sz w:val="32"/>
          <w:szCs w:val="32"/>
        </w:rPr>
        <w:fldChar w:fldCharType="begin"/>
      </w:r>
      <w:r>
        <w:rPr>
          <w:rStyle w:val="17"/>
          <w:rFonts w:hint="eastAsia" w:ascii="仿宋" w:hAnsi="仿宋" w:eastAsia="仿宋" w:cs="Times New Roman"/>
          <w:sz w:val="32"/>
          <w:szCs w:val="32"/>
        </w:rPr>
        <w:instrText xml:space="preserve"> HYPERLINK "javascript:viewHomeCompanyInfoView('109874265683141391')" </w:instrText>
      </w:r>
      <w:r>
        <w:rPr>
          <w:rStyle w:val="17"/>
          <w:rFonts w:hint="eastAsia" w:ascii="仿宋" w:hAnsi="仿宋" w:eastAsia="仿宋" w:cs="Times New Roman"/>
          <w:sz w:val="32"/>
          <w:szCs w:val="32"/>
        </w:rPr>
        <w:fldChar w:fldCharType="separate"/>
      </w:r>
      <w:r>
        <w:rPr>
          <w:rStyle w:val="17"/>
          <w:rFonts w:hint="eastAsia" w:ascii="仿宋" w:hAnsi="仿宋" w:eastAsia="仿宋" w:cs="Times New Roman"/>
          <w:sz w:val="32"/>
          <w:szCs w:val="32"/>
        </w:rPr>
        <w:t>内蒙古凯越工程咨询有限公司</w:t>
      </w:r>
      <w:r>
        <w:rPr>
          <w:rStyle w:val="17"/>
          <w:rFonts w:hint="eastAsia" w:ascii="仿宋" w:hAnsi="仿宋" w:eastAsia="仿宋" w:cs="Times New Roman"/>
          <w:sz w:val="32"/>
          <w:szCs w:val="32"/>
        </w:rPr>
        <w:fldChar w:fldCharType="end"/>
      </w:r>
      <w:r>
        <w:rPr>
          <w:rStyle w:val="17"/>
          <w:rFonts w:hint="eastAsia" w:ascii="仿宋" w:hAnsi="仿宋" w:eastAsia="仿宋" w:cs="Times New Roman"/>
          <w:sz w:val="32"/>
          <w:szCs w:val="32"/>
          <w:lang w:val="en-US" w:eastAsia="zh-CN"/>
        </w:rPr>
        <w:t>编</w:t>
      </w:r>
      <w:r>
        <w:rPr>
          <w:rStyle w:val="17"/>
          <w:rFonts w:hint="eastAsia" w:ascii="仿宋" w:hAnsi="仿宋" w:eastAsia="仿宋" w:cs="Times New Roman"/>
          <w:sz w:val="32"/>
          <w:szCs w:val="32"/>
        </w:rPr>
        <w:t>制的《</w:t>
      </w:r>
      <w:r>
        <w:rPr>
          <w:rStyle w:val="17"/>
          <w:rFonts w:hint="eastAsia" w:ascii="仿宋" w:hAnsi="仿宋" w:eastAsia="仿宋" w:cs="Times New Roman"/>
          <w:sz w:val="32"/>
          <w:szCs w:val="32"/>
          <w:lang w:eastAsia="zh-CN"/>
        </w:rPr>
        <w:t>年产</w:t>
      </w:r>
      <w:r>
        <w:rPr>
          <w:rStyle w:val="17"/>
          <w:rFonts w:hint="default" w:ascii="仿宋" w:hAnsi="仿宋" w:eastAsia="仿宋" w:cs="Times New Roman"/>
          <w:sz w:val="32"/>
          <w:szCs w:val="32"/>
          <w:lang w:eastAsia="zh-CN"/>
        </w:rPr>
        <w:t>4</w:t>
      </w:r>
      <w:r>
        <w:rPr>
          <w:rStyle w:val="17"/>
          <w:rFonts w:hint="eastAsia" w:ascii="仿宋" w:hAnsi="仿宋" w:eastAsia="仿宋" w:cs="Times New Roman"/>
          <w:sz w:val="32"/>
          <w:szCs w:val="32"/>
          <w:lang w:eastAsia="zh-CN"/>
        </w:rPr>
        <w:t>GW高效组件建设</w:t>
      </w:r>
      <w:r>
        <w:rPr>
          <w:rStyle w:val="17"/>
          <w:rFonts w:hint="default" w:ascii="仿宋" w:hAnsi="仿宋" w:eastAsia="仿宋" w:cs="Times New Roman"/>
          <w:sz w:val="32"/>
          <w:szCs w:val="32"/>
          <w:lang w:eastAsia="zh-CN"/>
        </w:rPr>
        <w:t>项目</w:t>
      </w:r>
      <w:r>
        <w:rPr>
          <w:rStyle w:val="17"/>
          <w:rFonts w:hint="eastAsia" w:ascii="仿宋" w:hAnsi="仿宋" w:eastAsia="仿宋" w:cs="Times New Roman"/>
          <w:sz w:val="32"/>
          <w:szCs w:val="32"/>
        </w:rPr>
        <w:t>环境影响</w:t>
      </w:r>
      <w:r>
        <w:rPr>
          <w:rStyle w:val="17"/>
          <w:rFonts w:hint="eastAsia" w:ascii="仿宋" w:hAnsi="仿宋" w:eastAsia="仿宋"/>
          <w:sz w:val="32"/>
          <w:szCs w:val="32"/>
        </w:rPr>
        <w:t>报告表》（以下简称《报告表》）已收悉</w:t>
      </w:r>
      <w:r>
        <w:rPr>
          <w:rStyle w:val="17"/>
          <w:rFonts w:hint="eastAsia" w:ascii="仿宋" w:hAnsi="仿宋" w:eastAsia="仿宋"/>
          <w:sz w:val="32"/>
          <w:szCs w:val="32"/>
          <w:lang w:eastAsia="zh-CN"/>
        </w:rPr>
        <w:t>。</w:t>
      </w:r>
      <w:r>
        <w:rPr>
          <w:rStyle w:val="17"/>
          <w:rFonts w:hint="eastAsia" w:ascii="仿宋" w:hAnsi="仿宋" w:eastAsia="仿宋"/>
          <w:sz w:val="32"/>
          <w:szCs w:val="32"/>
          <w:lang w:val="en-US" w:eastAsia="zh-CN"/>
        </w:rPr>
        <w:t>经组织专家评审，集体研究，形成如下审批意见：</w:t>
      </w:r>
    </w:p>
    <w:p>
      <w:pPr>
        <w:keepNext w:val="0"/>
        <w:keepLines w:val="0"/>
        <w:pageBreakBefore w:val="0"/>
        <w:kinsoku/>
        <w:wordWrap/>
        <w:overflowPunct/>
        <w:topLinePunct w:val="0"/>
        <w:autoSpaceDE/>
        <w:autoSpaceDN/>
        <w:bidi w:val="0"/>
        <w:adjustRightInd/>
        <w:snapToGrid/>
        <w:spacing w:before="72" w:after="72" w:line="560" w:lineRule="exact"/>
        <w:ind w:right="119" w:firstLine="462"/>
        <w:jc w:val="both"/>
        <w:rPr>
          <w:rStyle w:val="17"/>
          <w:rFonts w:hint="eastAsia" w:ascii="仿宋" w:hAnsi="仿宋" w:eastAsia="仿宋"/>
          <w:color w:val="000000" w:themeColor="text1"/>
          <w:sz w:val="32"/>
          <w:szCs w:val="32"/>
          <w14:textFill>
            <w14:solidFill>
              <w14:schemeClr w14:val="tx1"/>
            </w14:solidFill>
          </w14:textFill>
        </w:rPr>
      </w:pPr>
      <w:r>
        <w:rPr>
          <w:rStyle w:val="17"/>
          <w:rFonts w:hint="eastAsia" w:ascii="仿宋" w:hAnsi="仿宋" w:eastAsia="仿宋"/>
          <w:sz w:val="32"/>
          <w:szCs w:val="32"/>
          <w:lang w:val="en-US" w:eastAsia="zh-CN"/>
        </w:rPr>
        <w:t>一、</w:t>
      </w:r>
      <w:r>
        <w:rPr>
          <w:rStyle w:val="17"/>
          <w:rFonts w:hint="eastAsia" w:ascii="仿宋" w:hAnsi="仿宋" w:eastAsia="仿宋"/>
          <w:sz w:val="32"/>
          <w:szCs w:val="32"/>
        </w:rPr>
        <w:t>该项目</w:t>
      </w:r>
      <w:r>
        <w:rPr>
          <w:rStyle w:val="17"/>
          <w:rFonts w:hint="eastAsia" w:ascii="仿宋" w:hAnsi="仿宋" w:eastAsia="仿宋"/>
          <w:color w:val="000000" w:themeColor="text1"/>
          <w:sz w:val="32"/>
          <w:szCs w:val="32"/>
          <w14:textFill>
            <w14:solidFill>
              <w14:schemeClr w14:val="tx1"/>
            </w14:solidFill>
          </w14:textFill>
        </w:rPr>
        <w:t>属于新建项目，位于鄂尔多斯市鄂尔多斯高新技术产业开发区装备制造产业园公园大街13号</w:t>
      </w:r>
      <w:r>
        <w:rPr>
          <w:rStyle w:val="17"/>
          <w:rFonts w:hint="eastAsia" w:ascii="仿宋" w:hAnsi="仿宋" w:eastAsia="仿宋"/>
          <w:color w:val="000000" w:themeColor="text1"/>
          <w:sz w:val="32"/>
          <w:szCs w:val="32"/>
          <w:lang w:val="en-US" w:eastAsia="zh-CN"/>
          <w14:textFill>
            <w14:solidFill>
              <w14:schemeClr w14:val="tx1"/>
            </w14:solidFill>
          </w14:textFill>
        </w:rPr>
        <w:t>。项目总</w:t>
      </w:r>
      <w:r>
        <w:rPr>
          <w:rStyle w:val="17"/>
          <w:rFonts w:hint="eastAsia" w:ascii="仿宋" w:hAnsi="仿宋" w:eastAsia="仿宋"/>
          <w:color w:val="000000" w:themeColor="text1"/>
          <w:sz w:val="32"/>
          <w:szCs w:val="32"/>
          <w:lang w:eastAsia="zh-CN"/>
          <w14:textFill>
            <w14:solidFill>
              <w14:schemeClr w14:val="tx1"/>
            </w14:solidFill>
          </w14:textFill>
        </w:rPr>
        <w:t>占地面积</w:t>
      </w:r>
      <w:r>
        <w:rPr>
          <w:rStyle w:val="17"/>
          <w:rFonts w:hint="eastAsia" w:ascii="仿宋" w:hAnsi="仿宋" w:eastAsia="仿宋"/>
          <w:color w:val="000000" w:themeColor="text1"/>
          <w:sz w:val="32"/>
          <w:szCs w:val="32"/>
          <w14:textFill>
            <w14:solidFill>
              <w14:schemeClr w14:val="tx1"/>
            </w14:solidFill>
          </w14:textFill>
        </w:rPr>
        <w:t>159885.06</w:t>
      </w:r>
      <w:r>
        <w:rPr>
          <w:rStyle w:val="17"/>
          <w:rFonts w:hint="eastAsia" w:ascii="仿宋" w:hAnsi="仿宋" w:eastAsia="仿宋"/>
          <w:color w:val="000000" w:themeColor="text1"/>
          <w:sz w:val="32"/>
          <w:szCs w:val="32"/>
          <w:lang w:eastAsia="zh-CN"/>
          <w14:textFill>
            <w14:solidFill>
              <w14:schemeClr w14:val="tx1"/>
            </w14:solidFill>
          </w14:textFill>
        </w:rPr>
        <w:t>平方米，</w:t>
      </w:r>
      <w:r>
        <w:rPr>
          <w:rStyle w:val="17"/>
          <w:rFonts w:hint="default" w:ascii="仿宋" w:hAnsi="仿宋" w:eastAsia="仿宋"/>
          <w:color w:val="000000" w:themeColor="text1"/>
          <w:sz w:val="32"/>
          <w:szCs w:val="32"/>
          <w14:textFill>
            <w14:solidFill>
              <w14:schemeClr w14:val="tx1"/>
            </w14:solidFill>
          </w14:textFill>
        </w:rPr>
        <w:t>总投资</w:t>
      </w:r>
      <w:r>
        <w:rPr>
          <w:rStyle w:val="17"/>
          <w:rFonts w:hint="eastAsia" w:ascii="仿宋" w:hAnsi="仿宋" w:eastAsia="仿宋"/>
          <w:color w:val="000000" w:themeColor="text1"/>
          <w:sz w:val="32"/>
          <w:szCs w:val="32"/>
          <w14:textFill>
            <w14:solidFill>
              <w14:schemeClr w14:val="tx1"/>
            </w14:solidFill>
          </w14:textFill>
        </w:rPr>
        <w:t>59309.12</w:t>
      </w:r>
      <w:r>
        <w:rPr>
          <w:rStyle w:val="17"/>
          <w:rFonts w:hint="eastAsia" w:ascii="仿宋" w:hAnsi="仿宋" w:eastAsia="仿宋"/>
          <w:color w:val="000000" w:themeColor="text1"/>
          <w:sz w:val="32"/>
          <w:szCs w:val="32"/>
          <w:lang w:val="en-US" w:eastAsia="zh-CN"/>
          <w14:textFill>
            <w14:solidFill>
              <w14:schemeClr w14:val="tx1"/>
            </w14:solidFill>
          </w14:textFill>
        </w:rPr>
        <w:t>万</w:t>
      </w:r>
      <w:r>
        <w:rPr>
          <w:rStyle w:val="17"/>
          <w:rFonts w:hint="default" w:ascii="仿宋" w:hAnsi="仿宋" w:eastAsia="仿宋"/>
          <w:color w:val="000000" w:themeColor="text1"/>
          <w:sz w:val="32"/>
          <w:szCs w:val="32"/>
          <w14:textFill>
            <w14:solidFill>
              <w14:schemeClr w14:val="tx1"/>
            </w14:solidFill>
          </w14:textFill>
        </w:rPr>
        <w:t>元，</w:t>
      </w:r>
      <w:r>
        <w:rPr>
          <w:rStyle w:val="17"/>
          <w:rFonts w:hint="eastAsia" w:ascii="仿宋" w:hAnsi="仿宋" w:eastAsia="仿宋"/>
          <w:color w:val="000000" w:themeColor="text1"/>
          <w:sz w:val="32"/>
          <w:szCs w:val="32"/>
          <w:lang w:eastAsia="zh-CN"/>
          <w14:textFill>
            <w14:solidFill>
              <w14:schemeClr w14:val="tx1"/>
            </w14:solidFill>
          </w14:textFill>
        </w:rPr>
        <w:t>其中</w:t>
      </w:r>
      <w:r>
        <w:rPr>
          <w:rStyle w:val="17"/>
          <w:rFonts w:hint="default" w:ascii="仿宋" w:hAnsi="仿宋" w:eastAsia="仿宋"/>
          <w:color w:val="000000" w:themeColor="text1"/>
          <w:sz w:val="32"/>
          <w:szCs w:val="32"/>
          <w14:textFill>
            <w14:solidFill>
              <w14:schemeClr w14:val="tx1"/>
            </w14:solidFill>
          </w14:textFill>
        </w:rPr>
        <w:t>环保投资</w:t>
      </w:r>
      <w:r>
        <w:rPr>
          <w:rStyle w:val="17"/>
          <w:rFonts w:hint="eastAsia" w:ascii="仿宋" w:hAnsi="仿宋" w:eastAsia="仿宋"/>
          <w:color w:val="000000" w:themeColor="text1"/>
          <w:sz w:val="32"/>
          <w:szCs w:val="32"/>
          <w14:textFill>
            <w14:solidFill>
              <w14:schemeClr w14:val="tx1"/>
            </w14:solidFill>
          </w14:textFill>
        </w:rPr>
        <w:t>149</w:t>
      </w:r>
      <w:r>
        <w:rPr>
          <w:rStyle w:val="17"/>
          <w:rFonts w:hint="eastAsia" w:ascii="仿宋" w:hAnsi="仿宋" w:eastAsia="仿宋"/>
          <w:color w:val="000000" w:themeColor="text1"/>
          <w:sz w:val="32"/>
          <w:szCs w:val="32"/>
          <w:lang w:val="en-US" w:eastAsia="zh-CN"/>
          <w14:textFill>
            <w14:solidFill>
              <w14:schemeClr w14:val="tx1"/>
            </w14:solidFill>
          </w14:textFill>
        </w:rPr>
        <w:t>万元</w:t>
      </w:r>
      <w:r>
        <w:rPr>
          <w:rStyle w:val="17"/>
          <w:rFonts w:hint="eastAsia" w:ascii="仿宋" w:hAnsi="仿宋" w:eastAsia="仿宋"/>
          <w:color w:val="000000" w:themeColor="text1"/>
          <w:sz w:val="32"/>
          <w:szCs w:val="32"/>
          <w14:textFill>
            <w14:solidFill>
              <w14:schemeClr w14:val="tx1"/>
            </w14:solidFill>
          </w14:textFill>
        </w:rPr>
        <w:t>。</w:t>
      </w:r>
      <w:r>
        <w:rPr>
          <w:rStyle w:val="17"/>
          <w:rFonts w:hint="eastAsia" w:ascii="仿宋" w:hAnsi="仿宋" w:eastAsia="仿宋"/>
          <w:color w:val="000000" w:themeColor="text1"/>
          <w:sz w:val="32"/>
          <w:szCs w:val="32"/>
          <w:lang w:eastAsia="zh-CN"/>
          <w14:textFill>
            <w14:solidFill>
              <w14:schemeClr w14:val="tx1"/>
            </w14:solidFill>
          </w14:textFill>
        </w:rPr>
        <w:t>主要建设内容及规模：</w:t>
      </w:r>
      <w:r>
        <w:rPr>
          <w:rStyle w:val="17"/>
          <w:rFonts w:hint="eastAsia" w:ascii="仿宋" w:hAnsi="仿宋" w:eastAsia="仿宋"/>
          <w:color w:val="000000" w:themeColor="text1"/>
          <w:sz w:val="32"/>
          <w:szCs w:val="32"/>
          <w:lang w:val="zh-CN"/>
          <w14:textFill>
            <w14:solidFill>
              <w14:schemeClr w14:val="tx1"/>
            </w14:solidFill>
          </w14:textFill>
        </w:rPr>
        <w:t>本项目新</w:t>
      </w:r>
      <w:r>
        <w:rPr>
          <w:rStyle w:val="17"/>
          <w:rFonts w:hint="eastAsia" w:ascii="仿宋" w:hAnsi="仿宋" w:eastAsia="仿宋"/>
          <w:color w:val="000000" w:themeColor="text1"/>
          <w:sz w:val="32"/>
          <w:szCs w:val="32"/>
          <w14:textFill>
            <w14:solidFill>
              <w14:schemeClr w14:val="tx1"/>
            </w14:solidFill>
          </w14:textFill>
        </w:rPr>
        <w:t>建</w:t>
      </w:r>
      <w:r>
        <w:rPr>
          <w:rStyle w:val="17"/>
          <w:rFonts w:hint="eastAsia" w:ascii="仿宋" w:hAnsi="仿宋" w:eastAsia="仿宋"/>
          <w:color w:val="000000" w:themeColor="text1"/>
          <w:sz w:val="32"/>
          <w:szCs w:val="32"/>
          <w:lang w:val="en-US" w:eastAsia="zh-CN"/>
          <w14:textFill>
            <w14:solidFill>
              <w14:schemeClr w14:val="tx1"/>
            </w14:solidFill>
          </w14:textFill>
        </w:rPr>
        <w:t>1</w:t>
      </w:r>
      <w:r>
        <w:rPr>
          <w:rStyle w:val="17"/>
          <w:rFonts w:hint="eastAsia" w:ascii="仿宋" w:hAnsi="仿宋" w:eastAsia="仿宋"/>
          <w:color w:val="000000" w:themeColor="text1"/>
          <w:sz w:val="32"/>
          <w:szCs w:val="32"/>
          <w:lang w:eastAsia="zh-CN"/>
          <w14:textFill>
            <w14:solidFill>
              <w14:schemeClr w14:val="tx1"/>
            </w14:solidFill>
          </w14:textFill>
        </w:rPr>
        <w:t>间</w:t>
      </w:r>
      <w:r>
        <w:rPr>
          <w:rStyle w:val="17"/>
          <w:rFonts w:hint="eastAsia" w:ascii="仿宋" w:hAnsi="仿宋" w:eastAsia="仿宋"/>
          <w:color w:val="000000" w:themeColor="text1"/>
          <w:sz w:val="32"/>
          <w:szCs w:val="32"/>
          <w14:textFill>
            <w14:solidFill>
              <w14:schemeClr w14:val="tx1"/>
            </w14:solidFill>
          </w14:textFill>
        </w:rPr>
        <w:t>组件车间，</w:t>
      </w:r>
      <w:r>
        <w:rPr>
          <w:rStyle w:val="17"/>
          <w:rFonts w:hint="eastAsia" w:ascii="仿宋" w:hAnsi="仿宋" w:eastAsia="仿宋"/>
          <w:color w:val="000000" w:themeColor="text1"/>
          <w:sz w:val="32"/>
          <w:szCs w:val="32"/>
          <w:lang w:val="en-US" w:eastAsia="zh-CN"/>
          <w14:textFill>
            <w14:solidFill>
              <w14:schemeClr w14:val="tx1"/>
            </w14:solidFill>
          </w14:textFill>
        </w:rPr>
        <w:t>内设</w:t>
      </w:r>
      <w:r>
        <w:rPr>
          <w:rStyle w:val="17"/>
          <w:rFonts w:hint="eastAsia" w:ascii="仿宋" w:hAnsi="仿宋" w:eastAsia="仿宋"/>
          <w:color w:val="000000" w:themeColor="text1"/>
          <w:sz w:val="32"/>
          <w:szCs w:val="32"/>
          <w14:textFill>
            <w14:solidFill>
              <w14:schemeClr w14:val="tx1"/>
            </w14:solidFill>
          </w14:textFill>
        </w:rPr>
        <w:t>4条光伏组件生产线</w:t>
      </w:r>
      <w:r>
        <w:rPr>
          <w:rStyle w:val="17"/>
          <w:rFonts w:hint="eastAsia" w:ascii="仿宋" w:hAnsi="仿宋" w:eastAsia="仿宋"/>
          <w:color w:val="000000" w:themeColor="text1"/>
          <w:sz w:val="32"/>
          <w:szCs w:val="32"/>
          <w:lang w:eastAsia="zh-CN"/>
          <w14:textFill>
            <w14:solidFill>
              <w14:schemeClr w14:val="tx1"/>
            </w14:solidFill>
          </w14:textFill>
        </w:rPr>
        <w:t>；</w:t>
      </w:r>
      <w:r>
        <w:rPr>
          <w:rStyle w:val="17"/>
          <w:rFonts w:hint="eastAsia" w:ascii="仿宋" w:hAnsi="仿宋" w:eastAsia="仿宋"/>
          <w:color w:val="000000" w:themeColor="text1"/>
          <w:sz w:val="32"/>
          <w:szCs w:val="32"/>
          <w:lang w:val="en-US" w:eastAsia="zh-CN"/>
          <w14:textFill>
            <w14:solidFill>
              <w14:schemeClr w14:val="tx1"/>
            </w14:solidFill>
          </w14:textFill>
        </w:rPr>
        <w:t>新建1间167</w:t>
      </w:r>
      <w:r>
        <w:rPr>
          <w:rStyle w:val="17"/>
          <w:rFonts w:hint="eastAsia" w:ascii="仿宋" w:hAnsi="仿宋" w:eastAsia="仿宋"/>
          <w:color w:val="000000" w:themeColor="text1"/>
          <w:sz w:val="32"/>
          <w:szCs w:val="32"/>
          <w:lang w:eastAsia="zh-CN"/>
          <w14:textFill>
            <w14:solidFill>
              <w14:schemeClr w14:val="tx1"/>
            </w14:solidFill>
          </w14:textFill>
        </w:rPr>
        <w:t>平方米</w:t>
      </w:r>
      <w:r>
        <w:rPr>
          <w:rStyle w:val="17"/>
          <w:rFonts w:hint="eastAsia" w:ascii="仿宋" w:hAnsi="仿宋" w:eastAsia="仿宋"/>
          <w:color w:val="000000" w:themeColor="text1"/>
          <w:sz w:val="32"/>
          <w:szCs w:val="32"/>
          <w14:textFill>
            <w14:solidFill>
              <w14:schemeClr w14:val="tx1"/>
            </w14:solidFill>
          </w14:textFill>
        </w:rPr>
        <w:t>危废</w:t>
      </w:r>
      <w:r>
        <w:rPr>
          <w:rStyle w:val="17"/>
          <w:rFonts w:hint="eastAsia" w:ascii="仿宋" w:hAnsi="仿宋" w:eastAsia="仿宋"/>
          <w:color w:val="000000" w:themeColor="text1"/>
          <w:sz w:val="32"/>
          <w:szCs w:val="32"/>
          <w:lang w:val="en-US" w:eastAsia="zh-CN"/>
          <w14:textFill>
            <w14:solidFill>
              <w14:schemeClr w14:val="tx1"/>
            </w14:solidFill>
          </w14:textFill>
        </w:rPr>
        <w:t>暂</w:t>
      </w:r>
      <w:r>
        <w:rPr>
          <w:rStyle w:val="17"/>
          <w:rFonts w:hint="eastAsia" w:ascii="仿宋" w:hAnsi="仿宋" w:eastAsia="仿宋"/>
          <w:color w:val="000000" w:themeColor="text1"/>
          <w:sz w:val="32"/>
          <w:szCs w:val="32"/>
          <w14:textFill>
            <w14:solidFill>
              <w14:schemeClr w14:val="tx1"/>
            </w14:solidFill>
          </w14:textFill>
        </w:rPr>
        <w:t>存库</w:t>
      </w:r>
      <w:r>
        <w:rPr>
          <w:rStyle w:val="17"/>
          <w:rFonts w:hint="eastAsia" w:ascii="仿宋" w:hAnsi="仿宋" w:eastAsia="仿宋"/>
          <w:color w:val="000000" w:themeColor="text1"/>
          <w:sz w:val="32"/>
          <w:szCs w:val="32"/>
          <w:lang w:eastAsia="zh-CN"/>
          <w14:textFill>
            <w14:solidFill>
              <w14:schemeClr w14:val="tx1"/>
            </w14:solidFill>
          </w14:textFill>
        </w:rPr>
        <w:t>，</w:t>
      </w:r>
      <w:r>
        <w:rPr>
          <w:rStyle w:val="17"/>
          <w:rFonts w:hint="eastAsia" w:ascii="仿宋" w:hAnsi="仿宋" w:eastAsia="仿宋"/>
          <w:color w:val="000000" w:themeColor="text1"/>
          <w:sz w:val="32"/>
          <w:szCs w:val="32"/>
          <w:lang w:val="en-US" w:eastAsia="zh-CN"/>
          <w14:textFill>
            <w14:solidFill>
              <w14:schemeClr w14:val="tx1"/>
            </w14:solidFill>
          </w14:textFill>
        </w:rPr>
        <w:t>配套建设公辅工程、防渗工程和环保工程等。</w:t>
      </w:r>
      <w:r>
        <w:rPr>
          <w:rStyle w:val="17"/>
          <w:rFonts w:hint="eastAsia" w:ascii="仿宋" w:hAnsi="仿宋" w:eastAsia="仿宋"/>
          <w:color w:val="000000" w:themeColor="text1"/>
          <w:sz w:val="32"/>
          <w:szCs w:val="32"/>
          <w14:textFill>
            <w14:solidFill>
              <w14:schemeClr w14:val="tx1"/>
            </w14:solidFill>
          </w14:textFill>
        </w:rPr>
        <w:t>项目建成后，可达成年产4GW高效光伏组件。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olor w:val="000000" w:themeColor="text1"/>
          <w:sz w:val="32"/>
          <w:szCs w:val="32"/>
          <w14:textFill>
            <w14:solidFill>
              <w14:schemeClr w14:val="tx1"/>
            </w14:solidFill>
          </w14:textFill>
        </w:rPr>
      </w:pPr>
      <w:r>
        <w:rPr>
          <w:rStyle w:val="17"/>
          <w:rFonts w:hint="eastAsia" w:ascii="仿宋" w:hAnsi="仿宋" w:eastAsia="仿宋"/>
          <w:color w:val="000000" w:themeColor="text1"/>
          <w:sz w:val="32"/>
          <w:szCs w:val="32"/>
          <w14:textFill>
            <w14:solidFill>
              <w14:schemeClr w14:val="tx1"/>
            </w14:solidFill>
          </w14:textFill>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default" w:ascii="仿宋" w:hAnsi="仿宋" w:eastAsia="仿宋"/>
          <w:color w:val="000000" w:themeColor="text1"/>
          <w:sz w:val="32"/>
          <w:szCs w:val="32"/>
          <w:lang w:val="en-US"/>
          <w14:textFill>
            <w14:solidFill>
              <w14:schemeClr w14:val="tx1"/>
            </w14:solidFill>
          </w14:textFill>
        </w:rPr>
      </w:pPr>
      <w:r>
        <w:rPr>
          <w:rStyle w:val="17"/>
          <w:rFonts w:hint="eastAsia" w:ascii="仿宋" w:hAnsi="仿宋" w:eastAsia="仿宋"/>
          <w:color w:val="000000" w:themeColor="text1"/>
          <w:sz w:val="32"/>
          <w:szCs w:val="32"/>
          <w:lang w:val="en-US" w:eastAsia="zh-CN"/>
          <w14:textFill>
            <w14:solidFill>
              <w14:schemeClr w14:val="tx1"/>
            </w14:solidFill>
          </w14:textFill>
        </w:rPr>
        <w:t>二、在项目工程设计、建设和环境管理中，你单位必须严格落实</w:t>
      </w:r>
      <w:r>
        <w:rPr>
          <w:rStyle w:val="17"/>
          <w:rFonts w:hint="eastAsia" w:ascii="仿宋" w:hAnsi="仿宋" w:eastAsia="仿宋"/>
          <w:color w:val="000000" w:themeColor="text1"/>
          <w:sz w:val="32"/>
          <w:szCs w:val="32"/>
          <w14:textFill>
            <w14:solidFill>
              <w14:schemeClr w14:val="tx1"/>
            </w14:solidFill>
          </w14:textFill>
        </w:rPr>
        <w:t>《报告表》</w:t>
      </w:r>
      <w:r>
        <w:rPr>
          <w:rStyle w:val="17"/>
          <w:rFonts w:hint="eastAsia" w:ascii="仿宋" w:hAnsi="仿宋" w:eastAsia="仿宋"/>
          <w:color w:val="000000" w:themeColor="text1"/>
          <w:sz w:val="32"/>
          <w:szCs w:val="32"/>
          <w:lang w:val="en-US" w:eastAsia="zh-CN"/>
          <w14:textFill>
            <w14:solidFill>
              <w14:schemeClr w14:val="tx1"/>
            </w14:solidFill>
          </w14:textFill>
        </w:rPr>
        <w:t>中提出的各项环保措施和要求，确保各项污染物稳定达标排放，并须着重做好以下工作：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（一）严格落实施工期污染防治措施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Style w:val="17"/>
          <w:rFonts w:hint="eastAsia" w:ascii="仿宋" w:hAnsi="仿宋" w:eastAsia="仿宋"/>
          <w:color w:val="000000" w:themeColor="text1"/>
          <w:sz w:val="32"/>
          <w:szCs w:val="32"/>
          <w:lang w:val="en-US" w:eastAsia="zh-CN"/>
          <w14:textFill>
            <w14:solidFill>
              <w14:schemeClr w14:val="tx1"/>
            </w14:solidFill>
          </w14:textFill>
        </w:rPr>
        <w:t>1、</w:t>
      </w:r>
      <w:r>
        <w:rPr>
          <w:rStyle w:val="17"/>
          <w:rFonts w:hint="eastAsia" w:ascii="仿宋" w:hAnsi="仿宋" w:eastAsia="仿宋"/>
          <w:color w:val="000000" w:themeColor="text1"/>
          <w:sz w:val="32"/>
          <w:szCs w:val="32"/>
          <w14:textFill>
            <w14:solidFill>
              <w14:schemeClr w14:val="tx1"/>
            </w14:solidFill>
          </w14:textFill>
        </w:rPr>
        <w:t>加强</w:t>
      </w:r>
      <w:r>
        <w:rPr>
          <w:rStyle w:val="17"/>
          <w:rFonts w:hint="eastAsia" w:ascii="仿宋" w:hAnsi="仿宋" w:eastAsia="仿宋" w:cs="Times New Roman"/>
          <w:color w:val="000000" w:themeColor="text1"/>
          <w:sz w:val="32"/>
          <w:szCs w:val="32"/>
          <w14:textFill>
            <w14:solidFill>
              <w14:schemeClr w14:val="tx1"/>
            </w14:solidFill>
          </w14:textFill>
        </w:rPr>
        <w:t>施工期环境管理，配备足够的洒水车、篷布等防尘设备，有效控制施工期挖土、物料装卸、物料运输过程中产生的扬尘污染。</w:t>
      </w:r>
      <w:r>
        <w:rPr>
          <w:rFonts w:ascii="仿宋" w:hAnsi="仿宋" w:eastAsia="仿宋" w:cs="仿宋"/>
          <w:color w:val="000000" w:themeColor="text1"/>
          <w:sz w:val="32"/>
          <w:szCs w:val="32"/>
          <w14:textFill>
            <w14:solidFill>
              <w14:schemeClr w14:val="tx1"/>
            </w14:solidFill>
          </w14:textFill>
        </w:rPr>
        <w:t>施工期大气污染物排放执行《大气污染物综合排放标准》</w:t>
      </w:r>
      <w:r>
        <w:rPr>
          <w:rFonts w:hint="eastAsia" w:ascii="仿宋" w:hAnsi="仿宋" w:eastAsia="仿宋" w:cs="仿宋"/>
          <w:color w:val="000000" w:themeColor="text1"/>
          <w:sz w:val="32"/>
          <w:szCs w:val="32"/>
          <w14:textFill>
            <w14:solidFill>
              <w14:schemeClr w14:val="tx1"/>
            </w14:solidFill>
          </w14:textFill>
        </w:rPr>
        <w:t>（</w:t>
      </w:r>
      <w:r>
        <w:rPr>
          <w:rFonts w:ascii="仿宋" w:hAnsi="仿宋" w:eastAsia="仿宋" w:cs="仿宋"/>
          <w:color w:val="000000" w:themeColor="text1"/>
          <w:sz w:val="32"/>
          <w:szCs w:val="32"/>
          <w14:textFill>
            <w14:solidFill>
              <w14:schemeClr w14:val="tx1"/>
            </w14:solidFill>
          </w14:textFill>
        </w:rPr>
        <w:t>GB16297-1996</w:t>
      </w:r>
      <w:r>
        <w:rPr>
          <w:rFonts w:hint="eastAsia" w:ascii="仿宋" w:hAnsi="仿宋" w:eastAsia="仿宋" w:cs="仿宋"/>
          <w:color w:val="000000" w:themeColor="text1"/>
          <w:sz w:val="32"/>
          <w:szCs w:val="32"/>
          <w14:textFill>
            <w14:solidFill>
              <w14:schemeClr w14:val="tx1"/>
            </w14:solidFill>
          </w14:textFill>
        </w:rPr>
        <w:t>）</w:t>
      </w:r>
      <w:r>
        <w:rPr>
          <w:rFonts w:ascii="仿宋" w:hAnsi="仿宋" w:eastAsia="仿宋" w:cs="仿宋"/>
          <w:color w:val="000000" w:themeColor="text1"/>
          <w:sz w:val="32"/>
          <w:szCs w:val="32"/>
          <w14:textFill>
            <w14:solidFill>
              <w14:schemeClr w14:val="tx1"/>
            </w14:solidFill>
          </w14:textFill>
        </w:rPr>
        <w:t>表2</w:t>
      </w:r>
      <w:r>
        <w:rPr>
          <w:rFonts w:hint="eastAsia" w:ascii="仿宋" w:hAnsi="仿宋" w:eastAsia="仿宋" w:cs="仿宋"/>
          <w:color w:val="000000" w:themeColor="text1"/>
          <w:sz w:val="32"/>
          <w:szCs w:val="32"/>
          <w14:textFill>
            <w14:solidFill>
              <w14:schemeClr w14:val="tx1"/>
            </w14:solidFill>
          </w14:textFill>
        </w:rPr>
        <w:t>中无组织排放监控浓度限值。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2、施工废水不外排。施工人员生活污水经</w:t>
      </w:r>
      <w:r>
        <w:rPr>
          <w:rFonts w:hint="eastAsia" w:ascii="仿宋" w:hAnsi="仿宋" w:eastAsia="仿宋" w:cs="仿宋"/>
          <w:color w:val="000000" w:themeColor="text1"/>
          <w:sz w:val="32"/>
          <w:szCs w:val="32"/>
          <w14:textFill>
            <w14:solidFill>
              <w14:schemeClr w14:val="tx1"/>
            </w14:solidFill>
          </w14:textFill>
        </w:rPr>
        <w:t>化粪池沉淀</w:t>
      </w:r>
      <w:r>
        <w:rPr>
          <w:rFonts w:hint="eastAsia" w:ascii="仿宋" w:hAnsi="仿宋" w:eastAsia="仿宋" w:cs="仿宋"/>
          <w:color w:val="000000" w:themeColor="text1"/>
          <w:sz w:val="32"/>
          <w:szCs w:val="32"/>
          <w:lang w:val="en-US" w:eastAsia="zh-CN"/>
          <w14:textFill>
            <w14:solidFill>
              <w14:schemeClr w14:val="tx1"/>
            </w14:solidFill>
          </w14:textFill>
        </w:rPr>
        <w:t>后排入市政污水管网。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3、选用低噪声施工设备，合理安排作业时间，避免夜间施工，控制车辆时速。施工期噪声执行《建筑施工场界环境噪声排放标准》（GB12523-2011）。</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4、固体废物集中堆放及时清运交有关部门进行相关处理。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（二）严格落实运营期污染防治措施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bidi="ar-SA"/>
          <w14:textFill>
            <w14:solidFill>
              <w14:schemeClr w14:val="tx1"/>
            </w14:solidFill>
          </w14:textFill>
        </w:rPr>
        <w:t>1、</w:t>
      </w:r>
      <w:r>
        <w:rPr>
          <w:rFonts w:hint="default" w:ascii="仿宋" w:hAnsi="仿宋" w:eastAsia="仿宋" w:cs="仿宋"/>
          <w:color w:val="000000" w:themeColor="text1"/>
          <w:kern w:val="0"/>
          <w:sz w:val="32"/>
          <w:szCs w:val="32"/>
          <w:lang w:val="en-US" w:eastAsia="zh-CN" w:bidi="ar-SA"/>
          <w14:textFill>
            <w14:solidFill>
              <w14:schemeClr w14:val="tx1"/>
            </w14:solidFill>
          </w14:textFill>
        </w:rPr>
        <w:t>运营期生产过程全封闭</w:t>
      </w:r>
      <w:r>
        <w:rPr>
          <w:rFonts w:hint="eastAsia" w:ascii="仿宋" w:hAnsi="仿宋" w:eastAsia="仿宋" w:cs="仿宋"/>
          <w:color w:val="000000" w:themeColor="text1"/>
          <w:kern w:val="0"/>
          <w:sz w:val="32"/>
          <w:szCs w:val="32"/>
          <w:lang w:val="en-US" w:eastAsia="zh-CN" w:bidi="ar-SA"/>
          <w14:textFill>
            <w14:solidFill>
              <w14:schemeClr w14:val="tx1"/>
            </w14:solidFill>
          </w14:textFill>
        </w:rPr>
        <w:t>。</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串焊废气、叠焊废气、返修焊接废气经收集处理后由排气筒排放，执行《大气污染物综合排放标准》（GB16279-1996）表2中二级标准；层压废气、固化废气、实验室废气经收集处理后由另一根排气筒排放，执行《大气污染物综合排放标准》（GB16279-1996）表2中二级标准。厂房外无组织非甲烷总烃执行《挥发性有机物无组织排放控制标准》（GB37822-2019）表A.1中无组织排放限值。项目废气无组织排放执行《大气污染物综合排放标准》（GB16297-1996）表2中无组织排放监控浓度限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color w:val="000000" w:themeColor="text1"/>
          <w:sz w:val="32"/>
          <w:szCs w:val="32"/>
          <w:lang w:val="en-US" w:eastAsia="zh-CN"/>
          <w14:textFill>
            <w14:solidFill>
              <w14:schemeClr w14:val="tx1"/>
            </w14:solidFill>
          </w14:textFill>
        </w:rPr>
      </w:pP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2、</w:t>
      </w:r>
      <w:r>
        <w:rPr>
          <w:rStyle w:val="17"/>
          <w:rFonts w:hint="default" w:ascii="仿宋" w:hAnsi="仿宋" w:eastAsia="仿宋" w:cs="Times New Roman"/>
          <w:color w:val="000000" w:themeColor="text1"/>
          <w:sz w:val="32"/>
          <w:szCs w:val="32"/>
          <w:lang w:val="en-US" w:eastAsia="zh-CN"/>
          <w14:textFill>
            <w14:solidFill>
              <w14:schemeClr w14:val="tx1"/>
            </w14:solidFill>
          </w14:textFill>
        </w:rPr>
        <w:t>运</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营</w:t>
      </w:r>
      <w:r>
        <w:rPr>
          <w:rStyle w:val="17"/>
          <w:rFonts w:hint="default" w:ascii="仿宋" w:hAnsi="仿宋" w:eastAsia="仿宋" w:cs="Times New Roman"/>
          <w:color w:val="000000" w:themeColor="text1"/>
          <w:sz w:val="32"/>
          <w:szCs w:val="32"/>
          <w:lang w:val="en-US" w:eastAsia="zh-CN"/>
          <w14:textFill>
            <w14:solidFill>
              <w14:schemeClr w14:val="tx1"/>
            </w14:solidFill>
          </w14:textFill>
        </w:rPr>
        <w:t>期</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不产生生产废水。</w:t>
      </w:r>
      <w:r>
        <w:rPr>
          <w:rStyle w:val="17"/>
          <w:rFonts w:hint="default" w:ascii="仿宋" w:hAnsi="仿宋" w:eastAsia="仿宋" w:cs="Times New Roman"/>
          <w:color w:val="000000" w:themeColor="text1"/>
          <w:sz w:val="32"/>
          <w:szCs w:val="32"/>
          <w:lang w:val="en-US" w:eastAsia="zh-CN"/>
          <w14:textFill>
            <w14:solidFill>
              <w14:schemeClr w14:val="tx1"/>
            </w14:solidFill>
          </w14:textFill>
        </w:rPr>
        <w:t>生活污水经化粪池</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沉淀</w:t>
      </w:r>
      <w:r>
        <w:rPr>
          <w:rStyle w:val="17"/>
          <w:rFonts w:hint="default" w:ascii="仿宋" w:hAnsi="仿宋" w:eastAsia="仿宋" w:cs="Times New Roman"/>
          <w:color w:val="000000" w:themeColor="text1"/>
          <w:sz w:val="32"/>
          <w:szCs w:val="32"/>
          <w:lang w:val="en-US" w:eastAsia="zh-CN"/>
          <w14:textFill>
            <w14:solidFill>
              <w14:schemeClr w14:val="tx1"/>
            </w14:solidFill>
          </w14:textFill>
        </w:rPr>
        <w:t>后</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排入市政污水管网。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color w:val="000000" w:themeColor="text1"/>
          <w14:textFill>
            <w14:solidFill>
              <w14:schemeClr w14:val="tx1"/>
            </w14:solidFill>
          </w14:textFill>
        </w:rPr>
      </w:pPr>
      <w:r>
        <w:rPr>
          <w:rStyle w:val="17"/>
          <w:rFonts w:hint="eastAsia" w:ascii="仿宋" w:hAnsi="仿宋" w:eastAsia="仿宋"/>
          <w:color w:val="000000" w:themeColor="text1"/>
          <w:sz w:val="32"/>
          <w:szCs w:val="32"/>
          <w:lang w:val="en-US" w:eastAsia="zh-CN"/>
          <w14:textFill>
            <w14:solidFill>
              <w14:schemeClr w14:val="tx1"/>
            </w14:solidFill>
          </w14:textFill>
        </w:rPr>
        <w:t>3、</w:t>
      </w:r>
      <w:r>
        <w:rPr>
          <w:rStyle w:val="17"/>
          <w:rFonts w:hint="eastAsia" w:ascii="仿宋" w:hAnsi="仿宋" w:eastAsia="仿宋"/>
          <w:color w:val="000000" w:themeColor="text1"/>
          <w:sz w:val="32"/>
          <w:szCs w:val="32"/>
          <w14:textFill>
            <w14:solidFill>
              <w14:schemeClr w14:val="tx1"/>
            </w14:solidFill>
          </w14:textFill>
        </w:rPr>
        <w:t>运营期厂界噪声执行《工业企业厂界环境噪声排放</w:t>
      </w:r>
      <w:r>
        <w:rPr>
          <w:rStyle w:val="17"/>
          <w:rFonts w:hint="eastAsia" w:ascii="仿宋" w:hAnsi="仿宋" w:eastAsia="仿宋"/>
          <w:color w:val="000000" w:themeColor="text1"/>
          <w:sz w:val="32"/>
          <w:szCs w:val="32"/>
          <w:lang w:val="en-US" w:eastAsia="zh-CN"/>
          <w14:textFill>
            <w14:solidFill>
              <w14:schemeClr w14:val="tx1"/>
            </w14:solidFill>
          </w14:textFill>
        </w:rPr>
        <w:t>标</w:t>
      </w:r>
      <w:r>
        <w:rPr>
          <w:rStyle w:val="17"/>
          <w:rFonts w:hint="eastAsia" w:ascii="仿宋" w:hAnsi="仿宋" w:eastAsia="仿宋"/>
          <w:color w:val="000000" w:themeColor="text1"/>
          <w:sz w:val="32"/>
          <w:szCs w:val="32"/>
          <w14:textFill>
            <w14:solidFill>
              <w14:schemeClr w14:val="tx1"/>
            </w14:solidFill>
          </w14:textFill>
        </w:rPr>
        <w:t>准》（GB12348-2008）中</w:t>
      </w:r>
      <w:r>
        <w:rPr>
          <w:rStyle w:val="17"/>
          <w:rFonts w:hint="eastAsia" w:ascii="仿宋" w:hAnsi="仿宋" w:eastAsia="仿宋"/>
          <w:color w:val="000000" w:themeColor="text1"/>
          <w:sz w:val="32"/>
          <w:szCs w:val="32"/>
          <w:lang w:val="en-US" w:eastAsia="zh-CN"/>
          <w14:textFill>
            <w14:solidFill>
              <w14:schemeClr w14:val="tx1"/>
            </w14:solidFill>
          </w14:textFill>
        </w:rPr>
        <w:t>3</w:t>
      </w:r>
      <w:r>
        <w:rPr>
          <w:rStyle w:val="17"/>
          <w:rFonts w:hint="eastAsia" w:ascii="仿宋" w:hAnsi="仿宋" w:eastAsia="仿宋"/>
          <w:color w:val="000000" w:themeColor="text1"/>
          <w:sz w:val="32"/>
          <w:szCs w:val="32"/>
          <w14:textFill>
            <w14:solidFill>
              <w14:schemeClr w14:val="tx1"/>
            </w14:solidFill>
          </w14:textFill>
        </w:rPr>
        <w:t>类标准。</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color w:val="000000" w:themeColor="text1"/>
          <w14:textFill>
            <w14:solidFill>
              <w14:schemeClr w14:val="tx1"/>
            </w14:solidFill>
          </w14:textFill>
        </w:rPr>
      </w:pPr>
      <w:r>
        <w:rPr>
          <w:rFonts w:hint="eastAsia" w:ascii="仿宋" w:hAnsi="仿宋" w:eastAsia="仿宋" w:cs="仿宋"/>
          <w:strike w:val="0"/>
          <w:dstrike w:val="0"/>
          <w:color w:val="000000" w:themeColor="text1"/>
          <w:kern w:val="0"/>
          <w:sz w:val="32"/>
          <w:szCs w:val="32"/>
          <w:lang w:val="en-US" w:eastAsia="zh-CN" w:bidi="ar-SA"/>
          <w14:textFill>
            <w14:solidFill>
              <w14:schemeClr w14:val="tx1"/>
            </w14:solidFill>
          </w14:textFill>
        </w:rPr>
        <w:t>4、妥善处置各类固体废弃物。建设单位须严格按照《一般工业固体废物贮存和填埋污染控制标准》（GB18599-2020）处置一般固废，不得乱弃。</w:t>
      </w:r>
      <w:r>
        <w:rPr>
          <w:rFonts w:hint="default" w:ascii="仿宋" w:hAnsi="仿宋" w:eastAsia="仿宋" w:cs="仿宋"/>
          <w:color w:val="000000" w:themeColor="text1"/>
          <w:sz w:val="32"/>
          <w:szCs w:val="32"/>
          <w:lang w:val="en-US"/>
          <w14:textFill>
            <w14:solidFill>
              <w14:schemeClr w14:val="tx1"/>
            </w14:solidFill>
          </w14:textFill>
        </w:rPr>
        <w:t>危废暂存库须严格按照《危险废物贮存污染控制标准》（GB18597-20</w:t>
      </w:r>
      <w:r>
        <w:rPr>
          <w:rFonts w:hint="eastAsia" w:ascii="仿宋" w:hAnsi="仿宋" w:eastAsia="仿宋" w:cs="仿宋"/>
          <w:color w:val="000000" w:themeColor="text1"/>
          <w:sz w:val="32"/>
          <w:szCs w:val="32"/>
          <w:lang w:val="en-US" w:eastAsia="zh-CN"/>
          <w14:textFill>
            <w14:solidFill>
              <w14:schemeClr w14:val="tx1"/>
            </w14:solidFill>
          </w14:textFill>
        </w:rPr>
        <w:t>23</w:t>
      </w:r>
      <w:r>
        <w:rPr>
          <w:rFonts w:hint="default" w:ascii="仿宋" w:hAnsi="仿宋" w:eastAsia="仿宋" w:cs="仿宋"/>
          <w:color w:val="000000" w:themeColor="text1"/>
          <w:sz w:val="32"/>
          <w:szCs w:val="32"/>
          <w:lang w:val="en-US"/>
          <w14:textFill>
            <w14:solidFill>
              <w14:schemeClr w14:val="tx1"/>
            </w14:solidFill>
          </w14:textFill>
        </w:rPr>
        <w:t>）进行设计、建设和管理。</w:t>
      </w:r>
      <w:r>
        <w:rPr>
          <w:rFonts w:hint="eastAsia" w:ascii="仿宋" w:hAnsi="仿宋" w:eastAsia="仿宋" w:cs="仿宋"/>
          <w:strike w:val="0"/>
          <w:dstrike w:val="0"/>
          <w:color w:val="000000" w:themeColor="text1"/>
          <w:kern w:val="0"/>
          <w:sz w:val="32"/>
          <w:szCs w:val="32"/>
          <w:lang w:val="en-US" w:eastAsia="zh-CN" w:bidi="ar-SA"/>
          <w14:textFill>
            <w14:solidFill>
              <w14:schemeClr w14:val="tx1"/>
            </w14:solidFill>
          </w14:textFill>
        </w:rPr>
        <w:t>危险废物收集和运输等均按照《危险废物收集 贮存 运输技术规范》(HJ2025-2012)要求执行。</w:t>
      </w:r>
      <w:r>
        <w:rPr>
          <w:rFonts w:hint="eastAsia" w:ascii="仿宋" w:hAnsi="仿宋" w:eastAsia="仿宋" w:cs="仿宋"/>
          <w:color w:val="000000" w:themeColor="text1"/>
          <w:sz w:val="32"/>
          <w:szCs w:val="32"/>
          <w14:textFill>
            <w14:solidFill>
              <w14:schemeClr w14:val="tx1"/>
            </w14:solidFill>
          </w14:textFill>
        </w:rPr>
        <w:t>危废必须由有资质单位处置。</w:t>
      </w:r>
      <w:r>
        <w:rPr>
          <w:rFonts w:hint="eastAsia" w:ascii="仿宋" w:hAnsi="仿宋" w:eastAsia="仿宋" w:cs="仿宋"/>
          <w:color w:val="000000" w:themeColor="text1"/>
          <w:sz w:val="32"/>
          <w:szCs w:val="32"/>
          <w:lang w:val="en-US" w:eastAsia="zh-CN"/>
          <w14:textFill>
            <w14:solidFill>
              <w14:schemeClr w14:val="tx1"/>
            </w14:solidFill>
          </w14:textFill>
        </w:rPr>
        <w:t>非正常情况下泄露的危险废物及冲洗水进入</w:t>
      </w:r>
      <w:r>
        <w:rPr>
          <w:rFonts w:hint="default" w:ascii="仿宋" w:hAnsi="仿宋" w:eastAsia="仿宋" w:cs="仿宋"/>
          <w:color w:val="000000" w:themeColor="text1"/>
          <w:sz w:val="32"/>
          <w:szCs w:val="32"/>
          <w:lang w:val="en-US" w:eastAsia="zh-CN"/>
          <w14:textFill>
            <w14:solidFill>
              <w14:schemeClr w14:val="tx1"/>
            </w14:solidFill>
          </w14:textFill>
        </w:rPr>
        <w:t>应急事故池</w:t>
      </w:r>
      <w:r>
        <w:rPr>
          <w:rFonts w:hint="eastAsia" w:ascii="仿宋" w:hAnsi="仿宋" w:eastAsia="仿宋" w:cs="仿宋"/>
          <w:color w:val="000000" w:themeColor="text1"/>
          <w:sz w:val="32"/>
          <w:szCs w:val="32"/>
          <w:lang w:val="en-US" w:eastAsia="zh-CN"/>
          <w14:textFill>
            <w14:solidFill>
              <w14:schemeClr w14:val="tx1"/>
            </w14:solidFill>
          </w14:textFill>
        </w:rPr>
        <w:t>中，收集后交由有资质单位处置。</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color w:val="000000" w:themeColor="text1"/>
          <w14:textFill>
            <w14:solidFill>
              <w14:schemeClr w14:val="tx1"/>
            </w14:solidFill>
          </w14:textFill>
        </w:rPr>
      </w:pPr>
      <w:r>
        <w:rPr>
          <w:rStyle w:val="17"/>
          <w:rFonts w:hint="eastAsia" w:ascii="仿宋" w:hAnsi="仿宋" w:eastAsia="仿宋"/>
          <w:color w:val="000000" w:themeColor="text1"/>
          <w:sz w:val="32"/>
          <w:szCs w:val="32"/>
          <w:lang w:val="en-US" w:eastAsia="zh-CN"/>
          <w14:textFill>
            <w14:solidFill>
              <w14:schemeClr w14:val="tx1"/>
            </w14:solidFill>
          </w14:textFill>
        </w:rPr>
        <w:t>5、地面须按相关要求做好防渗措施，确保不会对地下水造成影响。</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color w:val="000000" w:themeColor="text1"/>
          <w14:textFill>
            <w14:solidFill>
              <w14:schemeClr w14:val="tx1"/>
            </w14:solidFill>
          </w14:textFill>
        </w:rPr>
      </w:pPr>
      <w:r>
        <w:rPr>
          <w:rFonts w:hint="eastAsia" w:ascii="仿宋" w:hAnsi="仿宋" w:eastAsia="仿宋" w:cs="仿宋"/>
          <w:strike w:val="0"/>
          <w:dstrike w:val="0"/>
          <w:color w:val="000000" w:themeColor="text1"/>
          <w:kern w:val="0"/>
          <w:sz w:val="32"/>
          <w:szCs w:val="32"/>
          <w:lang w:val="en-US" w:eastAsia="zh-CN" w:bidi="ar-SA"/>
          <w14:textFill>
            <w14:solidFill>
              <w14:schemeClr w14:val="tx1"/>
            </w14:solidFill>
          </w14:textFill>
        </w:rPr>
        <w:t>6、强化环境风险防范，制定突发环境事件应急预案，落实环境风险事故防范措施，提高事故风险防范和污染控制能力。</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strike w:val="0"/>
          <w:dstrike w:val="0"/>
          <w:color w:val="000000" w:themeColor="text1"/>
          <w:kern w:val="0"/>
          <w:sz w:val="32"/>
          <w:szCs w:val="32"/>
          <w:lang w:val="en-US" w:eastAsia="zh-CN" w:bidi="ar-SA"/>
          <w14:textFill>
            <w14:solidFill>
              <w14:schemeClr w14:val="tx1"/>
            </w14:solidFill>
          </w14:textFill>
        </w:rPr>
      </w:pPr>
      <w:r>
        <w:rPr>
          <w:rFonts w:hint="eastAsia" w:ascii="仿宋" w:hAnsi="仿宋" w:eastAsia="仿宋" w:cs="仿宋"/>
          <w:strike w:val="0"/>
          <w:dstrike w:val="0"/>
          <w:color w:val="000000" w:themeColor="text1"/>
          <w:kern w:val="0"/>
          <w:sz w:val="32"/>
          <w:szCs w:val="32"/>
          <w:lang w:val="en-US" w:eastAsia="zh-CN" w:bidi="ar-SA"/>
          <w14:textFill>
            <w14:solidFill>
              <w14:schemeClr w14:val="tx1"/>
            </w14:solidFill>
          </w14:textFill>
        </w:rPr>
        <w:t>7、按照《排污口规范化整治技术要求》（环监〔1996〕470号）规范设置排污口。</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7"/>
          <w:rFonts w:ascii="仿宋" w:hAnsi="仿宋" w:eastAsia="仿宋"/>
          <w:color w:val="000000" w:themeColor="text1"/>
          <w:sz w:val="32"/>
          <w:szCs w:val="32"/>
          <w14:textFill>
            <w14:solidFill>
              <w14:schemeClr w14:val="tx1"/>
            </w14:solidFill>
          </w14:textFill>
        </w:rPr>
      </w:pPr>
      <w:r>
        <w:rPr>
          <w:rFonts w:hint="eastAsia" w:ascii="仿宋" w:hAnsi="仿宋" w:eastAsia="仿宋" w:cs="仿宋"/>
          <w:strike w:val="0"/>
          <w:dstrike w:val="0"/>
          <w:color w:val="000000" w:themeColor="text1"/>
          <w:kern w:val="0"/>
          <w:sz w:val="32"/>
          <w:szCs w:val="32"/>
          <w:lang w:val="en-US" w:eastAsia="zh-CN" w:bidi="ar-SA"/>
          <w14:textFill>
            <w14:solidFill>
              <w14:schemeClr w14:val="tx1"/>
            </w14:solidFill>
          </w14:textFill>
        </w:rPr>
        <w:t>你单位应委托有相应资质的设计单位对建设项目重点环保设施进行设计，并在项目施工及运行过程中严</w:t>
      </w:r>
      <w:bookmarkStart w:id="0" w:name="_GoBack"/>
      <w:bookmarkEnd w:id="0"/>
      <w:r>
        <w:rPr>
          <w:rFonts w:hint="eastAsia" w:ascii="仿宋" w:hAnsi="仿宋" w:eastAsia="仿宋" w:cs="仿宋"/>
          <w:strike w:val="0"/>
          <w:dstrike w:val="0"/>
          <w:color w:val="000000" w:themeColor="text1"/>
          <w:kern w:val="0"/>
          <w:sz w:val="32"/>
          <w:szCs w:val="32"/>
          <w:lang w:val="en-US" w:eastAsia="zh-CN" w:bidi="ar-SA"/>
          <w14:textFill>
            <w14:solidFill>
              <w14:schemeClr w14:val="tx1"/>
            </w14:solidFill>
          </w14:textFill>
        </w:rPr>
        <w:t>格落实环保设施安全生产工作要求。</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olor w:val="000000" w:themeColor="text1"/>
          <w:sz w:val="32"/>
          <w:szCs w:val="32"/>
          <w14:textFill>
            <w14:solidFill>
              <w14:schemeClr w14:val="tx1"/>
            </w14:solidFill>
          </w14:textFill>
        </w:rPr>
        <w:t>你单位在该项目环保申报过程中如有瞒报、假报情形，则是严重的违法行为，须承担因此产生的一切后果。项目建设必须严格执行环境保护“三同时”制度。项目竣</w:t>
      </w:r>
      <w:r>
        <w:rPr>
          <w:rStyle w:val="17"/>
          <w:rFonts w:hint="eastAsia" w:ascii="仿宋" w:hAnsi="仿宋" w:eastAsia="仿宋"/>
          <w:color w:val="auto"/>
          <w:sz w:val="32"/>
          <w:szCs w:val="32"/>
        </w:rPr>
        <w:t>工后，须按照规定程序实施竣工环境保护验收。</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7"/>
          <w:rFonts w:hint="eastAsia" w:ascii="仿宋" w:hAnsi="仿宋" w:eastAsia="仿宋" w:cs="Times New Roman"/>
          <w:color w:val="auto"/>
          <w:sz w:val="32"/>
          <w:szCs w:val="32"/>
          <w:lang w:eastAsia="zh-CN"/>
        </w:rPr>
        <w:t>。</w:t>
      </w: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7"/>
          <w:rFonts w:ascii="仿宋" w:hAnsi="仿宋" w:eastAsia="仿宋"/>
          <w:color w:val="auto"/>
          <w:sz w:val="32"/>
          <w:szCs w:val="32"/>
        </w:rPr>
        <w:t xml:space="preserve">                                       </w:t>
      </w:r>
    </w:p>
    <w:p>
      <w:pPr>
        <w:pStyle w:val="4"/>
        <w:keepNext w:val="0"/>
        <w:keepLines w:val="0"/>
        <w:pageBreakBefore w:val="0"/>
        <w:kinsoku/>
        <w:wordWrap/>
        <w:overflowPunct/>
        <w:topLinePunct w:val="0"/>
        <w:autoSpaceDE/>
        <w:autoSpaceDN/>
        <w:bidi w:val="0"/>
        <w:adjustRightInd/>
        <w:snapToGrid/>
        <w:spacing w:line="360" w:lineRule="auto"/>
        <w:jc w:val="left"/>
        <w:rPr>
          <w:rFonts w:hint="eastAsia"/>
          <w:color w:val="auto"/>
          <w:lang w:val="en-US" w:eastAsia="zh-CN"/>
        </w:rPr>
      </w:pPr>
      <w:r>
        <w:rPr>
          <w:rFonts w:hint="eastAsia"/>
          <w:color w:val="auto"/>
          <w:lang w:val="en-US" w:eastAsia="zh-CN"/>
        </w:rPr>
        <w:t xml:space="preserve">   </w:t>
      </w:r>
    </w:p>
    <w:p>
      <w:pPr>
        <w:jc w:val="left"/>
      </w:pPr>
    </w:p>
    <w:p>
      <w:pPr>
        <w:spacing w:line="360" w:lineRule="auto"/>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pPr>
        <w:spacing w:line="360" w:lineRule="auto"/>
        <w:ind w:firstLine="640" w:firstLineChars="200"/>
        <w:textAlignment w:val="auto"/>
        <w:rPr>
          <w:rStyle w:val="17"/>
          <w:rFonts w:hint="eastAsia" w:ascii="仿宋" w:hAnsi="仿宋" w:eastAsia="仿宋"/>
          <w:color w:val="auto"/>
          <w:sz w:val="32"/>
          <w:szCs w:val="32"/>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10</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12</w:t>
      </w:r>
      <w:r>
        <w:rPr>
          <w:rStyle w:val="17"/>
          <w:rFonts w:hint="eastAsia" w:ascii="仿宋" w:hAnsi="仿宋" w:eastAsia="仿宋"/>
          <w:color w:val="auto"/>
          <w:sz w:val="32"/>
          <w:szCs w:val="32"/>
        </w:rPr>
        <w:t>日</w:t>
      </w:r>
    </w:p>
    <w:p>
      <w:pPr>
        <w:spacing w:line="360" w:lineRule="auto"/>
        <w:ind w:firstLine="640" w:firstLineChars="200"/>
        <w:textAlignment w:val="auto"/>
        <w:rPr>
          <w:color w:val="auto"/>
        </w:rPr>
      </w:pPr>
      <w:r>
        <w:rPr>
          <w:rStyle w:val="17"/>
          <w:rFonts w:ascii="仿宋" w:hAnsi="仿宋" w:eastAsia="仿宋"/>
          <w:color w:val="auto"/>
          <w:sz w:val="32"/>
          <w:szCs w:val="32"/>
        </w:rPr>
        <w:t xml:space="preserve">  </w:t>
      </w:r>
    </w:p>
    <w:p>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3</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10</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12</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pPr>
      <w:pStyle w:val="10"/>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evenAndOddHeaders w:val="1"/>
  <w:displayHorizontalDrawingGridEvery w:val="1"/>
  <w:displayVerticalDrawingGridEvery w:val="1"/>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2A6766"/>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5B44"/>
    <w:rsid w:val="07972A13"/>
    <w:rsid w:val="07A019A5"/>
    <w:rsid w:val="07E24DC5"/>
    <w:rsid w:val="0822685D"/>
    <w:rsid w:val="08660559"/>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A55642"/>
    <w:rsid w:val="0BD72E57"/>
    <w:rsid w:val="0BDE1694"/>
    <w:rsid w:val="0C2B3A73"/>
    <w:rsid w:val="0C301322"/>
    <w:rsid w:val="0C5555BE"/>
    <w:rsid w:val="0CAF1FCC"/>
    <w:rsid w:val="0CC65836"/>
    <w:rsid w:val="0CFC12E8"/>
    <w:rsid w:val="0D693F98"/>
    <w:rsid w:val="0D830185"/>
    <w:rsid w:val="0DF20A80"/>
    <w:rsid w:val="0E2F5220"/>
    <w:rsid w:val="0E364873"/>
    <w:rsid w:val="0E385A18"/>
    <w:rsid w:val="0E570138"/>
    <w:rsid w:val="0E846C5B"/>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464D5E"/>
    <w:rsid w:val="1398649C"/>
    <w:rsid w:val="139A0B1F"/>
    <w:rsid w:val="13C532EF"/>
    <w:rsid w:val="144C07C7"/>
    <w:rsid w:val="1562595D"/>
    <w:rsid w:val="15652C35"/>
    <w:rsid w:val="156D1455"/>
    <w:rsid w:val="15E91737"/>
    <w:rsid w:val="16015C16"/>
    <w:rsid w:val="16041455"/>
    <w:rsid w:val="168C74C9"/>
    <w:rsid w:val="16FF6904"/>
    <w:rsid w:val="171F5F2F"/>
    <w:rsid w:val="1747459A"/>
    <w:rsid w:val="178F5508"/>
    <w:rsid w:val="17D90483"/>
    <w:rsid w:val="17E15C23"/>
    <w:rsid w:val="181C5F12"/>
    <w:rsid w:val="18207E93"/>
    <w:rsid w:val="188A5136"/>
    <w:rsid w:val="18A37FC9"/>
    <w:rsid w:val="18AE27A5"/>
    <w:rsid w:val="18CC5434"/>
    <w:rsid w:val="18E54146"/>
    <w:rsid w:val="19473B43"/>
    <w:rsid w:val="19AC1F9C"/>
    <w:rsid w:val="19EA6791"/>
    <w:rsid w:val="19F825D9"/>
    <w:rsid w:val="1A437161"/>
    <w:rsid w:val="1A6C6995"/>
    <w:rsid w:val="1A805ECF"/>
    <w:rsid w:val="1AFA27E4"/>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7A6B27"/>
    <w:rsid w:val="1F9A03FC"/>
    <w:rsid w:val="1F9F4FD0"/>
    <w:rsid w:val="1FB13B43"/>
    <w:rsid w:val="1FFD3A90"/>
    <w:rsid w:val="203E5C2F"/>
    <w:rsid w:val="20723F75"/>
    <w:rsid w:val="208B0C0A"/>
    <w:rsid w:val="209F2E8C"/>
    <w:rsid w:val="20C94FCD"/>
    <w:rsid w:val="20CF0133"/>
    <w:rsid w:val="212154AC"/>
    <w:rsid w:val="21500F9E"/>
    <w:rsid w:val="217D77E0"/>
    <w:rsid w:val="21DC075D"/>
    <w:rsid w:val="21EF70BE"/>
    <w:rsid w:val="220E66BC"/>
    <w:rsid w:val="221B45B1"/>
    <w:rsid w:val="2265588B"/>
    <w:rsid w:val="228C2292"/>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7000E4"/>
    <w:rsid w:val="269E1BDF"/>
    <w:rsid w:val="26C86AE1"/>
    <w:rsid w:val="27063174"/>
    <w:rsid w:val="2745621A"/>
    <w:rsid w:val="274B306C"/>
    <w:rsid w:val="28150F91"/>
    <w:rsid w:val="288E0726"/>
    <w:rsid w:val="289A0EE5"/>
    <w:rsid w:val="28A2177B"/>
    <w:rsid w:val="28DA25CC"/>
    <w:rsid w:val="2956242B"/>
    <w:rsid w:val="29625978"/>
    <w:rsid w:val="29BE7B24"/>
    <w:rsid w:val="29EC1002"/>
    <w:rsid w:val="2A173A82"/>
    <w:rsid w:val="2A27019D"/>
    <w:rsid w:val="2A4A7282"/>
    <w:rsid w:val="2A77431C"/>
    <w:rsid w:val="2AB8571B"/>
    <w:rsid w:val="2ABD6442"/>
    <w:rsid w:val="2ACD268E"/>
    <w:rsid w:val="2AF53CB3"/>
    <w:rsid w:val="2B065713"/>
    <w:rsid w:val="2B496FAB"/>
    <w:rsid w:val="2B5F7DC4"/>
    <w:rsid w:val="2BD26C46"/>
    <w:rsid w:val="2BDE5B5E"/>
    <w:rsid w:val="2C3F708C"/>
    <w:rsid w:val="2C871D94"/>
    <w:rsid w:val="2CAE4D3A"/>
    <w:rsid w:val="2CE7407F"/>
    <w:rsid w:val="2CFB6C68"/>
    <w:rsid w:val="2D5C4C74"/>
    <w:rsid w:val="2D5F771D"/>
    <w:rsid w:val="2DD6130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352E7D"/>
    <w:rsid w:val="3587701E"/>
    <w:rsid w:val="361479B3"/>
    <w:rsid w:val="362A341F"/>
    <w:rsid w:val="36CB51E2"/>
    <w:rsid w:val="36D33EE3"/>
    <w:rsid w:val="37010A46"/>
    <w:rsid w:val="37075CEA"/>
    <w:rsid w:val="371F6C8E"/>
    <w:rsid w:val="372344BA"/>
    <w:rsid w:val="37334EA2"/>
    <w:rsid w:val="375C4DD9"/>
    <w:rsid w:val="375D3876"/>
    <w:rsid w:val="37663248"/>
    <w:rsid w:val="37966A72"/>
    <w:rsid w:val="37D77582"/>
    <w:rsid w:val="37E5426D"/>
    <w:rsid w:val="37FF7133"/>
    <w:rsid w:val="38114125"/>
    <w:rsid w:val="38176CB5"/>
    <w:rsid w:val="38252AC8"/>
    <w:rsid w:val="38746131"/>
    <w:rsid w:val="389B5401"/>
    <w:rsid w:val="38B3284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885F88"/>
    <w:rsid w:val="3C9165F1"/>
    <w:rsid w:val="3C9C06C9"/>
    <w:rsid w:val="3CF212C3"/>
    <w:rsid w:val="3D4E0D02"/>
    <w:rsid w:val="3D615C4A"/>
    <w:rsid w:val="3D9D29AC"/>
    <w:rsid w:val="3DB17760"/>
    <w:rsid w:val="3DD06792"/>
    <w:rsid w:val="3E6216DB"/>
    <w:rsid w:val="3E6D2368"/>
    <w:rsid w:val="3E8C50F6"/>
    <w:rsid w:val="3E9E6EFC"/>
    <w:rsid w:val="3EA147B7"/>
    <w:rsid w:val="3EAA1A98"/>
    <w:rsid w:val="3ED64314"/>
    <w:rsid w:val="3EDA3818"/>
    <w:rsid w:val="3EE12A57"/>
    <w:rsid w:val="3EEF2E69"/>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0F2609"/>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8C61B2F"/>
    <w:rsid w:val="49540677"/>
    <w:rsid w:val="49926C6C"/>
    <w:rsid w:val="49AA4FB0"/>
    <w:rsid w:val="49DB78B5"/>
    <w:rsid w:val="49E97A04"/>
    <w:rsid w:val="49EA569C"/>
    <w:rsid w:val="4A494A22"/>
    <w:rsid w:val="4A911B79"/>
    <w:rsid w:val="4ADF223E"/>
    <w:rsid w:val="4AF07DCC"/>
    <w:rsid w:val="4B125F29"/>
    <w:rsid w:val="4B620F05"/>
    <w:rsid w:val="4B9F6E4A"/>
    <w:rsid w:val="4BA42C32"/>
    <w:rsid w:val="4BAD0F90"/>
    <w:rsid w:val="4C2274BE"/>
    <w:rsid w:val="4CD95DD7"/>
    <w:rsid w:val="4D137AF0"/>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67F5F3C"/>
    <w:rsid w:val="56DB6AC7"/>
    <w:rsid w:val="56DF16DC"/>
    <w:rsid w:val="57184CF1"/>
    <w:rsid w:val="57780B5F"/>
    <w:rsid w:val="57B96494"/>
    <w:rsid w:val="57DD76E9"/>
    <w:rsid w:val="57FC658A"/>
    <w:rsid w:val="57FE5FE5"/>
    <w:rsid w:val="586A1F97"/>
    <w:rsid w:val="589C6ECF"/>
    <w:rsid w:val="593212FE"/>
    <w:rsid w:val="59597413"/>
    <w:rsid w:val="59BA4CD4"/>
    <w:rsid w:val="59EE5797"/>
    <w:rsid w:val="5AC272A3"/>
    <w:rsid w:val="5B307B0A"/>
    <w:rsid w:val="5B557E8F"/>
    <w:rsid w:val="5BB1110B"/>
    <w:rsid w:val="5C2B7BE1"/>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854409"/>
    <w:rsid w:val="60B2650C"/>
    <w:rsid w:val="611D40E2"/>
    <w:rsid w:val="614462DE"/>
    <w:rsid w:val="61B516C4"/>
    <w:rsid w:val="61EF4764"/>
    <w:rsid w:val="625904A9"/>
    <w:rsid w:val="628730AA"/>
    <w:rsid w:val="62A64AED"/>
    <w:rsid w:val="62BE2B8C"/>
    <w:rsid w:val="632D32DF"/>
    <w:rsid w:val="636B778B"/>
    <w:rsid w:val="63713FBD"/>
    <w:rsid w:val="63950102"/>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A67FA2"/>
    <w:rsid w:val="6F957251"/>
    <w:rsid w:val="70921C55"/>
    <w:rsid w:val="70B658E9"/>
    <w:rsid w:val="71283ECD"/>
    <w:rsid w:val="713D11CB"/>
    <w:rsid w:val="7147364E"/>
    <w:rsid w:val="71502437"/>
    <w:rsid w:val="71E362C3"/>
    <w:rsid w:val="7219039A"/>
    <w:rsid w:val="731775B6"/>
    <w:rsid w:val="73BA11B9"/>
    <w:rsid w:val="73D60472"/>
    <w:rsid w:val="73F53D48"/>
    <w:rsid w:val="7496752E"/>
    <w:rsid w:val="755B54D7"/>
    <w:rsid w:val="75765328"/>
    <w:rsid w:val="75A177EE"/>
    <w:rsid w:val="75C71031"/>
    <w:rsid w:val="75D86CD4"/>
    <w:rsid w:val="760E7139"/>
    <w:rsid w:val="76496AA8"/>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C30024"/>
    <w:rsid w:val="79E24199"/>
    <w:rsid w:val="7A281851"/>
    <w:rsid w:val="7A550F13"/>
    <w:rsid w:val="7A773BB5"/>
    <w:rsid w:val="7AC34054"/>
    <w:rsid w:val="7AD20151"/>
    <w:rsid w:val="7B345817"/>
    <w:rsid w:val="7B5D3DBD"/>
    <w:rsid w:val="7B62786A"/>
    <w:rsid w:val="7BAD7F79"/>
    <w:rsid w:val="7BE82E7A"/>
    <w:rsid w:val="7C047330"/>
    <w:rsid w:val="7C1A0DC0"/>
    <w:rsid w:val="7C614B37"/>
    <w:rsid w:val="7CE039CF"/>
    <w:rsid w:val="7D54267F"/>
    <w:rsid w:val="7D7C739E"/>
    <w:rsid w:val="7DBD5F66"/>
    <w:rsid w:val="7DC17EA6"/>
    <w:rsid w:val="7E0D5B2C"/>
    <w:rsid w:val="7E2115B9"/>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style>
  <w:style w:type="paragraph" w:styleId="3">
    <w:name w:val="Normal Indent"/>
    <w:basedOn w:val="1"/>
    <w:next w:val="4"/>
    <w:qFormat/>
    <w:uiPriority w:val="0"/>
    <w:pPr>
      <w:ind w:firstLine="420"/>
    </w:pPr>
  </w:style>
  <w:style w:type="paragraph" w:styleId="4">
    <w:name w:val="Body Text First Indent 2"/>
    <w:basedOn w:val="5"/>
    <w:next w:val="1"/>
    <w:qFormat/>
    <w:uiPriority w:val="99"/>
    <w:pPr>
      <w:spacing w:line="240" w:lineRule="auto"/>
      <w:ind w:firstLine="420"/>
    </w:pPr>
  </w:style>
  <w:style w:type="paragraph" w:styleId="5">
    <w:name w:val="Body Text Indent"/>
    <w:basedOn w:val="1"/>
    <w:next w:val="1"/>
    <w:qFormat/>
    <w:uiPriority w:val="99"/>
    <w:pPr>
      <w:ind w:left="420" w:leftChars="200"/>
    </w:pPr>
  </w:style>
  <w:style w:type="paragraph" w:styleId="6">
    <w:name w:val="annotation text"/>
    <w:basedOn w:val="1"/>
    <w:qFormat/>
    <w:uiPriority w:val="0"/>
    <w:pPr>
      <w:jc w:val="left"/>
    </w:pPr>
  </w:style>
  <w:style w:type="paragraph" w:styleId="7">
    <w:name w:val="Body Text"/>
    <w:basedOn w:val="1"/>
    <w:link w:val="23"/>
    <w:qFormat/>
    <w:uiPriority w:val="99"/>
    <w:pPr>
      <w:spacing w:after="120"/>
    </w:pPr>
    <w:rPr>
      <w:rFonts w:ascii="Calibri" w:hAnsi="Calibri"/>
      <w:szCs w:val="22"/>
    </w:rPr>
  </w:style>
  <w:style w:type="paragraph" w:styleId="8">
    <w:name w:val="Plain Text"/>
    <w:basedOn w:val="1"/>
    <w:qFormat/>
    <w:uiPriority w:val="0"/>
    <w:rPr>
      <w:rFonts w:ascii="宋体" w:hAnsi="Courier New"/>
      <w:szCs w:val="21"/>
    </w:rPr>
  </w:style>
  <w:style w:type="paragraph" w:styleId="9">
    <w:name w:val="Date"/>
    <w:basedOn w:val="1"/>
    <w:next w:val="1"/>
    <w:link w:val="24"/>
    <w:qFormat/>
    <w:uiPriority w:val="99"/>
    <w:pPr>
      <w:ind w:left="100" w:leftChars="2500"/>
    </w:pPr>
  </w:style>
  <w:style w:type="paragraph" w:styleId="10">
    <w:name w:val="footer"/>
    <w:basedOn w:val="1"/>
    <w:link w:val="25"/>
    <w:qFormat/>
    <w:uiPriority w:val="99"/>
    <w:pPr>
      <w:tabs>
        <w:tab w:val="center" w:pos="4153"/>
        <w:tab w:val="right" w:pos="8306"/>
      </w:tabs>
      <w:snapToGrid w:val="0"/>
      <w:jc w:val="left"/>
    </w:pPr>
    <w:rPr>
      <w:sz w:val="18"/>
    </w:rPr>
  </w:style>
  <w:style w:type="paragraph" w:styleId="11">
    <w:name w:val="header"/>
    <w:basedOn w:val="1"/>
    <w:link w:val="26"/>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qFormat/>
    <w:uiPriority w:val="0"/>
    <w:rPr>
      <w:sz w:val="24"/>
      <w:szCs w:val="22"/>
    </w:rPr>
  </w:style>
  <w:style w:type="paragraph" w:styleId="13">
    <w:name w:val="Body Text First Indent"/>
    <w:basedOn w:val="7"/>
    <w:next w:val="1"/>
    <w:qFormat/>
    <w:uiPriority w:val="0"/>
    <w:pPr>
      <w:spacing w:after="120"/>
      <w:ind w:firstLine="420" w:firstLineChars="100"/>
    </w:p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Hyperlink"/>
    <w:basedOn w:val="15"/>
    <w:semiHidden/>
    <w:unhideWhenUsed/>
    <w:qFormat/>
    <w:uiPriority w:val="99"/>
    <w:rPr>
      <w:color w:val="0000FF"/>
      <w:u w:val="single"/>
    </w:rPr>
  </w:style>
  <w:style w:type="character" w:styleId="19">
    <w:name w:val="annotation reference"/>
    <w:qFormat/>
    <w:uiPriority w:val="0"/>
    <w:rPr>
      <w:sz w:val="21"/>
      <w:szCs w:val="21"/>
    </w:rPr>
  </w:style>
  <w:style w:type="paragraph" w:customStyle="1" w:styleId="20">
    <w:name w:val="样式 正文缩进正文缩进2正文缩进 Char Char正文缩进 Char Char Char Char正文缩进 Char ..."/>
    <w:basedOn w:val="3"/>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1">
    <w:name w:val="正文首行缩进 21"/>
    <w:basedOn w:val="5"/>
    <w:next w:val="1"/>
    <w:qFormat/>
    <w:uiPriority w:val="0"/>
    <w:pPr>
      <w:spacing w:afterLines="0"/>
      <w:ind w:left="420" w:firstLine="420" w:firstLineChars="200"/>
    </w:pPr>
    <w:rPr>
      <w:lang w:eastAsia="zh-CN" w:bidi="ar-SA"/>
    </w:rPr>
  </w:style>
  <w:style w:type="paragraph" w:customStyle="1" w:styleId="22">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3">
    <w:name w:val="正文文本 Char"/>
    <w:basedOn w:val="15"/>
    <w:link w:val="7"/>
    <w:semiHidden/>
    <w:qFormat/>
    <w:uiPriority w:val="99"/>
    <w:rPr>
      <w:color w:val="000000"/>
      <w:kern w:val="0"/>
      <w:szCs w:val="20"/>
    </w:rPr>
  </w:style>
  <w:style w:type="character" w:customStyle="1" w:styleId="24">
    <w:name w:val="日期 Char"/>
    <w:basedOn w:val="15"/>
    <w:link w:val="9"/>
    <w:semiHidden/>
    <w:qFormat/>
    <w:uiPriority w:val="99"/>
    <w:rPr>
      <w:color w:val="000000"/>
      <w:kern w:val="0"/>
      <w:szCs w:val="20"/>
    </w:rPr>
  </w:style>
  <w:style w:type="character" w:customStyle="1" w:styleId="25">
    <w:name w:val="页脚 Char"/>
    <w:basedOn w:val="17"/>
    <w:link w:val="10"/>
    <w:qFormat/>
    <w:locked/>
    <w:uiPriority w:val="99"/>
    <w:rPr>
      <w:rFonts w:cs="Times New Roman"/>
      <w:color w:val="000000"/>
      <w:sz w:val="18"/>
    </w:rPr>
  </w:style>
  <w:style w:type="character" w:customStyle="1" w:styleId="26">
    <w:name w:val="页眉 Char"/>
    <w:basedOn w:val="17"/>
    <w:link w:val="11"/>
    <w:qFormat/>
    <w:locked/>
    <w:uiPriority w:val="99"/>
    <w:rPr>
      <w:rFonts w:cs="Times New Roman"/>
      <w:color w:val="000000"/>
      <w:sz w:val="18"/>
      <w:szCs w:val="18"/>
    </w:rPr>
  </w:style>
  <w:style w:type="paragraph" w:customStyle="1" w:styleId="27">
    <w:name w:val="BodyText"/>
    <w:basedOn w:val="1"/>
    <w:qFormat/>
    <w:uiPriority w:val="99"/>
    <w:pPr>
      <w:spacing w:after="120"/>
    </w:pPr>
    <w:rPr>
      <w:rFonts w:ascii="Calibri" w:hAnsi="Calibri"/>
      <w:szCs w:val="22"/>
    </w:rPr>
  </w:style>
  <w:style w:type="table" w:customStyle="1" w:styleId="28">
    <w:name w:val="TableNormal"/>
    <w:semiHidden/>
    <w:qFormat/>
    <w:uiPriority w:val="99"/>
    <w:tblPr>
      <w:tblCellMar>
        <w:top w:w="0" w:type="dxa"/>
        <w:left w:w="0" w:type="dxa"/>
        <w:bottom w:w="0" w:type="dxa"/>
        <w:right w:w="0" w:type="dxa"/>
      </w:tblCellMar>
    </w:tblPr>
  </w:style>
  <w:style w:type="character" w:customStyle="1" w:styleId="29">
    <w:name w:val="UserStyle_0"/>
    <w:basedOn w:val="17"/>
    <w:qFormat/>
    <w:uiPriority w:val="99"/>
    <w:rPr>
      <w:rFonts w:ascii="Times New Roman" w:eastAsia="宋体" w:cs="Times New Roman"/>
      <w:color w:val="0000FF"/>
      <w:sz w:val="21"/>
      <w:u w:val="single"/>
      <w:lang w:val="en-US" w:eastAsia="zh-CN"/>
    </w:rPr>
  </w:style>
  <w:style w:type="character" w:customStyle="1" w:styleId="30">
    <w:name w:val="AnnotationReference"/>
    <w:qFormat/>
    <w:uiPriority w:val="99"/>
    <w:rPr>
      <w:sz w:val="21"/>
    </w:rPr>
  </w:style>
  <w:style w:type="character" w:customStyle="1" w:styleId="31">
    <w:name w:val="UserStyle_2"/>
    <w:basedOn w:val="17"/>
    <w:qFormat/>
    <w:uiPriority w:val="99"/>
    <w:rPr>
      <w:rFonts w:ascii="Times New Roman" w:eastAsia="宋体" w:cs="Times New Roman"/>
      <w:color w:val="0000FF"/>
      <w:sz w:val="21"/>
      <w:u w:val="single"/>
      <w:lang w:val="en-US" w:eastAsia="zh-CN"/>
    </w:rPr>
  </w:style>
  <w:style w:type="character" w:customStyle="1" w:styleId="32">
    <w:name w:val="UserStyle_3"/>
    <w:semiHidden/>
    <w:qFormat/>
    <w:uiPriority w:val="99"/>
    <w:rPr>
      <w:rFonts w:ascii="Times New Roman" w:hAnsi="Times New Roman" w:eastAsia="宋体"/>
      <w:kern w:val="2"/>
      <w:sz w:val="21"/>
      <w:lang w:val="en-US" w:eastAsia="zh-CN"/>
    </w:rPr>
  </w:style>
  <w:style w:type="paragraph" w:customStyle="1" w:styleId="33">
    <w:name w:val="UserStyle_5"/>
    <w:basedOn w:val="1"/>
    <w:next w:val="34"/>
    <w:qFormat/>
    <w:uiPriority w:val="99"/>
    <w:pPr>
      <w:spacing w:before="566" w:after="544" w:line="566" w:lineRule="atLeast"/>
      <w:jc w:val="center"/>
    </w:pPr>
    <w:rPr>
      <w:rFonts w:ascii="Arial" w:eastAsia="黑体"/>
      <w:sz w:val="54"/>
    </w:rPr>
  </w:style>
  <w:style w:type="paragraph" w:customStyle="1" w:styleId="34">
    <w:name w:val="UserStyle_6"/>
    <w:basedOn w:val="1"/>
    <w:next w:val="35"/>
    <w:qFormat/>
    <w:uiPriority w:val="99"/>
    <w:pPr>
      <w:spacing w:before="187" w:after="175" w:line="374" w:lineRule="atLeast"/>
      <w:jc w:val="center"/>
    </w:pPr>
    <w:rPr>
      <w:sz w:val="36"/>
    </w:rPr>
  </w:style>
  <w:style w:type="paragraph" w:customStyle="1" w:styleId="35">
    <w:name w:val="UserStyle_16"/>
    <w:basedOn w:val="1"/>
    <w:next w:val="36"/>
    <w:qFormat/>
    <w:uiPriority w:val="99"/>
    <w:pPr>
      <w:spacing w:before="158" w:after="153" w:line="323" w:lineRule="atLeast"/>
      <w:jc w:val="center"/>
    </w:pPr>
    <w:rPr>
      <w:rFonts w:ascii="Arial" w:eastAsia="黑体"/>
      <w:sz w:val="31"/>
    </w:rPr>
  </w:style>
  <w:style w:type="paragraph" w:customStyle="1" w:styleId="36">
    <w:name w:val="UserStyle_10"/>
    <w:basedOn w:val="1"/>
    <w:next w:val="37"/>
    <w:qFormat/>
    <w:uiPriority w:val="99"/>
    <w:pPr>
      <w:spacing w:line="289" w:lineRule="atLeast"/>
      <w:jc w:val="center"/>
    </w:pPr>
    <w:rPr>
      <w:sz w:val="28"/>
    </w:rPr>
  </w:style>
  <w:style w:type="paragraph" w:customStyle="1" w:styleId="37">
    <w:name w:val="UserStyle_11"/>
    <w:basedOn w:val="1"/>
    <w:next w:val="1"/>
    <w:qFormat/>
    <w:uiPriority w:val="99"/>
    <w:pPr>
      <w:spacing w:before="175" w:after="102" w:line="351" w:lineRule="atLeast"/>
    </w:pPr>
    <w:rPr>
      <w:rFonts w:eastAsia="黑体"/>
    </w:rPr>
  </w:style>
  <w:style w:type="paragraph" w:customStyle="1" w:styleId="38">
    <w:name w:val="UserStyle_7"/>
    <w:basedOn w:val="1"/>
    <w:next w:val="1"/>
    <w:qFormat/>
    <w:uiPriority w:val="99"/>
    <w:pPr>
      <w:tabs>
        <w:tab w:val="left" w:leader="dot" w:pos="8503"/>
      </w:tabs>
      <w:spacing w:line="317" w:lineRule="atLeast"/>
      <w:ind w:firstLine="629"/>
    </w:pPr>
  </w:style>
  <w:style w:type="paragraph" w:customStyle="1" w:styleId="39">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40">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1">
    <w:name w:val="UserStyle_9"/>
    <w:basedOn w:val="1"/>
    <w:next w:val="1"/>
    <w:qFormat/>
    <w:uiPriority w:val="99"/>
    <w:pPr>
      <w:tabs>
        <w:tab w:val="left" w:leader="dot" w:pos="8503"/>
      </w:tabs>
      <w:spacing w:line="317" w:lineRule="atLeast"/>
      <w:ind w:firstLine="419"/>
    </w:pPr>
  </w:style>
  <w:style w:type="paragraph" w:customStyle="1" w:styleId="42">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3">
    <w:name w:val="UserStyle_13"/>
    <w:basedOn w:val="1"/>
    <w:qFormat/>
    <w:uiPriority w:val="99"/>
    <w:pPr>
      <w:spacing w:line="240" w:lineRule="auto"/>
      <w:textAlignment w:val="auto"/>
    </w:pPr>
    <w:rPr>
      <w:sz w:val="32"/>
      <w:szCs w:val="32"/>
    </w:rPr>
  </w:style>
  <w:style w:type="paragraph" w:customStyle="1" w:styleId="44">
    <w:name w:val="UserStyle_14"/>
    <w:basedOn w:val="1"/>
    <w:qFormat/>
    <w:uiPriority w:val="99"/>
    <w:pPr>
      <w:spacing w:line="600" w:lineRule="atLeast"/>
      <w:jc w:val="center"/>
      <w:textAlignment w:val="auto"/>
    </w:pPr>
    <w:rPr>
      <w:rFonts w:ascii="Arial" w:hAnsi="Arial"/>
      <w:sz w:val="24"/>
      <w:szCs w:val="24"/>
    </w:rPr>
  </w:style>
  <w:style w:type="paragraph" w:customStyle="1" w:styleId="45">
    <w:name w:val="UserStyle_15"/>
    <w:basedOn w:val="1"/>
    <w:next w:val="1"/>
    <w:qFormat/>
    <w:uiPriority w:val="99"/>
    <w:pPr>
      <w:tabs>
        <w:tab w:val="left" w:leader="dot" w:pos="8503"/>
      </w:tabs>
      <w:spacing w:line="317" w:lineRule="atLeast"/>
      <w:ind w:firstLine="209"/>
    </w:pPr>
  </w:style>
  <w:style w:type="paragraph" w:customStyle="1" w:styleId="46">
    <w:name w:val="UserStyle_17"/>
    <w:basedOn w:val="1"/>
    <w:qFormat/>
    <w:uiPriority w:val="99"/>
    <w:pPr>
      <w:spacing w:line="480" w:lineRule="exact"/>
      <w:ind w:firstLine="420" w:firstLineChars="200"/>
      <w:textAlignment w:val="auto"/>
    </w:pPr>
    <w:rPr>
      <w:kern w:val="2"/>
      <w:sz w:val="24"/>
      <w:szCs w:val="24"/>
    </w:rPr>
  </w:style>
  <w:style w:type="table" w:customStyle="1" w:styleId="47">
    <w:name w:val="TableGrid"/>
    <w:basedOn w:val="28"/>
    <w:qFormat/>
    <w:uiPriority w:val="99"/>
    <w:tblPr>
      <w:tblCellMar>
        <w:top w:w="0" w:type="dxa"/>
        <w:left w:w="0" w:type="dxa"/>
        <w:bottom w:w="0" w:type="dxa"/>
        <w:right w:w="0" w:type="dxa"/>
      </w:tblCellMar>
    </w:tblPr>
  </w:style>
  <w:style w:type="paragraph" w:customStyle="1" w:styleId="48">
    <w:name w:val="BodyTextIndent"/>
    <w:basedOn w:val="1"/>
    <w:qFormat/>
    <w:uiPriority w:val="99"/>
    <w:pPr>
      <w:spacing w:after="120"/>
      <w:ind w:left="420" w:leftChars="200"/>
    </w:pPr>
  </w:style>
  <w:style w:type="paragraph" w:customStyle="1" w:styleId="49">
    <w:name w:val="BodyText1I2"/>
    <w:basedOn w:val="48"/>
    <w:qFormat/>
    <w:uiPriority w:val="99"/>
    <w:pPr>
      <w:ind w:firstLine="420" w:firstLineChars="200"/>
    </w:pPr>
  </w:style>
  <w:style w:type="paragraph" w:customStyle="1" w:styleId="50">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1">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1700</Words>
  <Characters>1859</Characters>
  <Lines>10</Lines>
  <Paragraphs>3</Paragraphs>
  <TotalTime>367</TotalTime>
  <ScaleCrop>false</ScaleCrop>
  <LinksUpToDate>false</LinksUpToDate>
  <CharactersWithSpaces>1943</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苏</cp:lastModifiedBy>
  <cp:lastPrinted>2023-09-13T02:44:00Z</cp:lastPrinted>
  <dcterms:modified xsi:type="dcterms:W3CDTF">2023-10-07T09:16:42Z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4B223CA2B5B24F0BBC3925F45DAE3489</vt:lpwstr>
  </property>
</Properties>
</file>