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6"/>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37</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default" w:ascii="宋体" w:hAnsi="宋体" w:eastAsia="宋体" w:cs="Times New Roman"/>
          <w:b/>
          <w:bCs w:val="0"/>
          <w:color w:val="auto"/>
          <w:sz w:val="44"/>
          <w:szCs w:val="44"/>
        </w:rPr>
      </w:pPr>
      <w:r>
        <w:rPr>
          <w:rStyle w:val="17"/>
          <w:rFonts w:hint="default" w:ascii="宋体" w:hAnsi="宋体" w:eastAsia="宋体" w:cs="Times New Roman"/>
          <w:b/>
          <w:bCs w:val="0"/>
          <w:color w:val="auto"/>
          <w:sz w:val="44"/>
          <w:szCs w:val="44"/>
        </w:rPr>
        <w:t>鄂尔多斯市巴音孟克纳汇煤炭有限</w:t>
      </w:r>
    </w:p>
    <w:p>
      <w:pPr>
        <w:spacing w:line="600" w:lineRule="exact"/>
        <w:jc w:val="center"/>
        <w:rPr>
          <w:rStyle w:val="17"/>
          <w:rFonts w:hint="default" w:ascii="宋体" w:hAnsi="宋体" w:eastAsia="宋体" w:cs="Times New Roman"/>
          <w:b/>
          <w:bCs w:val="0"/>
          <w:color w:val="auto"/>
          <w:sz w:val="44"/>
          <w:szCs w:val="44"/>
        </w:rPr>
      </w:pPr>
      <w:r>
        <w:rPr>
          <w:rStyle w:val="17"/>
          <w:rFonts w:hint="default" w:ascii="宋体" w:hAnsi="宋体" w:eastAsia="宋体" w:cs="Times New Roman"/>
          <w:b/>
          <w:bCs w:val="0"/>
          <w:color w:val="auto"/>
          <w:sz w:val="44"/>
          <w:szCs w:val="44"/>
        </w:rPr>
        <w:t>责任公司煤矿采空区灾害综合</w:t>
      </w:r>
    </w:p>
    <w:p>
      <w:pPr>
        <w:spacing w:line="600" w:lineRule="exact"/>
        <w:jc w:val="center"/>
        <w:rPr>
          <w:rStyle w:val="17"/>
          <w:rFonts w:hint="eastAsia" w:ascii="宋体" w:hAnsi="宋体" w:eastAsia="宋体" w:cs="Times New Roman"/>
          <w:b/>
          <w:bCs w:val="0"/>
          <w:color w:val="auto"/>
          <w:sz w:val="44"/>
          <w:szCs w:val="44"/>
        </w:rPr>
      </w:pPr>
      <w:r>
        <w:rPr>
          <w:rStyle w:val="17"/>
          <w:rFonts w:hint="default" w:ascii="宋体" w:hAnsi="宋体" w:eastAsia="宋体" w:cs="Times New Roman"/>
          <w:b/>
          <w:bCs w:val="0"/>
          <w:color w:val="auto"/>
          <w:sz w:val="44"/>
          <w:szCs w:val="44"/>
        </w:rPr>
        <w:t>治理</w:t>
      </w:r>
      <w:r>
        <w:rPr>
          <w:rStyle w:val="17"/>
          <w:rFonts w:hint="eastAsia" w:ascii="宋体" w:hAnsi="宋体" w:eastAsia="宋体" w:cs="Times New Roman"/>
          <w:b/>
          <w:bCs w:val="0"/>
          <w:color w:val="auto"/>
          <w:sz w:val="44"/>
          <w:szCs w:val="44"/>
          <w:lang w:eastAsia="zh-CN"/>
        </w:rPr>
        <w:t>建设</w:t>
      </w:r>
      <w:r>
        <w:rPr>
          <w:rStyle w:val="17"/>
          <w:rFonts w:hint="default" w:ascii="宋体" w:hAnsi="宋体" w:eastAsia="宋体" w:cs="Times New Roman"/>
          <w:b/>
          <w:bCs w:val="0"/>
          <w:color w:val="auto"/>
          <w:sz w:val="44"/>
          <w:szCs w:val="44"/>
          <w:lang w:val="en-US" w:eastAsia="zh-CN"/>
        </w:rPr>
        <w:t>项目</w:t>
      </w:r>
      <w:r>
        <w:rPr>
          <w:rStyle w:val="17"/>
          <w:rFonts w:hint="eastAsia" w:ascii="宋体" w:hAnsi="宋体" w:eastAsia="宋体" w:cs="Times New Roman"/>
          <w:b/>
          <w:bCs w:val="0"/>
          <w:color w:val="auto"/>
          <w:sz w:val="44"/>
          <w:szCs w:val="44"/>
        </w:rPr>
        <w:t>环境影响</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default" w:ascii="仿宋" w:hAnsi="仿宋" w:eastAsia="仿宋" w:cs="Times New Roman"/>
          <w:sz w:val="32"/>
          <w:szCs w:val="32"/>
          <w:lang w:eastAsia="zh-CN"/>
        </w:rPr>
        <w:t>鄂尔多斯市巴音孟克纳汇煤炭有限责任公司</w:t>
      </w:r>
      <w:r>
        <w:rPr>
          <w:rStyle w:val="17"/>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rPr>
        <w:t>由</w:t>
      </w:r>
      <w:r>
        <w:rPr>
          <w:rStyle w:val="17"/>
          <w:rFonts w:hint="eastAsia" w:ascii="仿宋" w:hAnsi="仿宋" w:eastAsia="仿宋" w:cs="Times New Roman"/>
          <w:sz w:val="32"/>
          <w:szCs w:val="32"/>
          <w:lang w:eastAsia="zh-CN"/>
        </w:rPr>
        <w:t>内蒙古信德工程技术咨询服务有限公司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cs="Times New Roman"/>
          <w:sz w:val="32"/>
          <w:szCs w:val="32"/>
        </w:rPr>
        <w:t>《</w:t>
      </w:r>
      <w:r>
        <w:rPr>
          <w:rStyle w:val="17"/>
          <w:rFonts w:hint="default" w:ascii="仿宋" w:hAnsi="仿宋" w:eastAsia="仿宋" w:cs="Times New Roman"/>
          <w:sz w:val="32"/>
          <w:szCs w:val="32"/>
        </w:rPr>
        <w:t>鄂尔多</w:t>
      </w:r>
      <w:r>
        <w:rPr>
          <w:rStyle w:val="17"/>
          <w:rFonts w:hint="default" w:ascii="仿宋" w:hAnsi="仿宋" w:eastAsia="仿宋" w:cs="Times New Roman"/>
          <w:color w:val="0D0D0D" w:themeColor="text1" w:themeTint="F2"/>
          <w:sz w:val="32"/>
          <w:szCs w:val="32"/>
          <w14:textFill>
            <w14:solidFill>
              <w14:schemeClr w14:val="tx1">
                <w14:lumMod w14:val="95000"/>
                <w14:lumOff w14:val="5000"/>
              </w14:schemeClr>
            </w14:solidFill>
          </w14:textFill>
        </w:rPr>
        <w:t>斯市巴音孟克纳汇煤炭有限责任公司煤矿采空区灾害综合治理</w:t>
      </w:r>
      <w:r>
        <w:rPr>
          <w:rStyle w:val="17"/>
          <w:rFonts w:hint="eastAsia" w:ascii="仿宋" w:hAnsi="仿宋" w:eastAsia="仿宋" w:cs="Times New Roman"/>
          <w:color w:val="0D0D0D" w:themeColor="text1" w:themeTint="F2"/>
          <w:sz w:val="32"/>
          <w:szCs w:val="32"/>
          <w:lang w:eastAsia="zh-CN"/>
          <w14:textFill>
            <w14:solidFill>
              <w14:schemeClr w14:val="tx1">
                <w14:lumMod w14:val="95000"/>
                <w14:lumOff w14:val="5000"/>
              </w14:schemeClr>
            </w14:solidFill>
          </w14:textFill>
        </w:rPr>
        <w:t>建设</w:t>
      </w:r>
      <w:r>
        <w:rPr>
          <w:rStyle w:val="17"/>
          <w:rFonts w:hint="default" w:ascii="仿宋" w:hAnsi="仿宋" w:eastAsia="仿宋" w:cs="Times New Roman"/>
          <w:sz w:val="32"/>
          <w:szCs w:val="32"/>
          <w:lang w:val="en-US" w:eastAsia="zh-CN"/>
        </w:rPr>
        <w:t>项目</w:t>
      </w:r>
      <w:r>
        <w:rPr>
          <w:rStyle w:val="17"/>
          <w:rFonts w:hint="eastAsia" w:ascii="仿宋" w:hAnsi="仿宋" w:eastAsia="仿宋" w:cs="Times New Roman"/>
          <w:sz w:val="32"/>
          <w:szCs w:val="32"/>
          <w:lang w:eastAsia="zh-CN"/>
        </w:rPr>
        <w:t>环境影响报</w:t>
      </w:r>
      <w:r>
        <w:rPr>
          <w:rStyle w:val="17"/>
          <w:rFonts w:hint="eastAsia" w:ascii="仿宋" w:hAnsi="仿宋" w:eastAsia="仿宋" w:cs="Times New Roman"/>
          <w:sz w:val="32"/>
          <w:szCs w:val="32"/>
        </w:rPr>
        <w:t>告表》（以下简称《报告表》）已收悉</w:t>
      </w:r>
      <w:r>
        <w:rPr>
          <w:rStyle w:val="17"/>
          <w:rFonts w:hint="eastAsia" w:ascii="仿宋" w:hAnsi="仿宋" w:eastAsia="仿宋" w:cs="Times New Roman"/>
          <w:sz w:val="32"/>
          <w:szCs w:val="32"/>
          <w:lang w:eastAsia="zh-CN"/>
        </w:rPr>
        <w:t>。</w:t>
      </w:r>
      <w:r>
        <w:rPr>
          <w:rStyle w:val="17"/>
          <w:rFonts w:hint="eastAsia" w:ascii="仿宋" w:hAnsi="仿宋" w:eastAsia="仿宋"/>
          <w:sz w:val="32"/>
          <w:szCs w:val="32"/>
          <w:lang w:val="en-US" w:eastAsia="zh-CN"/>
        </w:rPr>
        <w:t>经组织专家评审，集体研究，形成如下审批意见：</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该项目属于新建项目，位于</w:t>
      </w:r>
      <w:r>
        <w:rPr>
          <w:rStyle w:val="17"/>
          <w:rFonts w:hint="eastAsia" w:ascii="仿宋" w:hAnsi="仿宋" w:eastAsia="仿宋"/>
          <w:sz w:val="32"/>
          <w:szCs w:val="32"/>
          <w:lang w:eastAsia="zh-CN"/>
        </w:rPr>
        <w:t>东胜区铜川镇</w:t>
      </w:r>
      <w:r>
        <w:rPr>
          <w:rStyle w:val="17"/>
          <w:rFonts w:hint="default" w:ascii="仿宋" w:hAnsi="仿宋" w:eastAsia="仿宋" w:cs="Times New Roman"/>
          <w:sz w:val="32"/>
          <w:szCs w:val="32"/>
        </w:rPr>
        <w:t>鄂尔多斯市巴音孟克纳汇煤炭有限责任公</w:t>
      </w:r>
      <w:r>
        <w:rPr>
          <w:rStyle w:val="17"/>
          <w:rFonts w:hint="default" w:ascii="仿宋" w:hAnsi="仿宋" w:eastAsia="仿宋" w:cs="Times New Roman"/>
          <w:sz w:val="32"/>
          <w:szCs w:val="32"/>
          <w:highlight w:val="none"/>
        </w:rPr>
        <w:t>司煤矿</w:t>
      </w:r>
      <w:r>
        <w:rPr>
          <w:rStyle w:val="17"/>
          <w:rFonts w:hint="eastAsia" w:ascii="仿宋" w:hAnsi="仿宋" w:eastAsia="仿宋" w:cs="Times New Roman"/>
          <w:sz w:val="32"/>
          <w:szCs w:val="32"/>
          <w:highlight w:val="none"/>
          <w:lang w:eastAsia="zh-CN"/>
        </w:rPr>
        <w:t>中部井田范围内</w:t>
      </w:r>
      <w:r>
        <w:rPr>
          <w:rStyle w:val="17"/>
          <w:rFonts w:hint="eastAsia" w:ascii="仿宋" w:hAnsi="仿宋" w:eastAsia="仿宋"/>
          <w:sz w:val="32"/>
          <w:szCs w:val="32"/>
          <w:highlight w:val="none"/>
          <w:lang w:val="en-US" w:eastAsia="zh-CN"/>
        </w:rPr>
        <w:t>。</w:t>
      </w:r>
      <w:r>
        <w:rPr>
          <w:rStyle w:val="17"/>
          <w:rFonts w:hint="eastAsia" w:ascii="仿宋" w:hAnsi="仿宋" w:eastAsia="仿宋" w:cs="Times New Roman"/>
          <w:sz w:val="32"/>
          <w:szCs w:val="32"/>
          <w:highlight w:val="none"/>
          <w:lang w:val="en-US" w:eastAsia="zh-CN"/>
        </w:rPr>
        <w:t>项目总</w:t>
      </w:r>
      <w:r>
        <w:rPr>
          <w:rStyle w:val="17"/>
          <w:rFonts w:hint="eastAsia" w:ascii="仿宋" w:hAnsi="仿宋" w:eastAsia="仿宋" w:cs="Times New Roman"/>
          <w:sz w:val="32"/>
          <w:szCs w:val="32"/>
          <w:highlight w:val="none"/>
          <w:lang w:eastAsia="zh-CN"/>
        </w:rPr>
        <w:t>占地面</w:t>
      </w:r>
      <w:r>
        <w:rPr>
          <w:rStyle w:val="17"/>
          <w:rFonts w:hint="eastAsia" w:ascii="仿宋" w:hAnsi="仿宋" w:eastAsia="仿宋"/>
          <w:sz w:val="32"/>
          <w:szCs w:val="32"/>
          <w:highlight w:val="none"/>
          <w:lang w:eastAsia="zh-CN"/>
        </w:rPr>
        <w:t>积</w:t>
      </w:r>
      <w:r>
        <w:rPr>
          <w:rStyle w:val="17"/>
          <w:rFonts w:hint="default" w:ascii="仿宋" w:hAnsi="仿宋" w:eastAsia="仿宋" w:cs="Times New Roman"/>
          <w:sz w:val="32"/>
          <w:szCs w:val="32"/>
          <w:highlight w:val="none"/>
          <w:lang w:val="en-US" w:eastAsia="zh-CN"/>
        </w:rPr>
        <w:t>2025000</w:t>
      </w:r>
      <w:r>
        <w:rPr>
          <w:rStyle w:val="17"/>
          <w:rFonts w:hint="eastAsia" w:ascii="仿宋" w:hAnsi="仿宋" w:eastAsia="仿宋" w:cs="Times New Roman"/>
          <w:sz w:val="32"/>
          <w:szCs w:val="32"/>
          <w:highlight w:val="none"/>
          <w:lang w:eastAsia="zh-CN"/>
        </w:rPr>
        <w:t>平方</w:t>
      </w:r>
      <w:r>
        <w:rPr>
          <w:rStyle w:val="17"/>
          <w:rFonts w:hint="eastAsia" w:ascii="仿宋" w:hAnsi="仿宋" w:eastAsia="仿宋"/>
          <w:sz w:val="32"/>
          <w:szCs w:val="32"/>
          <w:highlight w:val="none"/>
          <w:lang w:eastAsia="zh-CN"/>
        </w:rPr>
        <w:t>米</w:t>
      </w:r>
      <w:r>
        <w:rPr>
          <w:rStyle w:val="17"/>
          <w:rFonts w:hint="eastAsia" w:ascii="仿宋" w:hAnsi="仿宋" w:eastAsia="仿宋" w:cs="Times New Roman"/>
          <w:sz w:val="32"/>
          <w:szCs w:val="32"/>
          <w:highlight w:val="none"/>
          <w:lang w:val="en-US" w:eastAsia="zh-CN"/>
        </w:rPr>
        <w:t>，</w:t>
      </w:r>
      <w:r>
        <w:rPr>
          <w:rStyle w:val="17"/>
          <w:rFonts w:hint="default" w:ascii="仿宋" w:hAnsi="仿宋" w:eastAsia="仿宋" w:cs="Times New Roman"/>
          <w:sz w:val="32"/>
          <w:szCs w:val="32"/>
          <w:highlight w:val="none"/>
          <w:lang w:val="en-US" w:eastAsia="zh-CN"/>
        </w:rPr>
        <w:t>总投资99197.93</w:t>
      </w:r>
      <w:r>
        <w:rPr>
          <w:rStyle w:val="17"/>
          <w:rFonts w:hint="eastAsia" w:ascii="仿宋" w:hAnsi="仿宋" w:eastAsia="仿宋" w:cs="Times New Roman"/>
          <w:sz w:val="32"/>
          <w:szCs w:val="32"/>
          <w:highlight w:val="none"/>
          <w:lang w:val="en-US" w:eastAsia="zh-CN"/>
        </w:rPr>
        <w:t>万</w:t>
      </w:r>
      <w:r>
        <w:rPr>
          <w:rStyle w:val="17"/>
          <w:rFonts w:hint="default" w:ascii="仿宋" w:hAnsi="仿宋" w:eastAsia="仿宋" w:cs="Times New Roman"/>
          <w:sz w:val="32"/>
          <w:szCs w:val="32"/>
          <w:highlight w:val="none"/>
          <w:lang w:val="en-US" w:eastAsia="zh-CN"/>
        </w:rPr>
        <w:t>元，</w:t>
      </w:r>
      <w:r>
        <w:rPr>
          <w:rStyle w:val="17"/>
          <w:rFonts w:hint="eastAsia" w:ascii="仿宋" w:hAnsi="仿宋" w:eastAsia="仿宋" w:cs="Times New Roman"/>
          <w:sz w:val="32"/>
          <w:szCs w:val="32"/>
          <w:lang w:val="en-US" w:eastAsia="zh-CN"/>
        </w:rPr>
        <w:t>其中</w:t>
      </w:r>
      <w:r>
        <w:rPr>
          <w:rStyle w:val="17"/>
          <w:rFonts w:hint="default" w:ascii="仿宋" w:hAnsi="仿宋" w:eastAsia="仿宋"/>
          <w:sz w:val="32"/>
          <w:szCs w:val="32"/>
        </w:rPr>
        <w:t>环保</w:t>
      </w:r>
      <w:r>
        <w:rPr>
          <w:rStyle w:val="17"/>
          <w:rFonts w:hint="default" w:ascii="仿宋" w:hAnsi="仿宋" w:eastAsia="仿宋" w:cs="Times New Roman"/>
          <w:color w:val="auto"/>
          <w:sz w:val="32"/>
          <w:szCs w:val="32"/>
          <w:lang w:eastAsia="zh-CN"/>
        </w:rPr>
        <w:t>投资</w:t>
      </w:r>
      <w:r>
        <w:rPr>
          <w:rStyle w:val="17"/>
          <w:rFonts w:hint="eastAsia" w:ascii="仿宋" w:hAnsi="仿宋" w:eastAsia="仿宋" w:cs="Times New Roman"/>
          <w:color w:val="auto"/>
          <w:sz w:val="32"/>
          <w:szCs w:val="32"/>
          <w:lang w:val="en-US" w:eastAsia="zh-CN"/>
        </w:rPr>
        <w:t>1906万元</w:t>
      </w:r>
      <w:r>
        <w:rPr>
          <w:rStyle w:val="17"/>
          <w:rFonts w:hint="eastAsia" w:ascii="仿宋" w:hAnsi="仿宋" w:eastAsia="仿宋" w:cs="Times New Roman"/>
          <w:color w:val="auto"/>
          <w:sz w:val="32"/>
          <w:szCs w:val="32"/>
          <w:lang w:eastAsia="zh-CN"/>
        </w:rPr>
        <w:t>。主要建设</w:t>
      </w:r>
      <w:r>
        <w:rPr>
          <w:rStyle w:val="17"/>
          <w:rFonts w:hint="eastAsia" w:ascii="仿宋" w:hAnsi="仿宋" w:eastAsia="仿宋" w:cs="Times New Roman"/>
          <w:sz w:val="32"/>
          <w:szCs w:val="32"/>
          <w:lang w:eastAsia="zh-CN"/>
        </w:rPr>
        <w:t>内容及规模：</w:t>
      </w:r>
      <w:r>
        <w:rPr>
          <w:rStyle w:val="17"/>
          <w:rFonts w:hint="eastAsia" w:ascii="仿宋" w:hAnsi="仿宋" w:eastAsia="仿宋" w:cs="Times New Roman"/>
          <w:sz w:val="32"/>
          <w:szCs w:val="32"/>
          <w:highlight w:val="none"/>
          <w:lang w:val="en-US" w:eastAsia="zh-CN"/>
        </w:rPr>
        <w:t>本灾害治理工程包括一号治理区和二号治理区，一号治理区位于矿区南部，地表境界面积67.1公顷；二号治理区位于矿区北部，地表境界面积92.1公顷。治理工艺为单斗-卡车工艺，</w:t>
      </w:r>
      <w:r>
        <w:rPr>
          <w:rStyle w:val="17"/>
          <w:rFonts w:hint="default" w:ascii="仿宋" w:hAnsi="仿宋" w:eastAsia="仿宋" w:cs="Times New Roman"/>
          <w:sz w:val="32"/>
          <w:szCs w:val="32"/>
          <w:highlight w:val="none"/>
          <w:lang w:val="en-US" w:eastAsia="zh-CN"/>
        </w:rPr>
        <w:t>治</w:t>
      </w:r>
      <w:r>
        <w:rPr>
          <w:rStyle w:val="17"/>
          <w:rFonts w:hint="default" w:ascii="仿宋" w:hAnsi="仿宋" w:eastAsia="仿宋" w:cs="Times New Roman"/>
          <w:sz w:val="32"/>
          <w:szCs w:val="32"/>
          <w:lang w:val="en-US" w:eastAsia="zh-CN"/>
        </w:rPr>
        <w:t>理区剥离总量为5647.59万</w:t>
      </w:r>
      <w:r>
        <w:rPr>
          <w:rStyle w:val="17"/>
          <w:rFonts w:hint="eastAsia" w:ascii="仿宋" w:hAnsi="仿宋" w:eastAsia="仿宋" w:cs="Times New Roman"/>
          <w:sz w:val="32"/>
          <w:szCs w:val="32"/>
          <w:lang w:val="en-US" w:eastAsia="zh-CN"/>
        </w:rPr>
        <w:t>立方米</w:t>
      </w:r>
      <w:r>
        <w:rPr>
          <w:rStyle w:val="17"/>
          <w:rFonts w:hint="default" w:ascii="仿宋" w:hAnsi="仿宋" w:eastAsia="仿宋" w:cs="Times New Roman"/>
          <w:sz w:val="32"/>
          <w:szCs w:val="32"/>
          <w:lang w:val="en-US" w:eastAsia="zh-CN"/>
        </w:rPr>
        <w:t>，可回收残煤量为348.6万</w:t>
      </w:r>
      <w:r>
        <w:rPr>
          <w:rStyle w:val="17"/>
          <w:rFonts w:hint="eastAsia" w:ascii="仿宋" w:hAnsi="仿宋" w:eastAsia="仿宋" w:cs="Times New Roman"/>
          <w:sz w:val="32"/>
          <w:szCs w:val="32"/>
          <w:lang w:val="en-US" w:eastAsia="zh-CN"/>
        </w:rPr>
        <w:t>吨，生态恢复</w:t>
      </w:r>
      <w:r>
        <w:rPr>
          <w:rStyle w:val="17"/>
          <w:rFonts w:hint="default" w:ascii="仿宋" w:hAnsi="仿宋" w:eastAsia="仿宋" w:cs="Times New Roman"/>
          <w:sz w:val="32"/>
          <w:szCs w:val="32"/>
          <w:lang w:val="en-US" w:eastAsia="zh-CN"/>
        </w:rPr>
        <w:t>面积202.5</w:t>
      </w:r>
      <w:r>
        <w:rPr>
          <w:rStyle w:val="17"/>
          <w:rFonts w:hint="eastAsia" w:ascii="仿宋" w:hAnsi="仿宋" w:eastAsia="仿宋" w:cs="Times New Roman"/>
          <w:sz w:val="32"/>
          <w:szCs w:val="32"/>
          <w:highlight w:val="none"/>
          <w:lang w:val="en-US" w:eastAsia="zh-CN"/>
        </w:rPr>
        <w:t>公顷。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rPr>
      </w:pPr>
      <w:r>
        <w:rPr>
          <w:rStyle w:val="17"/>
          <w:rFonts w:hint="eastAsia" w:ascii="仿宋" w:hAnsi="仿宋" w:eastAsia="仿宋"/>
          <w:sz w:val="32"/>
          <w:szCs w:val="32"/>
          <w:lang w:eastAsia="zh-CN"/>
        </w:rPr>
        <w:t>该项目属于</w:t>
      </w:r>
      <w:r>
        <w:rPr>
          <w:rStyle w:val="17"/>
          <w:rFonts w:hint="eastAsia" w:ascii="仿宋" w:hAnsi="仿宋" w:eastAsia="仿宋"/>
          <w:sz w:val="32"/>
          <w:szCs w:val="32"/>
        </w:rPr>
        <w:t>内蒙古自治区煤炭工业局</w:t>
      </w:r>
      <w:r>
        <w:rPr>
          <w:rStyle w:val="17"/>
          <w:rFonts w:hint="eastAsia" w:ascii="仿宋" w:hAnsi="仿宋" w:eastAsia="仿宋"/>
          <w:sz w:val="32"/>
          <w:szCs w:val="32"/>
          <w:lang w:eastAsia="zh-CN"/>
        </w:rPr>
        <w:t>批复的</w:t>
      </w:r>
      <w:r>
        <w:rPr>
          <w:rStyle w:val="17"/>
          <w:rFonts w:hint="eastAsia" w:ascii="仿宋" w:hAnsi="仿宋" w:eastAsia="仿宋"/>
          <w:sz w:val="32"/>
          <w:szCs w:val="32"/>
        </w:rPr>
        <w:t>《</w:t>
      </w:r>
      <w:r>
        <w:rPr>
          <w:rStyle w:val="17"/>
          <w:rFonts w:hint="eastAsia" w:ascii="仿宋" w:hAnsi="仿宋" w:eastAsia="仿宋"/>
          <w:sz w:val="32"/>
          <w:szCs w:val="32"/>
          <w:lang w:eastAsia="zh-CN"/>
        </w:rPr>
        <w:t>关于</w:t>
      </w:r>
      <w:r>
        <w:rPr>
          <w:rStyle w:val="17"/>
          <w:rFonts w:hint="eastAsia" w:ascii="仿宋" w:hAnsi="仿宋" w:eastAsia="仿宋"/>
          <w:sz w:val="32"/>
          <w:szCs w:val="32"/>
        </w:rPr>
        <w:t>鄂尔多斯市煤矿采空区灾害综合治理总体规划》（内煤局字[2014]363号文件）</w:t>
      </w:r>
      <w:r>
        <w:rPr>
          <w:rStyle w:val="17"/>
          <w:rFonts w:hint="eastAsia" w:ascii="仿宋" w:hAnsi="仿宋" w:eastAsia="仿宋"/>
          <w:sz w:val="32"/>
          <w:szCs w:val="32"/>
          <w:lang w:eastAsia="zh-CN"/>
        </w:rPr>
        <w:t>中确定的治理区，并且</w:t>
      </w:r>
      <w:r>
        <w:rPr>
          <w:rStyle w:val="17"/>
          <w:rFonts w:hint="eastAsia" w:ascii="仿宋" w:hAnsi="仿宋" w:eastAsia="仿宋"/>
          <w:sz w:val="32"/>
          <w:szCs w:val="32"/>
          <w:lang w:val="en-US" w:eastAsia="zh-CN"/>
        </w:rPr>
        <w:t>鄂尔多斯人民政府</w:t>
      </w:r>
      <w:r>
        <w:rPr>
          <w:rStyle w:val="17"/>
          <w:rFonts w:hint="eastAsia" w:ascii="仿宋" w:hAnsi="仿宋" w:eastAsia="仿宋"/>
          <w:sz w:val="32"/>
          <w:szCs w:val="32"/>
          <w:lang w:eastAsia="zh-CN"/>
        </w:rPr>
        <w:t>下发了《关于</w:t>
      </w:r>
      <w:r>
        <w:rPr>
          <w:rStyle w:val="17"/>
          <w:rFonts w:hint="eastAsia" w:ascii="仿宋" w:hAnsi="仿宋" w:eastAsia="仿宋"/>
          <w:sz w:val="32"/>
          <w:szCs w:val="32"/>
          <w:lang w:val="en-US" w:eastAsia="zh-CN"/>
        </w:rPr>
        <w:t>同意鄂尔多斯市</w:t>
      </w:r>
      <w:r>
        <w:rPr>
          <w:rStyle w:val="17"/>
          <w:rFonts w:hint="eastAsia" w:ascii="仿宋" w:hAnsi="仿宋" w:eastAsia="仿宋"/>
          <w:sz w:val="32"/>
          <w:szCs w:val="32"/>
          <w:lang w:eastAsia="zh-CN"/>
        </w:rPr>
        <w:t>巴音孟克纳汇煤炭有限责任公司煤矿采空区灾害综合治理</w:t>
      </w:r>
      <w:r>
        <w:rPr>
          <w:rStyle w:val="17"/>
          <w:rFonts w:hint="eastAsia" w:ascii="仿宋" w:hAnsi="仿宋" w:eastAsia="仿宋"/>
          <w:sz w:val="32"/>
          <w:szCs w:val="32"/>
          <w:lang w:val="en-US" w:eastAsia="zh-CN"/>
        </w:rPr>
        <w:t>优化初步设计方案</w:t>
      </w:r>
      <w:r>
        <w:rPr>
          <w:rStyle w:val="17"/>
          <w:rFonts w:hint="eastAsia" w:ascii="仿宋" w:hAnsi="仿宋" w:eastAsia="仿宋"/>
          <w:sz w:val="32"/>
          <w:szCs w:val="32"/>
          <w:lang w:eastAsia="zh-CN"/>
        </w:rPr>
        <w:t>的批复》（</w:t>
      </w:r>
      <w:r>
        <w:rPr>
          <w:rStyle w:val="17"/>
          <w:rFonts w:hint="eastAsia" w:ascii="仿宋" w:hAnsi="仿宋" w:eastAsia="仿宋"/>
          <w:sz w:val="32"/>
          <w:szCs w:val="32"/>
          <w:lang w:val="en-US" w:eastAsia="zh-CN"/>
        </w:rPr>
        <w:t>鄂府发</w:t>
      </w:r>
      <w:r>
        <w:rPr>
          <w:rStyle w:val="17"/>
          <w:rFonts w:hint="eastAsia" w:ascii="仿宋" w:hAnsi="仿宋" w:eastAsia="仿宋"/>
          <w:sz w:val="32"/>
          <w:szCs w:val="32"/>
          <w:lang w:eastAsia="zh-CN"/>
        </w:rPr>
        <w:t>[20</w:t>
      </w:r>
      <w:r>
        <w:rPr>
          <w:rStyle w:val="17"/>
          <w:rFonts w:hint="eastAsia" w:ascii="仿宋" w:hAnsi="仿宋" w:eastAsia="仿宋"/>
          <w:sz w:val="32"/>
          <w:szCs w:val="32"/>
          <w:lang w:val="en-US" w:eastAsia="zh-CN"/>
        </w:rPr>
        <w:t>22</w:t>
      </w:r>
      <w:r>
        <w:rPr>
          <w:rStyle w:val="17"/>
          <w:rFonts w:hint="eastAsia" w:ascii="仿宋" w:hAnsi="仿宋" w:eastAsia="仿宋"/>
          <w:sz w:val="32"/>
          <w:szCs w:val="32"/>
          <w:lang w:eastAsia="zh-CN"/>
        </w:rPr>
        <w:t>]</w:t>
      </w:r>
      <w:r>
        <w:rPr>
          <w:rStyle w:val="17"/>
          <w:rFonts w:hint="eastAsia" w:ascii="仿宋" w:hAnsi="仿宋" w:eastAsia="仿宋"/>
          <w:sz w:val="32"/>
          <w:szCs w:val="32"/>
          <w:lang w:val="en-US" w:eastAsia="zh-CN"/>
        </w:rPr>
        <w:t>162</w:t>
      </w:r>
      <w:r>
        <w:rPr>
          <w:rStyle w:val="17"/>
          <w:rFonts w:hint="eastAsia" w:ascii="仿宋" w:hAnsi="仿宋" w:eastAsia="仿宋"/>
          <w:sz w:val="32"/>
          <w:szCs w:val="32"/>
          <w:lang w:eastAsia="zh-CN"/>
        </w:rPr>
        <w:t>号）。</w:t>
      </w: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lang w:val="en-US" w:eastAsia="zh-CN"/>
        </w:rPr>
        <w:t>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rPr>
      </w:pPr>
      <w:r>
        <w:rPr>
          <w:rStyle w:val="17"/>
          <w:rFonts w:hint="eastAsia"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1、</w:t>
      </w:r>
      <w:r>
        <w:rPr>
          <w:rStyle w:val="17"/>
          <w:rFonts w:hint="eastAsia"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加强施工期环境管理，配备足够的洒水车、篷布等防尘设备，有效控制施工期剥挖、运输过程中产生的扬尘污染。挖方过程中表土方与弃土方分开放置</w:t>
      </w:r>
      <w:r>
        <w:rPr>
          <w:rStyle w:val="17"/>
          <w:rFonts w:hint="eastAsia" w:ascii="仿宋" w:hAnsi="仿宋" w:eastAsia="仿宋" w:cs="Times New Roman"/>
          <w:color w:val="0D0D0D" w:themeColor="text1" w:themeTint="F2"/>
          <w:sz w:val="32"/>
          <w:szCs w:val="32"/>
          <w:highlight w:val="none"/>
          <w:lang w:eastAsia="zh-CN"/>
          <w14:textFill>
            <w14:solidFill>
              <w14:schemeClr w14:val="tx1">
                <w14:lumMod w14:val="95000"/>
                <w14:lumOff w14:val="5000"/>
              </w14:schemeClr>
            </w14:solidFill>
          </w14:textFill>
        </w:rPr>
        <w:t>。</w:t>
      </w:r>
      <w:r>
        <w:rPr>
          <w:rStyle w:val="17"/>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对</w:t>
      </w:r>
      <w:r>
        <w:rPr>
          <w:rStyle w:val="17"/>
          <w:rFonts w:hint="eastAsia" w:ascii="仿宋" w:hAnsi="仿宋" w:eastAsia="仿宋" w:cs="Times New Roman"/>
          <w:color w:val="0D0D0D" w:themeColor="text1" w:themeTint="F2"/>
          <w:sz w:val="32"/>
          <w:szCs w:val="32"/>
          <w:highlight w:val="none"/>
          <w:lang w:eastAsia="zh-CN"/>
          <w14:textFill>
            <w14:solidFill>
              <w14:schemeClr w14:val="tx1">
                <w14:lumMod w14:val="95000"/>
                <w14:lumOff w14:val="5000"/>
              </w14:schemeClr>
            </w14:solidFill>
          </w14:textFill>
        </w:rPr>
        <w:t>外排土场、治理区和场外道路</w:t>
      </w:r>
      <w:r>
        <w:rPr>
          <w:rStyle w:val="17"/>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采取覆土措施</w:t>
      </w:r>
      <w:r>
        <w:rPr>
          <w:rStyle w:val="17"/>
          <w:rFonts w:hint="eastAsia" w:ascii="仿宋" w:hAnsi="仿宋" w:eastAsia="仿宋" w:cs="Times New Roman"/>
          <w:color w:val="0D0D0D" w:themeColor="text1" w:themeTint="F2"/>
          <w:sz w:val="32"/>
          <w:szCs w:val="32"/>
          <w:highlight w:val="none"/>
          <w:lang w:eastAsia="zh-CN"/>
          <w14:textFill>
            <w14:solidFill>
              <w14:schemeClr w14:val="tx1">
                <w14:lumMod w14:val="95000"/>
                <w14:lumOff w14:val="5000"/>
              </w14:schemeClr>
            </w14:solidFill>
          </w14:textFill>
        </w:rPr>
        <w:t>，</w:t>
      </w:r>
      <w:r>
        <w:rPr>
          <w:rStyle w:val="17"/>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尽快恢复植被。</w:t>
      </w:r>
      <w:r>
        <w:rPr>
          <w:rFonts w:ascii="仿宋" w:hAnsi="仿宋" w:eastAsia="仿宋" w:cs="仿宋"/>
          <w:color w:val="auto"/>
          <w:sz w:val="32"/>
          <w:szCs w:val="32"/>
        </w:rPr>
        <w:t>施工期大气污染物排放</w:t>
      </w:r>
      <w:r>
        <w:rPr>
          <w:rFonts w:hint="eastAsia" w:ascii="仿宋" w:hAnsi="仿宋" w:eastAsia="仿宋" w:cs="仿宋"/>
          <w:color w:val="auto"/>
          <w:sz w:val="32"/>
          <w:szCs w:val="32"/>
        </w:rPr>
        <w:t>执行《煤炭工业污染物排放标准》（GB20426-2006）表5</w:t>
      </w:r>
      <w:r>
        <w:rPr>
          <w:rFonts w:hint="eastAsia" w:ascii="仿宋" w:hAnsi="仿宋" w:eastAsia="仿宋" w:cs="仿宋"/>
          <w:color w:val="auto"/>
          <w:sz w:val="32"/>
          <w:szCs w:val="32"/>
          <w:lang w:eastAsia="zh-CN"/>
        </w:rPr>
        <w:t>煤炭工业</w:t>
      </w:r>
      <w:r>
        <w:rPr>
          <w:rFonts w:hint="eastAsia" w:ascii="仿宋" w:hAnsi="仿宋" w:eastAsia="仿宋" w:cs="仿宋"/>
          <w:color w:val="auto"/>
          <w:sz w:val="32"/>
          <w:szCs w:val="32"/>
        </w:rPr>
        <w:t>无组织排放限值。</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施工期</w:t>
      </w:r>
      <w:r>
        <w:rPr>
          <w:rFonts w:hint="eastAsia" w:ascii="仿宋" w:hAnsi="仿宋" w:eastAsia="仿宋" w:cs="仿宋"/>
          <w:color w:val="auto"/>
          <w:sz w:val="32"/>
          <w:szCs w:val="32"/>
          <w:lang w:val="en-US" w:eastAsia="zh-CN"/>
        </w:rPr>
        <w:t>添耳漫梁村</w:t>
      </w:r>
      <w:r>
        <w:rPr>
          <w:rFonts w:hint="default" w:ascii="仿宋" w:hAnsi="仿宋" w:eastAsia="仿宋" w:cs="仿宋"/>
          <w:color w:val="auto"/>
          <w:sz w:val="32"/>
          <w:szCs w:val="32"/>
          <w:lang w:val="en-US" w:eastAsia="zh-CN"/>
        </w:rPr>
        <w:t>居住的外包人员</w:t>
      </w:r>
      <w:r>
        <w:rPr>
          <w:rFonts w:hint="eastAsia" w:ascii="仿宋" w:hAnsi="仿宋" w:eastAsia="仿宋" w:cs="仿宋"/>
          <w:color w:val="auto"/>
          <w:sz w:val="32"/>
          <w:szCs w:val="32"/>
          <w:lang w:val="en-US" w:eastAsia="zh-CN"/>
        </w:rPr>
        <w:t>生活污水排入农村生活污水管网；工业场地</w:t>
      </w:r>
      <w:r>
        <w:rPr>
          <w:rFonts w:hint="eastAsia" w:ascii="仿宋" w:hAnsi="仿宋" w:eastAsia="仿宋" w:cs="仿宋"/>
          <w:color w:val="auto"/>
          <w:sz w:val="32"/>
          <w:szCs w:val="32"/>
          <w:highlight w:val="none"/>
          <w:lang w:val="en-US" w:eastAsia="zh-CN"/>
        </w:rPr>
        <w:t>外包人员生活污水依托</w:t>
      </w:r>
      <w:r>
        <w:rPr>
          <w:rFonts w:hint="default" w:ascii="仿宋" w:hAnsi="仿宋" w:eastAsia="仿宋" w:cs="仿宋"/>
          <w:color w:val="auto"/>
          <w:sz w:val="32"/>
          <w:szCs w:val="32"/>
          <w:highlight w:val="none"/>
          <w:lang w:val="en-US" w:eastAsia="zh-CN"/>
        </w:rPr>
        <w:t>工业场地</w:t>
      </w:r>
      <w:r>
        <w:rPr>
          <w:rFonts w:hint="default" w:ascii="仿宋" w:hAnsi="仿宋" w:eastAsia="仿宋" w:cs="仿宋"/>
          <w:color w:val="auto"/>
          <w:sz w:val="32"/>
          <w:szCs w:val="32"/>
          <w:highlight w:val="none"/>
        </w:rPr>
        <w:t>污水处理站</w:t>
      </w:r>
      <w:r>
        <w:rPr>
          <w:rFonts w:hint="eastAsia" w:ascii="仿宋" w:hAnsi="仿宋" w:eastAsia="仿宋" w:cs="仿宋"/>
          <w:color w:val="auto"/>
          <w:sz w:val="32"/>
          <w:szCs w:val="32"/>
          <w:highlight w:val="none"/>
          <w:lang w:eastAsia="zh-CN"/>
        </w:rPr>
        <w:t>进行</w:t>
      </w:r>
      <w:r>
        <w:rPr>
          <w:rFonts w:hint="default" w:ascii="仿宋" w:hAnsi="仿宋" w:eastAsia="仿宋" w:cs="仿宋"/>
          <w:color w:val="auto"/>
          <w:sz w:val="32"/>
          <w:szCs w:val="32"/>
          <w:highlight w:val="none"/>
        </w:rPr>
        <w:t>处理</w:t>
      </w:r>
      <w:r>
        <w:rPr>
          <w:rFonts w:hint="eastAsia" w:ascii="仿宋" w:hAnsi="仿宋" w:eastAsia="仿宋" w:cs="仿宋"/>
          <w:color w:val="auto"/>
          <w:sz w:val="32"/>
          <w:szCs w:val="32"/>
          <w:highlight w:val="none"/>
          <w:lang w:eastAsia="zh-CN"/>
        </w:rPr>
        <w:t>，处理达标后全部回用；</w:t>
      </w:r>
      <w:r>
        <w:rPr>
          <w:rFonts w:hint="default" w:ascii="仿宋" w:hAnsi="仿宋" w:eastAsia="仿宋" w:cs="仿宋"/>
          <w:color w:val="auto"/>
          <w:sz w:val="32"/>
          <w:szCs w:val="32"/>
          <w:highlight w:val="none"/>
          <w:lang w:val="en-US" w:eastAsia="zh-CN"/>
        </w:rPr>
        <w:t>矿坑水</w:t>
      </w:r>
      <w:r>
        <w:rPr>
          <w:rFonts w:hint="eastAsia" w:ascii="仿宋" w:hAnsi="仿宋" w:eastAsia="仿宋" w:cs="仿宋"/>
          <w:color w:val="auto"/>
          <w:sz w:val="32"/>
          <w:szCs w:val="32"/>
          <w:highlight w:val="none"/>
          <w:lang w:val="en-US" w:eastAsia="zh-CN"/>
        </w:rPr>
        <w:t>回用于治理区洒水</w:t>
      </w:r>
      <w:r>
        <w:rPr>
          <w:rFonts w:hint="default" w:ascii="仿宋" w:hAnsi="仿宋" w:eastAsia="仿宋" w:cs="仿宋"/>
          <w:color w:val="auto"/>
          <w:sz w:val="32"/>
          <w:szCs w:val="32"/>
          <w:highlight w:val="none"/>
          <w:lang w:val="en-US" w:eastAsia="zh-CN"/>
        </w:rPr>
        <w:t>、道路洒水。</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3、施工期选用低噪声施工设备，合理安排作业时间，避免夜间施工，控制车辆时速。</w:t>
      </w:r>
      <w:r>
        <w:rPr>
          <w:rFonts w:hint="eastAsia" w:ascii="仿宋" w:hAnsi="仿宋" w:eastAsia="仿宋" w:cs="仿宋"/>
          <w:color w:val="auto"/>
          <w:sz w:val="32"/>
          <w:szCs w:val="32"/>
        </w:rPr>
        <w:t>施工期噪声执行《建筑施工场界环境噪声排放标</w:t>
      </w:r>
      <w:r>
        <w:rPr>
          <w:rFonts w:hint="eastAsia" w:ascii="仿宋" w:hAnsi="仿宋" w:eastAsia="仿宋" w:cs="仿宋"/>
          <w:color w:val="auto"/>
          <w:sz w:val="32"/>
          <w:szCs w:val="32"/>
          <w:lang w:val="en-US" w:eastAsia="zh-CN"/>
        </w:rPr>
        <w:t>准》（GB12523-2011）。</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4、运营期厂界噪声执行《工业企业厂界环境噪声排放标准》（GB12348-2008）中2类标准。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color w:val="auto"/>
        </w:rPr>
      </w:pPr>
      <w:r>
        <w:rPr>
          <w:rFonts w:hint="eastAsia" w:ascii="仿宋" w:hAnsi="仿宋" w:eastAsia="仿宋" w:cs="仿宋"/>
          <w:color w:val="auto"/>
          <w:sz w:val="32"/>
          <w:szCs w:val="32"/>
          <w:lang w:val="en-US" w:eastAsia="zh-CN"/>
        </w:rPr>
        <w:t>5、妥善处置各类固体废弃物。建设单位须严格按照《一般工业固体废物贮存和填埋污染控制标准》（GB18599-2020）处置一般固废，不得乱弃</w:t>
      </w:r>
      <w:r>
        <w:rPr>
          <w:rFonts w:hint="eastAsia" w:ascii="仿宋" w:hAnsi="仿宋" w:eastAsia="仿宋" w:cs="仿宋"/>
          <w:strike w:val="0"/>
          <w:dstrike w:val="0"/>
          <w:color w:val="auto"/>
          <w:kern w:val="0"/>
          <w:sz w:val="32"/>
          <w:szCs w:val="32"/>
          <w:lang w:val="en-US" w:eastAsia="zh-CN" w:bidi="ar-SA"/>
        </w:rPr>
        <w:t>。危险废物</w:t>
      </w:r>
      <w:r>
        <w:rPr>
          <w:rFonts w:hint="eastAsia" w:ascii="仿宋" w:hAnsi="仿宋" w:eastAsia="仿宋" w:cs="仿宋"/>
          <w:color w:val="auto"/>
          <w:sz w:val="32"/>
          <w:szCs w:val="32"/>
          <w:lang w:val="en-US" w:eastAsia="zh-CN"/>
        </w:rPr>
        <w:t>执行</w:t>
      </w:r>
      <w:r>
        <w:rPr>
          <w:rFonts w:hint="default" w:ascii="仿宋" w:hAnsi="仿宋" w:eastAsia="仿宋" w:cs="仿宋"/>
          <w:color w:val="auto"/>
          <w:sz w:val="32"/>
          <w:szCs w:val="32"/>
          <w:lang w:val="en-US"/>
        </w:rPr>
        <w:t>《危险废物贮存污染控制标准》（GB18597-20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6、</w:t>
      </w:r>
      <w:r>
        <w:rPr>
          <w:rStyle w:val="17"/>
          <w:rFonts w:hint="eastAsia" w:ascii="仿宋" w:hAnsi="仿宋" w:eastAsia="仿宋" w:cs="Times New Roman"/>
          <w:sz w:val="32"/>
          <w:szCs w:val="32"/>
          <w:lang w:eastAsia="zh-CN"/>
        </w:rPr>
        <w:t>按照法律法规和主管部门要求，坚持因地制宜原则，做好生态保护及生态修复工作，保障区域生态功能不退化。在治理工程实施前，</w:t>
      </w:r>
      <w:r>
        <w:rPr>
          <w:rStyle w:val="17"/>
          <w:rFonts w:hint="eastAsia" w:ascii="仿宋" w:hAnsi="仿宋" w:eastAsia="仿宋" w:cs="Times New Roman"/>
          <w:sz w:val="32"/>
          <w:szCs w:val="32"/>
          <w:lang w:val="en-US" w:eastAsia="zh-CN"/>
        </w:rPr>
        <w:t>由建设单位对赵唐公路进行改线，改线后的赵唐公路于治理区东部绕行，治理工程结束后恢复赵唐公路原有线路。</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lang w:val="en-US" w:eastAsia="zh-CN"/>
        </w:rPr>
      </w:pPr>
      <w:r>
        <w:rPr>
          <w:rStyle w:val="17"/>
          <w:rFonts w:hint="eastAsia" w:ascii="仿宋" w:hAnsi="仿宋" w:eastAsia="仿宋" w:cs="Times New Roman"/>
          <w:sz w:val="32"/>
          <w:szCs w:val="32"/>
          <w:lang w:val="en-US" w:eastAsia="zh-CN"/>
        </w:rPr>
        <w:t>7、</w:t>
      </w:r>
      <w:r>
        <w:rPr>
          <w:rFonts w:hint="default" w:ascii="仿宋" w:hAnsi="仿宋" w:eastAsia="仿宋" w:cs="仿宋"/>
          <w:color w:val="auto"/>
          <w:sz w:val="32"/>
          <w:szCs w:val="32"/>
          <w:lang w:val="en-US" w:eastAsia="zh-CN" w:bidi="ar-SA"/>
        </w:rPr>
        <w:t>严格遵循“源头控制、分区防控</w:t>
      </w:r>
      <w:r>
        <w:rPr>
          <w:rFonts w:hint="eastAsia" w:ascii="仿宋" w:hAnsi="仿宋" w:eastAsia="仿宋" w:cs="仿宋"/>
          <w:color w:val="auto"/>
          <w:sz w:val="32"/>
          <w:szCs w:val="32"/>
          <w:lang w:val="en-US" w:eastAsia="zh-CN" w:bidi="ar-SA"/>
        </w:rPr>
        <w:t>、</w:t>
      </w:r>
      <w:r>
        <w:rPr>
          <w:rFonts w:hint="default" w:ascii="仿宋" w:hAnsi="仿宋" w:eastAsia="仿宋" w:cs="仿宋"/>
          <w:color w:val="auto"/>
          <w:sz w:val="32"/>
          <w:szCs w:val="32"/>
          <w:lang w:val="en-US" w:eastAsia="zh-CN" w:bidi="ar-SA"/>
        </w:rPr>
        <w:t>污染监控、应急响应”的原则，制定地下水保护</w:t>
      </w:r>
      <w:bookmarkStart w:id="0" w:name="_GoBack"/>
      <w:bookmarkEnd w:id="0"/>
      <w:r>
        <w:rPr>
          <w:rFonts w:hint="default" w:ascii="仿宋" w:hAnsi="仿宋" w:eastAsia="仿宋" w:cs="仿宋"/>
          <w:color w:val="auto"/>
          <w:sz w:val="32"/>
          <w:szCs w:val="32"/>
          <w:lang w:val="en-US" w:eastAsia="zh-CN" w:bidi="ar-SA"/>
        </w:rPr>
        <w:t>和应急方案，严格落实地下水保护和污染防治措施。</w:t>
      </w:r>
    </w:p>
    <w:p>
      <w:pPr>
        <w:pStyle w:val="3"/>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8、强化环境风险防范，制定突发环境事件应急预案，落实环境风险事故防范措施，提高事故风险防范和污染控制能力。</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pStyle w:val="3"/>
        <w:keepNext w:val="0"/>
        <w:keepLines w:val="0"/>
        <w:pageBreakBefore w:val="0"/>
        <w:kinsoku/>
        <w:wordWrap/>
        <w:overflowPunct/>
        <w:topLinePunct w:val="0"/>
        <w:autoSpaceDE/>
        <w:autoSpaceDN/>
        <w:bidi w:val="0"/>
        <w:adjustRightInd/>
        <w:snapToGrid/>
        <w:spacing w:line="360" w:lineRule="auto"/>
        <w:jc w:val="both"/>
        <w:rPr>
          <w:color w:val="auto"/>
        </w:rPr>
      </w:pPr>
    </w:p>
    <w:p>
      <w:pPr>
        <w:keepNext w:val="0"/>
        <w:keepLines w:val="0"/>
        <w:pageBreakBefore w:val="0"/>
        <w:kinsoku/>
        <w:wordWrap/>
        <w:overflowPunct/>
        <w:topLinePunct w:val="0"/>
        <w:autoSpaceDE/>
        <w:autoSpaceDN/>
        <w:bidi w:val="0"/>
        <w:adjustRightInd/>
        <w:snapToGrid/>
        <w:spacing w:line="360" w:lineRule="auto"/>
        <w:jc w:val="both"/>
      </w:pPr>
    </w:p>
    <w:p>
      <w:pPr>
        <w:pStyle w:val="3"/>
        <w:keepNext w:val="0"/>
        <w:keepLines w:val="0"/>
        <w:pageBreakBefore w:val="0"/>
        <w:widowControl/>
        <w:kinsoku/>
        <w:wordWrap/>
        <w:overflowPunct/>
        <w:topLinePunct w:val="0"/>
        <w:autoSpaceDE/>
        <w:autoSpaceDN/>
        <w:bidi w:val="0"/>
        <w:adjustRightInd/>
        <w:snapToGrid/>
        <w:spacing w:line="560" w:lineRule="exact"/>
      </w:pPr>
    </w:p>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9</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13</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9</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13</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0" w:right="1530"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8CCEFD2"/>
    <w:multiLevelType w:val="singleLevel"/>
    <w:tmpl w:val="78CCEFD2"/>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0961CD"/>
    <w:rsid w:val="001204A9"/>
    <w:rsid w:val="0015076A"/>
    <w:rsid w:val="00175BF5"/>
    <w:rsid w:val="002D2E4B"/>
    <w:rsid w:val="00354558"/>
    <w:rsid w:val="00494E3D"/>
    <w:rsid w:val="005B2A4E"/>
    <w:rsid w:val="006F5E64"/>
    <w:rsid w:val="007E2F8E"/>
    <w:rsid w:val="008102F1"/>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F51EA"/>
    <w:rsid w:val="04CC1D57"/>
    <w:rsid w:val="04F715EE"/>
    <w:rsid w:val="04F72C71"/>
    <w:rsid w:val="05337BE9"/>
    <w:rsid w:val="059A4722"/>
    <w:rsid w:val="05A54A82"/>
    <w:rsid w:val="05D94866"/>
    <w:rsid w:val="060A1C1B"/>
    <w:rsid w:val="06191689"/>
    <w:rsid w:val="06CA02D1"/>
    <w:rsid w:val="06CC5F39"/>
    <w:rsid w:val="06E35A8B"/>
    <w:rsid w:val="06E450D7"/>
    <w:rsid w:val="06F42603"/>
    <w:rsid w:val="06F55023"/>
    <w:rsid w:val="071479B9"/>
    <w:rsid w:val="07350EE8"/>
    <w:rsid w:val="075C516B"/>
    <w:rsid w:val="075E259A"/>
    <w:rsid w:val="075F5B44"/>
    <w:rsid w:val="07E24DC5"/>
    <w:rsid w:val="08660559"/>
    <w:rsid w:val="088554D8"/>
    <w:rsid w:val="08A1120A"/>
    <w:rsid w:val="08AD4A87"/>
    <w:rsid w:val="08B51389"/>
    <w:rsid w:val="08CE2C2B"/>
    <w:rsid w:val="08EA5D86"/>
    <w:rsid w:val="08FE4C90"/>
    <w:rsid w:val="090362EF"/>
    <w:rsid w:val="090866C9"/>
    <w:rsid w:val="097134F8"/>
    <w:rsid w:val="098F5074"/>
    <w:rsid w:val="09B06929"/>
    <w:rsid w:val="0A3D33B0"/>
    <w:rsid w:val="0A5D0D80"/>
    <w:rsid w:val="0A667AEF"/>
    <w:rsid w:val="0A6D53BD"/>
    <w:rsid w:val="0A9A115F"/>
    <w:rsid w:val="0AA477AD"/>
    <w:rsid w:val="0B154457"/>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9279E"/>
    <w:rsid w:val="0E9A33FF"/>
    <w:rsid w:val="0EB63E6D"/>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283777"/>
    <w:rsid w:val="13464D5E"/>
    <w:rsid w:val="135B2B33"/>
    <w:rsid w:val="1398649C"/>
    <w:rsid w:val="139A0B1F"/>
    <w:rsid w:val="13BE21AB"/>
    <w:rsid w:val="13C532EF"/>
    <w:rsid w:val="13FD62A6"/>
    <w:rsid w:val="144C07C7"/>
    <w:rsid w:val="145C3BFD"/>
    <w:rsid w:val="15513EF0"/>
    <w:rsid w:val="1562595D"/>
    <w:rsid w:val="15652C35"/>
    <w:rsid w:val="156D1455"/>
    <w:rsid w:val="15E91737"/>
    <w:rsid w:val="16015C16"/>
    <w:rsid w:val="16041455"/>
    <w:rsid w:val="165B1141"/>
    <w:rsid w:val="168C74C9"/>
    <w:rsid w:val="169F094B"/>
    <w:rsid w:val="16B26FFE"/>
    <w:rsid w:val="16FF6904"/>
    <w:rsid w:val="171F5F2F"/>
    <w:rsid w:val="1747459A"/>
    <w:rsid w:val="178F5508"/>
    <w:rsid w:val="17D90483"/>
    <w:rsid w:val="17E15C23"/>
    <w:rsid w:val="18161068"/>
    <w:rsid w:val="181C5F12"/>
    <w:rsid w:val="18207E93"/>
    <w:rsid w:val="18A37FC9"/>
    <w:rsid w:val="18AE27A5"/>
    <w:rsid w:val="18CC5434"/>
    <w:rsid w:val="18E54146"/>
    <w:rsid w:val="19473B43"/>
    <w:rsid w:val="198861C3"/>
    <w:rsid w:val="19AC1F9C"/>
    <w:rsid w:val="19AF63CD"/>
    <w:rsid w:val="19EA6791"/>
    <w:rsid w:val="19F825D9"/>
    <w:rsid w:val="1A437161"/>
    <w:rsid w:val="1A6C6995"/>
    <w:rsid w:val="1A805ECF"/>
    <w:rsid w:val="1AFA27E4"/>
    <w:rsid w:val="1BBA357C"/>
    <w:rsid w:val="1BBC5800"/>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9B3761"/>
    <w:rsid w:val="21EF70BE"/>
    <w:rsid w:val="220E66BC"/>
    <w:rsid w:val="2265588B"/>
    <w:rsid w:val="228C2292"/>
    <w:rsid w:val="23541649"/>
    <w:rsid w:val="235E3785"/>
    <w:rsid w:val="23921405"/>
    <w:rsid w:val="23C9100A"/>
    <w:rsid w:val="23CD5478"/>
    <w:rsid w:val="24421E65"/>
    <w:rsid w:val="24855506"/>
    <w:rsid w:val="24C456C6"/>
    <w:rsid w:val="24CB5BE2"/>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7D05ACD"/>
    <w:rsid w:val="28150F91"/>
    <w:rsid w:val="288E0726"/>
    <w:rsid w:val="289A0EE5"/>
    <w:rsid w:val="28A2177B"/>
    <w:rsid w:val="28DA25CC"/>
    <w:rsid w:val="2956242B"/>
    <w:rsid w:val="29625978"/>
    <w:rsid w:val="29BE7B24"/>
    <w:rsid w:val="29EC1002"/>
    <w:rsid w:val="2A173A82"/>
    <w:rsid w:val="2A27019D"/>
    <w:rsid w:val="2A4A7282"/>
    <w:rsid w:val="2A510485"/>
    <w:rsid w:val="2A77431C"/>
    <w:rsid w:val="2AB8571B"/>
    <w:rsid w:val="2ABD6442"/>
    <w:rsid w:val="2ACD268E"/>
    <w:rsid w:val="2AF53CB3"/>
    <w:rsid w:val="2B2B6BAE"/>
    <w:rsid w:val="2B496FAB"/>
    <w:rsid w:val="2B5F7DC4"/>
    <w:rsid w:val="2B7B7EAF"/>
    <w:rsid w:val="2BD26C46"/>
    <w:rsid w:val="2BDE5B5E"/>
    <w:rsid w:val="2C3F708C"/>
    <w:rsid w:val="2C6D0057"/>
    <w:rsid w:val="2C871D94"/>
    <w:rsid w:val="2CAE4D3A"/>
    <w:rsid w:val="2CE7407F"/>
    <w:rsid w:val="2CFB6C68"/>
    <w:rsid w:val="2D5C4C74"/>
    <w:rsid w:val="2D5F771D"/>
    <w:rsid w:val="2D763B91"/>
    <w:rsid w:val="2DC93154"/>
    <w:rsid w:val="2DF47AA5"/>
    <w:rsid w:val="2E1A5EC1"/>
    <w:rsid w:val="2E653EAF"/>
    <w:rsid w:val="2E6B1F05"/>
    <w:rsid w:val="2E78505A"/>
    <w:rsid w:val="2EA85B70"/>
    <w:rsid w:val="2EB60EB6"/>
    <w:rsid w:val="2EF21325"/>
    <w:rsid w:val="2EFA10EB"/>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543EE8"/>
    <w:rsid w:val="3166710B"/>
    <w:rsid w:val="31B97443"/>
    <w:rsid w:val="31E74361"/>
    <w:rsid w:val="322F75E5"/>
    <w:rsid w:val="3239406E"/>
    <w:rsid w:val="3245462B"/>
    <w:rsid w:val="32862408"/>
    <w:rsid w:val="32A41A78"/>
    <w:rsid w:val="33086177"/>
    <w:rsid w:val="332A6495"/>
    <w:rsid w:val="333016EF"/>
    <w:rsid w:val="33314FCC"/>
    <w:rsid w:val="334F543C"/>
    <w:rsid w:val="336710F2"/>
    <w:rsid w:val="336D70A5"/>
    <w:rsid w:val="33A76983"/>
    <w:rsid w:val="33CD0AF4"/>
    <w:rsid w:val="343D6FC0"/>
    <w:rsid w:val="34445631"/>
    <w:rsid w:val="34525876"/>
    <w:rsid w:val="34565015"/>
    <w:rsid w:val="346C54C4"/>
    <w:rsid w:val="34A6189E"/>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6506DF"/>
    <w:rsid w:val="39750C1A"/>
    <w:rsid w:val="39815D3F"/>
    <w:rsid w:val="39C97754"/>
    <w:rsid w:val="39CB16C6"/>
    <w:rsid w:val="39CE6D77"/>
    <w:rsid w:val="39CF3432"/>
    <w:rsid w:val="39DA2245"/>
    <w:rsid w:val="3A102EB3"/>
    <w:rsid w:val="3A1559AB"/>
    <w:rsid w:val="3A1716A8"/>
    <w:rsid w:val="3A2C25BF"/>
    <w:rsid w:val="3A4100A2"/>
    <w:rsid w:val="3A420ECD"/>
    <w:rsid w:val="3A6F5040"/>
    <w:rsid w:val="3AEA62F0"/>
    <w:rsid w:val="3B164E12"/>
    <w:rsid w:val="3B433FA0"/>
    <w:rsid w:val="3B8024AE"/>
    <w:rsid w:val="3BCA2CB8"/>
    <w:rsid w:val="3BF465F1"/>
    <w:rsid w:val="3C201861"/>
    <w:rsid w:val="3C351081"/>
    <w:rsid w:val="3C4F7E8A"/>
    <w:rsid w:val="3C545991"/>
    <w:rsid w:val="3C795E81"/>
    <w:rsid w:val="3C9C06C9"/>
    <w:rsid w:val="3CF212C3"/>
    <w:rsid w:val="3D0F5AAD"/>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316F05"/>
    <w:rsid w:val="4477148F"/>
    <w:rsid w:val="44947B97"/>
    <w:rsid w:val="44A75A3C"/>
    <w:rsid w:val="44B519AF"/>
    <w:rsid w:val="4502587E"/>
    <w:rsid w:val="458429FA"/>
    <w:rsid w:val="46150F00"/>
    <w:rsid w:val="463C0677"/>
    <w:rsid w:val="46773189"/>
    <w:rsid w:val="467C4988"/>
    <w:rsid w:val="468D35B1"/>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81E12C4"/>
    <w:rsid w:val="482F22FC"/>
    <w:rsid w:val="483A153F"/>
    <w:rsid w:val="48714DBB"/>
    <w:rsid w:val="49114E70"/>
    <w:rsid w:val="49540677"/>
    <w:rsid w:val="49926C6C"/>
    <w:rsid w:val="49AA4FB0"/>
    <w:rsid w:val="49DB78B5"/>
    <w:rsid w:val="49E97A04"/>
    <w:rsid w:val="49EA569C"/>
    <w:rsid w:val="4A494A22"/>
    <w:rsid w:val="4A7C6CC7"/>
    <w:rsid w:val="4A911B79"/>
    <w:rsid w:val="4ADF223E"/>
    <w:rsid w:val="4AF07DCC"/>
    <w:rsid w:val="4B1F21AD"/>
    <w:rsid w:val="4B257F2E"/>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447FC0"/>
    <w:rsid w:val="505F24B0"/>
    <w:rsid w:val="50681DDC"/>
    <w:rsid w:val="507026E4"/>
    <w:rsid w:val="50C61171"/>
    <w:rsid w:val="51167CDE"/>
    <w:rsid w:val="51324DA9"/>
    <w:rsid w:val="513D358E"/>
    <w:rsid w:val="51AD2147"/>
    <w:rsid w:val="51D501ED"/>
    <w:rsid w:val="522D7F16"/>
    <w:rsid w:val="523952D8"/>
    <w:rsid w:val="523B2FBD"/>
    <w:rsid w:val="52400F9E"/>
    <w:rsid w:val="52473BB8"/>
    <w:rsid w:val="5288313B"/>
    <w:rsid w:val="52D27DE3"/>
    <w:rsid w:val="52EA2970"/>
    <w:rsid w:val="52F33045"/>
    <w:rsid w:val="531F408E"/>
    <w:rsid w:val="53406525"/>
    <w:rsid w:val="534B5C0F"/>
    <w:rsid w:val="53E44017"/>
    <w:rsid w:val="5432323D"/>
    <w:rsid w:val="54331B24"/>
    <w:rsid w:val="54583460"/>
    <w:rsid w:val="54686A39"/>
    <w:rsid w:val="54E641C3"/>
    <w:rsid w:val="54EC6DF6"/>
    <w:rsid w:val="54F16F78"/>
    <w:rsid w:val="55215714"/>
    <w:rsid w:val="554D7806"/>
    <w:rsid w:val="554F368F"/>
    <w:rsid w:val="55876BE5"/>
    <w:rsid w:val="559A5ACA"/>
    <w:rsid w:val="55A94050"/>
    <w:rsid w:val="55CA36B6"/>
    <w:rsid w:val="55D65B5E"/>
    <w:rsid w:val="56653C93"/>
    <w:rsid w:val="56764C4B"/>
    <w:rsid w:val="567F5F3C"/>
    <w:rsid w:val="56DA342C"/>
    <w:rsid w:val="56DB6AC7"/>
    <w:rsid w:val="56DF16DC"/>
    <w:rsid w:val="57184CF1"/>
    <w:rsid w:val="57780B5F"/>
    <w:rsid w:val="57B96494"/>
    <w:rsid w:val="57DD76E9"/>
    <w:rsid w:val="57FC658A"/>
    <w:rsid w:val="57FE5FE5"/>
    <w:rsid w:val="586A1F97"/>
    <w:rsid w:val="589C6ECF"/>
    <w:rsid w:val="59597413"/>
    <w:rsid w:val="59BA4CD4"/>
    <w:rsid w:val="59EE5797"/>
    <w:rsid w:val="5AC272A3"/>
    <w:rsid w:val="5B307B0A"/>
    <w:rsid w:val="5B557E8F"/>
    <w:rsid w:val="5BB1110B"/>
    <w:rsid w:val="5C2B7BE1"/>
    <w:rsid w:val="5C621337"/>
    <w:rsid w:val="5C7F01BD"/>
    <w:rsid w:val="5D6C33D5"/>
    <w:rsid w:val="5DA25547"/>
    <w:rsid w:val="5DC5227C"/>
    <w:rsid w:val="5DD07D0C"/>
    <w:rsid w:val="5DD32B36"/>
    <w:rsid w:val="5DEC6C8E"/>
    <w:rsid w:val="5DF951D1"/>
    <w:rsid w:val="5DFA4819"/>
    <w:rsid w:val="5ED864A3"/>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DE1268"/>
    <w:rsid w:val="61EF4764"/>
    <w:rsid w:val="625904A9"/>
    <w:rsid w:val="62A64AED"/>
    <w:rsid w:val="62BE2B8C"/>
    <w:rsid w:val="632D32DF"/>
    <w:rsid w:val="636B778B"/>
    <w:rsid w:val="63713FBD"/>
    <w:rsid w:val="638251B8"/>
    <w:rsid w:val="63950102"/>
    <w:rsid w:val="641D5FD9"/>
    <w:rsid w:val="64566E62"/>
    <w:rsid w:val="647677D7"/>
    <w:rsid w:val="64770209"/>
    <w:rsid w:val="65042865"/>
    <w:rsid w:val="651144BD"/>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642FCA"/>
    <w:rsid w:val="679300D6"/>
    <w:rsid w:val="67F03BF2"/>
    <w:rsid w:val="67FD51CC"/>
    <w:rsid w:val="684478D1"/>
    <w:rsid w:val="686109FC"/>
    <w:rsid w:val="686801CC"/>
    <w:rsid w:val="688C32E6"/>
    <w:rsid w:val="68D84C26"/>
    <w:rsid w:val="69127129"/>
    <w:rsid w:val="694A3F4B"/>
    <w:rsid w:val="694D466A"/>
    <w:rsid w:val="695143FB"/>
    <w:rsid w:val="698A3A01"/>
    <w:rsid w:val="698D0D6B"/>
    <w:rsid w:val="69E6116E"/>
    <w:rsid w:val="6A051C1C"/>
    <w:rsid w:val="6A461941"/>
    <w:rsid w:val="6A773014"/>
    <w:rsid w:val="6AA33CF1"/>
    <w:rsid w:val="6AAE5669"/>
    <w:rsid w:val="6ABD1719"/>
    <w:rsid w:val="6ACC25CE"/>
    <w:rsid w:val="6B275374"/>
    <w:rsid w:val="6BEB28AD"/>
    <w:rsid w:val="6C1D1BAE"/>
    <w:rsid w:val="6C32108A"/>
    <w:rsid w:val="6C495CD7"/>
    <w:rsid w:val="6C6C7186"/>
    <w:rsid w:val="6C71153E"/>
    <w:rsid w:val="6CA67BC0"/>
    <w:rsid w:val="6CD429A0"/>
    <w:rsid w:val="6CE10EDA"/>
    <w:rsid w:val="6D4F01B3"/>
    <w:rsid w:val="6D9B0E92"/>
    <w:rsid w:val="6DC319FF"/>
    <w:rsid w:val="6E1844B8"/>
    <w:rsid w:val="6E541954"/>
    <w:rsid w:val="6E6D5C0E"/>
    <w:rsid w:val="6E7C3113"/>
    <w:rsid w:val="6EA67FA2"/>
    <w:rsid w:val="6F957251"/>
    <w:rsid w:val="70484BFD"/>
    <w:rsid w:val="706C3E14"/>
    <w:rsid w:val="706D7292"/>
    <w:rsid w:val="70921C55"/>
    <w:rsid w:val="71283ECD"/>
    <w:rsid w:val="713D11CB"/>
    <w:rsid w:val="7147364E"/>
    <w:rsid w:val="71502437"/>
    <w:rsid w:val="71E362C3"/>
    <w:rsid w:val="7219039A"/>
    <w:rsid w:val="72477928"/>
    <w:rsid w:val="72B2763B"/>
    <w:rsid w:val="731775B6"/>
    <w:rsid w:val="73BA11B9"/>
    <w:rsid w:val="73D60472"/>
    <w:rsid w:val="73F53D48"/>
    <w:rsid w:val="7496752E"/>
    <w:rsid w:val="755B54D7"/>
    <w:rsid w:val="75765328"/>
    <w:rsid w:val="75A177EE"/>
    <w:rsid w:val="75B570E6"/>
    <w:rsid w:val="75D86CD4"/>
    <w:rsid w:val="760E7139"/>
    <w:rsid w:val="76420C5D"/>
    <w:rsid w:val="76496AA8"/>
    <w:rsid w:val="76745CA5"/>
    <w:rsid w:val="768559AF"/>
    <w:rsid w:val="76A05F87"/>
    <w:rsid w:val="76A730E4"/>
    <w:rsid w:val="76F33AE6"/>
    <w:rsid w:val="76F41191"/>
    <w:rsid w:val="779352B4"/>
    <w:rsid w:val="77C011B5"/>
    <w:rsid w:val="77DF2692"/>
    <w:rsid w:val="77E65FB7"/>
    <w:rsid w:val="77EC1D59"/>
    <w:rsid w:val="781F64BC"/>
    <w:rsid w:val="783E6571"/>
    <w:rsid w:val="78502F65"/>
    <w:rsid w:val="786E6C4A"/>
    <w:rsid w:val="789D2BB8"/>
    <w:rsid w:val="78DB6555"/>
    <w:rsid w:val="78FD20DF"/>
    <w:rsid w:val="794D77BB"/>
    <w:rsid w:val="795654B4"/>
    <w:rsid w:val="798B42E3"/>
    <w:rsid w:val="79E24199"/>
    <w:rsid w:val="7A281851"/>
    <w:rsid w:val="7A550F13"/>
    <w:rsid w:val="7A773BB5"/>
    <w:rsid w:val="7AD20151"/>
    <w:rsid w:val="7B345817"/>
    <w:rsid w:val="7B5D3DBD"/>
    <w:rsid w:val="7B62786A"/>
    <w:rsid w:val="7BA82BE6"/>
    <w:rsid w:val="7BAD7F79"/>
    <w:rsid w:val="7BE82E7A"/>
    <w:rsid w:val="7C047330"/>
    <w:rsid w:val="7C1A0DC0"/>
    <w:rsid w:val="7C614B37"/>
    <w:rsid w:val="7CE039CF"/>
    <w:rsid w:val="7D54267F"/>
    <w:rsid w:val="7D7C739E"/>
    <w:rsid w:val="7DBD5F66"/>
    <w:rsid w:val="7DC17EA6"/>
    <w:rsid w:val="7E0D5B2C"/>
    <w:rsid w:val="7E2115B9"/>
    <w:rsid w:val="7E7F66A4"/>
    <w:rsid w:val="7EA72D17"/>
    <w:rsid w:val="7ED71E7C"/>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5">
    <w:name w:val="heading 4"/>
    <w:basedOn w:val="1"/>
    <w:next w:val="1"/>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Salutation"/>
    <w:basedOn w:val="1"/>
    <w:next w:val="1"/>
    <w:qFormat/>
    <w:uiPriority w:val="99"/>
  </w:style>
  <w:style w:type="paragraph" w:styleId="8">
    <w:name w:val="Body Text"/>
    <w:basedOn w:val="1"/>
    <w:link w:val="22"/>
    <w:qFormat/>
    <w:uiPriority w:val="99"/>
    <w:pPr>
      <w:spacing w:after="120"/>
    </w:pPr>
    <w:rPr>
      <w:rFonts w:ascii="Calibri" w:hAnsi="Calibri"/>
      <w:szCs w:val="22"/>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8"/>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4"/>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8"/>
    <w:semiHidden/>
    <w:qFormat/>
    <w:uiPriority w:val="99"/>
    <w:rPr>
      <w:color w:val="000000"/>
      <w:kern w:val="0"/>
      <w:szCs w:val="20"/>
    </w:rPr>
  </w:style>
  <w:style w:type="character" w:customStyle="1" w:styleId="23">
    <w:name w:val="日期 Char"/>
    <w:basedOn w:val="15"/>
    <w:link w:val="9"/>
    <w:semiHidden/>
    <w:qFormat/>
    <w:uiPriority w:val="99"/>
    <w:rPr>
      <w:color w:val="000000"/>
      <w:kern w:val="0"/>
      <w:szCs w:val="20"/>
    </w:rPr>
  </w:style>
  <w:style w:type="character" w:customStyle="1" w:styleId="24">
    <w:name w:val="页脚 Char"/>
    <w:basedOn w:val="17"/>
    <w:link w:val="10"/>
    <w:qFormat/>
    <w:locked/>
    <w:uiPriority w:val="99"/>
    <w:rPr>
      <w:rFonts w:cs="Times New Roman"/>
      <w:color w:val="000000"/>
      <w:sz w:val="18"/>
    </w:rPr>
  </w:style>
  <w:style w:type="character" w:customStyle="1" w:styleId="25">
    <w:name w:val="页眉 Char"/>
    <w:basedOn w:val="17"/>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customStyle="1" w:styleId="51">
    <w:name w:val="新正文"/>
    <w:basedOn w:val="1"/>
    <w:qFormat/>
    <w:uiPriority w:val="0"/>
    <w:pPr>
      <w:tabs>
        <w:tab w:val="left" w:pos="8295"/>
      </w:tabs>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1826</Words>
  <Characters>1958</Characters>
  <Lines>10</Lines>
  <Paragraphs>3</Paragraphs>
  <TotalTime>17</TotalTime>
  <ScaleCrop>false</ScaleCrop>
  <LinksUpToDate>false</LinksUpToDate>
  <CharactersWithSpaces>2040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2023-09-13T07:20:00Z</cp:lastPrinted>
  <dcterms:modified xsi:type="dcterms:W3CDTF">2023-09-13T09:43:13Z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ies>
</file>