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80" w:lineRule="exact"/>
        <w:jc w:val="center"/>
        <w:rPr>
          <w:rStyle w:val="18"/>
          <w:rFonts w:ascii="仿宋_GB2312" w:eastAsia="仿宋_GB2312"/>
          <w:color w:val="auto"/>
          <w:sz w:val="32"/>
          <w:szCs w:val="32"/>
        </w:rPr>
      </w:pPr>
    </w:p>
    <w:p>
      <w:pPr>
        <w:snapToGrid w:val="0"/>
        <w:spacing w:line="580" w:lineRule="exact"/>
        <w:jc w:val="center"/>
        <w:rPr>
          <w:rStyle w:val="18"/>
          <w:rFonts w:ascii="仿宋_GB2312" w:eastAsia="仿宋_GB2312"/>
          <w:color w:val="auto"/>
          <w:sz w:val="32"/>
          <w:szCs w:val="32"/>
        </w:rPr>
      </w:pPr>
    </w:p>
    <w:p>
      <w:pPr>
        <w:snapToGrid w:val="0"/>
        <w:spacing w:line="580" w:lineRule="exact"/>
        <w:jc w:val="center"/>
        <w:rPr>
          <w:rStyle w:val="18"/>
          <w:rFonts w:ascii="仿宋_GB2312" w:eastAsia="仿宋_GB2312"/>
          <w:color w:val="auto"/>
          <w:sz w:val="32"/>
          <w:szCs w:val="32"/>
        </w:rPr>
      </w:pPr>
    </w:p>
    <w:p>
      <w:pPr>
        <w:snapToGrid w:val="0"/>
        <w:spacing w:line="580" w:lineRule="exact"/>
        <w:jc w:val="center"/>
        <w:rPr>
          <w:rStyle w:val="18"/>
          <w:rFonts w:ascii="仿宋_GB2312" w:eastAsia="仿宋_GB2312"/>
          <w:color w:val="auto"/>
          <w:sz w:val="32"/>
          <w:szCs w:val="32"/>
        </w:rPr>
      </w:pPr>
    </w:p>
    <w:p>
      <w:pPr>
        <w:snapToGrid w:val="0"/>
        <w:spacing w:line="580" w:lineRule="exact"/>
        <w:jc w:val="center"/>
        <w:rPr>
          <w:rStyle w:val="18"/>
          <w:rFonts w:ascii="仿宋_GB2312" w:eastAsia="仿宋_GB2312"/>
          <w:color w:val="auto"/>
          <w:sz w:val="32"/>
          <w:szCs w:val="32"/>
        </w:rPr>
      </w:pPr>
    </w:p>
    <w:p>
      <w:pPr>
        <w:snapToGrid w:val="0"/>
        <w:spacing w:line="580" w:lineRule="exact"/>
        <w:jc w:val="center"/>
        <w:rPr>
          <w:rStyle w:val="18"/>
          <w:rFonts w:ascii="仿宋_GB2312" w:eastAsia="仿宋_GB2312"/>
          <w:color w:val="auto"/>
          <w:sz w:val="32"/>
          <w:szCs w:val="32"/>
        </w:rPr>
      </w:pPr>
    </w:p>
    <w:p>
      <w:pPr>
        <w:snapToGrid w:val="0"/>
        <w:spacing w:line="580" w:lineRule="exact"/>
        <w:jc w:val="center"/>
        <w:rPr>
          <w:rStyle w:val="18"/>
          <w:rFonts w:ascii="仿宋_GB2312" w:eastAsia="仿宋_GB2312"/>
          <w:color w:val="auto"/>
          <w:sz w:val="32"/>
          <w:szCs w:val="32"/>
        </w:rPr>
      </w:pPr>
    </w:p>
    <w:p>
      <w:pPr>
        <w:snapToGrid w:val="0"/>
        <w:spacing w:line="580" w:lineRule="exact"/>
        <w:jc w:val="center"/>
        <w:rPr>
          <w:rStyle w:val="18"/>
          <w:rFonts w:ascii="仿宋_GB2312" w:eastAsia="仿宋_GB2312"/>
          <w:color w:val="auto"/>
          <w:sz w:val="32"/>
          <w:szCs w:val="32"/>
        </w:rPr>
      </w:pPr>
    </w:p>
    <w:p>
      <w:pPr>
        <w:pStyle w:val="26"/>
        <w:rPr>
          <w:rStyle w:val="18"/>
          <w:color w:val="auto"/>
        </w:rPr>
      </w:pPr>
    </w:p>
    <w:p>
      <w:pPr>
        <w:snapToGrid w:val="0"/>
        <w:spacing w:line="600" w:lineRule="exact"/>
        <w:rPr>
          <w:rStyle w:val="18"/>
          <w:rFonts w:ascii="仿宋_GB2312" w:eastAsia="仿宋_GB2312"/>
          <w:color w:val="auto"/>
          <w:sz w:val="32"/>
          <w:szCs w:val="32"/>
        </w:rPr>
      </w:pPr>
    </w:p>
    <w:p>
      <w:pPr>
        <w:snapToGrid w:val="0"/>
        <w:spacing w:line="600" w:lineRule="exact"/>
        <w:ind w:firstLine="2880" w:firstLineChars="900"/>
        <w:rPr>
          <w:rStyle w:val="18"/>
          <w:rFonts w:ascii="仿宋" w:hAnsi="仿宋" w:eastAsia="仿宋"/>
          <w:color w:val="auto"/>
          <w:sz w:val="32"/>
          <w:szCs w:val="32"/>
        </w:rPr>
      </w:pPr>
      <w:r>
        <w:rPr>
          <w:rStyle w:val="18"/>
          <w:rFonts w:hint="eastAsia" w:ascii="仿宋" w:hAnsi="仿宋" w:eastAsia="仿宋"/>
          <w:color w:val="auto"/>
          <w:sz w:val="32"/>
          <w:szCs w:val="32"/>
        </w:rPr>
        <w:t>鄂环东审字〔</w:t>
      </w:r>
      <w:r>
        <w:rPr>
          <w:rStyle w:val="18"/>
          <w:rFonts w:ascii="仿宋" w:hAnsi="仿宋" w:eastAsia="仿宋"/>
          <w:color w:val="auto"/>
          <w:sz w:val="32"/>
          <w:szCs w:val="32"/>
        </w:rPr>
        <w:t>202</w:t>
      </w:r>
      <w:r>
        <w:rPr>
          <w:rStyle w:val="18"/>
          <w:rFonts w:hint="eastAsia" w:ascii="仿宋" w:hAnsi="仿宋" w:eastAsia="仿宋"/>
          <w:color w:val="auto"/>
          <w:sz w:val="32"/>
          <w:szCs w:val="32"/>
          <w:lang w:val="en-US" w:eastAsia="zh-CN"/>
        </w:rPr>
        <w:t>3</w:t>
      </w:r>
      <w:r>
        <w:rPr>
          <w:rStyle w:val="18"/>
          <w:rFonts w:hint="eastAsia" w:ascii="仿宋" w:hAnsi="仿宋" w:eastAsia="仿宋"/>
          <w:color w:val="auto"/>
          <w:sz w:val="32"/>
          <w:szCs w:val="32"/>
        </w:rPr>
        <w:t>〕</w:t>
      </w:r>
      <w:r>
        <w:rPr>
          <w:rStyle w:val="18"/>
          <w:rFonts w:hint="eastAsia" w:ascii="仿宋" w:hAnsi="仿宋" w:eastAsia="仿宋"/>
          <w:color w:val="auto"/>
          <w:sz w:val="32"/>
          <w:szCs w:val="32"/>
          <w:lang w:val="en-US" w:eastAsia="zh-CN"/>
        </w:rPr>
        <w:t>35</w:t>
      </w:r>
      <w:r>
        <w:rPr>
          <w:rStyle w:val="18"/>
          <w:rFonts w:hint="eastAsia" w:ascii="仿宋" w:hAnsi="仿宋" w:eastAsia="仿宋"/>
          <w:color w:val="auto"/>
          <w:sz w:val="32"/>
          <w:szCs w:val="32"/>
        </w:rPr>
        <w:t>号</w:t>
      </w:r>
      <w:r>
        <w:rPr>
          <w:rStyle w:val="18"/>
          <w:rFonts w:ascii="仿宋" w:hAnsi="仿宋" w:eastAsia="仿宋"/>
          <w:color w:val="auto"/>
          <w:sz w:val="32"/>
          <w:szCs w:val="32"/>
        </w:rPr>
        <w:t xml:space="preserve"> </w:t>
      </w:r>
    </w:p>
    <w:p>
      <w:pPr>
        <w:spacing w:line="600" w:lineRule="exact"/>
        <w:jc w:val="center"/>
        <w:rPr>
          <w:rStyle w:val="18"/>
          <w:rFonts w:hint="eastAsia" w:ascii="宋体" w:hAnsi="宋体" w:eastAsia="宋体" w:cs="宋体"/>
          <w:b/>
          <w:bCs w:val="0"/>
          <w:color w:val="auto"/>
          <w:sz w:val="44"/>
          <w:szCs w:val="44"/>
        </w:rPr>
      </w:pPr>
    </w:p>
    <w:p>
      <w:pPr>
        <w:spacing w:line="600" w:lineRule="exact"/>
        <w:jc w:val="center"/>
        <w:rPr>
          <w:rStyle w:val="18"/>
          <w:rFonts w:ascii="宋体" w:hAnsi="宋体"/>
          <w:b/>
          <w:bCs w:val="0"/>
          <w:color w:val="auto"/>
          <w:sz w:val="44"/>
          <w:szCs w:val="44"/>
        </w:rPr>
      </w:pPr>
      <w:r>
        <w:rPr>
          <w:rStyle w:val="18"/>
          <w:rFonts w:hint="eastAsia" w:ascii="宋体" w:hAnsi="宋体"/>
          <w:b/>
          <w:bCs w:val="0"/>
          <w:color w:val="auto"/>
          <w:sz w:val="44"/>
          <w:szCs w:val="44"/>
        </w:rPr>
        <w:t>鄂尔多斯市生态环境局东胜区分局关于</w:t>
      </w:r>
    </w:p>
    <w:p>
      <w:pPr>
        <w:spacing w:line="600" w:lineRule="exact"/>
        <w:jc w:val="center"/>
        <w:rPr>
          <w:rStyle w:val="18"/>
          <w:rFonts w:hint="default" w:ascii="宋体" w:hAnsi="宋体" w:eastAsia="宋体" w:cs="Times New Roman"/>
          <w:b/>
          <w:bCs w:val="0"/>
          <w:color w:val="auto"/>
          <w:sz w:val="44"/>
          <w:szCs w:val="44"/>
          <w:lang w:val="en-US" w:eastAsia="zh-CN"/>
        </w:rPr>
      </w:pPr>
      <w:r>
        <w:rPr>
          <w:rStyle w:val="18"/>
          <w:rFonts w:hint="default" w:ascii="宋体" w:hAnsi="宋体" w:eastAsia="宋体" w:cs="Times New Roman"/>
          <w:b/>
          <w:bCs w:val="0"/>
          <w:color w:val="auto"/>
          <w:sz w:val="44"/>
          <w:szCs w:val="44"/>
          <w:lang w:val="en-US" w:eastAsia="zh-CN"/>
        </w:rPr>
        <w:t>呼准鄂铁路东胜隧道进口段地质灾害</w:t>
      </w:r>
    </w:p>
    <w:p>
      <w:pPr>
        <w:spacing w:line="600" w:lineRule="exact"/>
        <w:jc w:val="center"/>
        <w:rPr>
          <w:rStyle w:val="18"/>
          <w:rFonts w:hint="eastAsia" w:ascii="宋体" w:hAnsi="宋体" w:eastAsia="宋体" w:cs="Times New Roman"/>
          <w:b/>
          <w:bCs w:val="0"/>
          <w:color w:val="auto"/>
          <w:sz w:val="44"/>
          <w:szCs w:val="44"/>
        </w:rPr>
      </w:pPr>
      <w:r>
        <w:rPr>
          <w:rStyle w:val="18"/>
          <w:rFonts w:hint="default" w:ascii="宋体" w:hAnsi="宋体" w:eastAsia="宋体" w:cs="Times New Roman"/>
          <w:b/>
          <w:bCs w:val="0"/>
          <w:color w:val="auto"/>
          <w:sz w:val="44"/>
          <w:szCs w:val="44"/>
          <w:lang w:val="en-US" w:eastAsia="zh-CN"/>
        </w:rPr>
        <w:t>专项治理</w:t>
      </w:r>
      <w:r>
        <w:rPr>
          <w:rStyle w:val="18"/>
          <w:rFonts w:hint="eastAsia" w:ascii="宋体" w:hAnsi="宋体" w:eastAsia="宋体" w:cs="Times New Roman"/>
          <w:b/>
          <w:bCs w:val="0"/>
          <w:color w:val="auto"/>
          <w:sz w:val="44"/>
          <w:szCs w:val="44"/>
          <w:lang w:val="en-US" w:eastAsia="zh-CN"/>
        </w:rPr>
        <w:t>建设</w:t>
      </w:r>
      <w:r>
        <w:rPr>
          <w:rStyle w:val="18"/>
          <w:rFonts w:hint="default" w:ascii="宋体" w:hAnsi="宋体" w:eastAsia="宋体" w:cs="Times New Roman"/>
          <w:b/>
          <w:bCs w:val="0"/>
          <w:color w:val="auto"/>
          <w:sz w:val="44"/>
          <w:szCs w:val="44"/>
          <w:lang w:val="en-US" w:eastAsia="zh-CN"/>
        </w:rPr>
        <w:t>项目</w:t>
      </w:r>
      <w:r>
        <w:rPr>
          <w:rStyle w:val="18"/>
          <w:rFonts w:hint="eastAsia" w:ascii="宋体" w:hAnsi="宋体" w:eastAsia="宋体" w:cs="Times New Roman"/>
          <w:b/>
          <w:bCs w:val="0"/>
          <w:color w:val="auto"/>
          <w:sz w:val="44"/>
          <w:szCs w:val="44"/>
        </w:rPr>
        <w:t>环境影响</w:t>
      </w:r>
    </w:p>
    <w:p>
      <w:pPr>
        <w:spacing w:line="600" w:lineRule="exact"/>
        <w:jc w:val="center"/>
        <w:rPr>
          <w:rStyle w:val="18"/>
          <w:rFonts w:hint="eastAsia" w:ascii="宋体" w:hAnsi="宋体" w:eastAsia="宋体" w:cs="Times New Roman"/>
          <w:b/>
          <w:bCs w:val="0"/>
          <w:color w:val="auto"/>
          <w:sz w:val="44"/>
          <w:szCs w:val="44"/>
        </w:rPr>
      </w:pPr>
      <w:r>
        <w:rPr>
          <w:rStyle w:val="18"/>
          <w:rFonts w:hint="eastAsia" w:ascii="宋体" w:hAnsi="宋体" w:eastAsia="宋体" w:cs="Times New Roman"/>
          <w:b/>
          <w:bCs w:val="0"/>
          <w:color w:val="auto"/>
          <w:sz w:val="44"/>
          <w:szCs w:val="44"/>
        </w:rPr>
        <w:t>报告表的批复</w:t>
      </w:r>
    </w:p>
    <w:p>
      <w:pPr>
        <w:spacing w:line="360" w:lineRule="auto"/>
        <w:textAlignment w:val="auto"/>
        <w:rPr>
          <w:rStyle w:val="18"/>
          <w:rFonts w:hint="eastAsia" w:ascii="仿宋" w:hAnsi="仿宋" w:eastAsia="仿宋"/>
          <w:sz w:val="32"/>
          <w:szCs w:val="32"/>
          <w:lang w:eastAsia="zh-CN"/>
        </w:rPr>
      </w:pPr>
    </w:p>
    <w:p>
      <w:pPr>
        <w:keepNext w:val="0"/>
        <w:keepLines w:val="0"/>
        <w:pageBreakBefore w:val="0"/>
        <w:kinsoku/>
        <w:wordWrap/>
        <w:overflowPunct/>
        <w:topLinePunct w:val="0"/>
        <w:autoSpaceDE/>
        <w:autoSpaceDN/>
        <w:bidi w:val="0"/>
        <w:adjustRightInd/>
        <w:snapToGrid/>
        <w:spacing w:line="360" w:lineRule="auto"/>
        <w:ind w:left="0" w:leftChars="0" w:firstLine="0" w:firstLineChars="0"/>
        <w:jc w:val="left"/>
        <w:textAlignment w:val="auto"/>
        <w:rPr>
          <w:rStyle w:val="18"/>
          <w:rFonts w:hint="default" w:ascii="仿宋" w:hAnsi="仿宋" w:eastAsia="仿宋" w:cs="Times New Roman"/>
          <w:sz w:val="32"/>
          <w:szCs w:val="32"/>
          <w:lang w:val="en-US" w:eastAsia="zh-CN"/>
        </w:rPr>
      </w:pPr>
      <w:r>
        <w:rPr>
          <w:rStyle w:val="18"/>
          <w:rFonts w:hint="default" w:ascii="仿宋" w:hAnsi="仿宋" w:eastAsia="仿宋" w:cs="Times New Roman"/>
          <w:sz w:val="32"/>
          <w:szCs w:val="32"/>
          <w:lang w:val="en-US" w:eastAsia="zh-CN"/>
        </w:rPr>
        <w:t>呼准鄂铁路有限责任公司</w:t>
      </w:r>
      <w:r>
        <w:rPr>
          <w:rStyle w:val="18"/>
          <w:rFonts w:hint="eastAsia" w:ascii="仿宋" w:hAnsi="仿宋" w:eastAsia="仿宋" w:cs="Times New Roman"/>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Style w:val="18"/>
          <w:rFonts w:hint="default" w:ascii="仿宋" w:hAnsi="仿宋" w:eastAsia="仿宋" w:cs="Times New Roman"/>
          <w:sz w:val="32"/>
          <w:szCs w:val="32"/>
          <w:highlight w:val="none"/>
          <w:lang w:val="en-US" w:eastAsia="zh-CN"/>
        </w:rPr>
      </w:pPr>
      <w:r>
        <w:rPr>
          <w:rStyle w:val="18"/>
          <w:rFonts w:hint="eastAsia" w:ascii="仿宋" w:hAnsi="仿宋" w:eastAsia="仿宋"/>
          <w:sz w:val="32"/>
          <w:szCs w:val="32"/>
        </w:rPr>
        <w:t>你</w:t>
      </w:r>
      <w:r>
        <w:rPr>
          <w:rStyle w:val="18"/>
          <w:rFonts w:hint="eastAsia" w:ascii="仿宋" w:hAnsi="仿宋" w:eastAsia="仿宋"/>
          <w:sz w:val="32"/>
          <w:szCs w:val="32"/>
          <w:lang w:val="en-US" w:eastAsia="zh-CN"/>
        </w:rPr>
        <w:t>单位</w:t>
      </w:r>
      <w:r>
        <w:rPr>
          <w:rStyle w:val="18"/>
          <w:rFonts w:hint="eastAsia" w:ascii="仿宋" w:hAnsi="仿宋" w:eastAsia="仿宋"/>
          <w:sz w:val="32"/>
          <w:szCs w:val="32"/>
        </w:rPr>
        <w:t>报送的</w:t>
      </w:r>
      <w:r>
        <w:rPr>
          <w:rStyle w:val="18"/>
          <w:rFonts w:hint="eastAsia" w:ascii="仿宋" w:hAnsi="仿宋" w:eastAsia="仿宋" w:cs="Times New Roman"/>
          <w:sz w:val="32"/>
          <w:szCs w:val="32"/>
        </w:rPr>
        <w:t>由</w:t>
      </w:r>
      <w:r>
        <w:rPr>
          <w:rStyle w:val="18"/>
          <w:rFonts w:hint="eastAsia" w:ascii="仿宋" w:hAnsi="仿宋" w:eastAsia="仿宋" w:cs="Times New Roman"/>
          <w:sz w:val="32"/>
          <w:szCs w:val="32"/>
          <w:lang w:eastAsia="zh-CN"/>
        </w:rPr>
        <w:t>内蒙古中昱环保咨询服务有限公司</w:t>
      </w:r>
      <w:r>
        <w:rPr>
          <w:rStyle w:val="18"/>
          <w:rFonts w:hint="eastAsia" w:ascii="仿宋" w:hAnsi="仿宋" w:eastAsia="仿宋" w:cs="Times New Roman"/>
          <w:sz w:val="32"/>
          <w:szCs w:val="32"/>
          <w:lang w:val="en-US" w:eastAsia="zh-CN"/>
        </w:rPr>
        <w:t>编</w:t>
      </w:r>
      <w:r>
        <w:rPr>
          <w:rStyle w:val="18"/>
          <w:rFonts w:hint="eastAsia" w:ascii="仿宋" w:hAnsi="仿宋" w:eastAsia="仿宋" w:cs="Times New Roman"/>
          <w:sz w:val="32"/>
          <w:szCs w:val="32"/>
        </w:rPr>
        <w:t>制</w:t>
      </w:r>
      <w:r>
        <w:rPr>
          <w:rStyle w:val="18"/>
          <w:rFonts w:hint="eastAsia" w:ascii="仿宋" w:hAnsi="仿宋" w:eastAsia="仿宋"/>
          <w:sz w:val="32"/>
          <w:szCs w:val="32"/>
        </w:rPr>
        <w:t>的</w:t>
      </w:r>
      <w:r>
        <w:rPr>
          <w:rStyle w:val="18"/>
          <w:rFonts w:hint="eastAsia" w:ascii="仿宋" w:hAnsi="仿宋" w:eastAsia="仿宋" w:cs="Times New Roman"/>
          <w:sz w:val="32"/>
          <w:szCs w:val="32"/>
        </w:rPr>
        <w:t>《</w:t>
      </w:r>
      <w:r>
        <w:rPr>
          <w:rStyle w:val="18"/>
          <w:rFonts w:hint="default" w:ascii="仿宋" w:hAnsi="仿宋" w:eastAsia="仿宋" w:cs="Times New Roman"/>
          <w:sz w:val="32"/>
          <w:szCs w:val="32"/>
          <w:lang w:val="en-US" w:eastAsia="zh-CN"/>
        </w:rPr>
        <w:t>呼准鄂铁路东胜隧道进口段地质灾害专项治理</w:t>
      </w:r>
      <w:r>
        <w:rPr>
          <w:rStyle w:val="18"/>
          <w:rFonts w:hint="eastAsia" w:ascii="仿宋" w:hAnsi="仿宋" w:eastAsia="仿宋" w:cs="Times New Roman"/>
          <w:sz w:val="32"/>
          <w:szCs w:val="32"/>
          <w:lang w:val="en-US" w:eastAsia="zh-CN"/>
        </w:rPr>
        <w:t>建设</w:t>
      </w:r>
      <w:r>
        <w:rPr>
          <w:rStyle w:val="18"/>
          <w:rFonts w:hint="default" w:ascii="仿宋" w:hAnsi="仿宋" w:eastAsia="仿宋" w:cs="Times New Roman"/>
          <w:sz w:val="32"/>
          <w:szCs w:val="32"/>
          <w:lang w:val="en-US" w:eastAsia="zh-CN"/>
        </w:rPr>
        <w:t>项目</w:t>
      </w:r>
      <w:r>
        <w:rPr>
          <w:rStyle w:val="18"/>
          <w:rFonts w:hint="eastAsia" w:ascii="仿宋" w:hAnsi="仿宋" w:eastAsia="仿宋" w:cs="Times New Roman"/>
          <w:sz w:val="32"/>
          <w:szCs w:val="32"/>
          <w:lang w:eastAsia="zh-CN"/>
        </w:rPr>
        <w:t>环境影响报</w:t>
      </w:r>
      <w:r>
        <w:rPr>
          <w:rStyle w:val="18"/>
          <w:rFonts w:hint="eastAsia" w:ascii="仿宋" w:hAnsi="仿宋" w:eastAsia="仿宋" w:cs="Times New Roman"/>
          <w:sz w:val="32"/>
          <w:szCs w:val="32"/>
        </w:rPr>
        <w:t>告表》（以下简称《报告表》）已收悉</w:t>
      </w:r>
      <w:r>
        <w:rPr>
          <w:rStyle w:val="18"/>
          <w:rFonts w:hint="eastAsia" w:ascii="仿宋" w:hAnsi="仿宋" w:eastAsia="仿宋" w:cs="Times New Roman"/>
          <w:sz w:val="32"/>
          <w:szCs w:val="32"/>
          <w:lang w:eastAsia="zh-CN"/>
        </w:rPr>
        <w:t>。</w:t>
      </w:r>
      <w:r>
        <w:rPr>
          <w:rStyle w:val="18"/>
          <w:rFonts w:hint="eastAsia" w:ascii="仿宋" w:hAnsi="仿宋" w:eastAsia="仿宋"/>
          <w:sz w:val="32"/>
          <w:szCs w:val="32"/>
        </w:rPr>
        <w:t>该项目属于新建项目，位于</w:t>
      </w:r>
      <w:r>
        <w:rPr>
          <w:rStyle w:val="18"/>
          <w:rFonts w:hint="eastAsia" w:ascii="仿宋" w:hAnsi="仿宋" w:eastAsia="仿宋"/>
          <w:sz w:val="32"/>
          <w:szCs w:val="32"/>
          <w:lang w:eastAsia="zh-CN"/>
        </w:rPr>
        <w:t>东胜区铜川镇神山</w:t>
      </w:r>
      <w:r>
        <w:rPr>
          <w:rStyle w:val="18"/>
          <w:rFonts w:hint="eastAsia" w:ascii="仿宋" w:hAnsi="仿宋" w:eastAsia="仿宋"/>
          <w:sz w:val="32"/>
          <w:szCs w:val="32"/>
          <w:highlight w:val="none"/>
          <w:lang w:eastAsia="zh-CN"/>
        </w:rPr>
        <w:t>村</w:t>
      </w:r>
      <w:r>
        <w:rPr>
          <w:rStyle w:val="18"/>
          <w:rFonts w:hint="eastAsia" w:ascii="仿宋" w:hAnsi="仿宋" w:eastAsia="仿宋"/>
          <w:sz w:val="32"/>
          <w:szCs w:val="32"/>
          <w:highlight w:val="none"/>
          <w:lang w:val="en-US" w:eastAsia="zh-CN"/>
        </w:rPr>
        <w:t>。</w:t>
      </w:r>
      <w:r>
        <w:rPr>
          <w:rStyle w:val="18"/>
          <w:rFonts w:hint="eastAsia" w:ascii="仿宋" w:hAnsi="仿宋" w:eastAsia="仿宋" w:cs="Times New Roman"/>
          <w:sz w:val="32"/>
          <w:szCs w:val="32"/>
          <w:highlight w:val="none"/>
          <w:lang w:val="en-US" w:eastAsia="zh-CN"/>
        </w:rPr>
        <w:t>项目</w:t>
      </w:r>
      <w:r>
        <w:rPr>
          <w:rStyle w:val="18"/>
          <w:rFonts w:hint="default" w:ascii="仿宋" w:hAnsi="仿宋" w:eastAsia="仿宋" w:cs="Times New Roman"/>
          <w:sz w:val="32"/>
          <w:szCs w:val="32"/>
          <w:highlight w:val="none"/>
          <w:lang w:val="en-US" w:eastAsia="zh-CN"/>
        </w:rPr>
        <w:t>总投</w:t>
      </w:r>
      <w:r>
        <w:rPr>
          <w:rStyle w:val="18"/>
          <w:rFonts w:hint="default" w:ascii="仿宋" w:hAnsi="仿宋" w:eastAsia="仿宋" w:cs="Times New Roman"/>
          <w:sz w:val="32"/>
          <w:szCs w:val="32"/>
          <w:lang w:val="en-US" w:eastAsia="zh-CN"/>
        </w:rPr>
        <w:t>资</w:t>
      </w:r>
      <w:r>
        <w:rPr>
          <w:rStyle w:val="18"/>
          <w:rFonts w:hint="eastAsia" w:ascii="仿宋" w:hAnsi="仿宋" w:eastAsia="仿宋" w:cs="Times New Roman"/>
          <w:sz w:val="32"/>
          <w:szCs w:val="32"/>
          <w:lang w:val="en-US" w:eastAsia="zh-CN"/>
        </w:rPr>
        <w:t>1191.58万</w:t>
      </w:r>
      <w:r>
        <w:rPr>
          <w:rStyle w:val="18"/>
          <w:rFonts w:hint="default" w:ascii="仿宋" w:hAnsi="仿宋" w:eastAsia="仿宋" w:cs="Times New Roman"/>
          <w:sz w:val="32"/>
          <w:szCs w:val="32"/>
          <w:lang w:val="en-US" w:eastAsia="zh-CN"/>
        </w:rPr>
        <w:t>元，</w:t>
      </w:r>
      <w:r>
        <w:rPr>
          <w:rStyle w:val="18"/>
          <w:rFonts w:hint="eastAsia" w:ascii="仿宋" w:hAnsi="仿宋" w:eastAsia="仿宋" w:cs="Times New Roman"/>
          <w:sz w:val="32"/>
          <w:szCs w:val="32"/>
          <w:lang w:val="en-US" w:eastAsia="zh-CN"/>
        </w:rPr>
        <w:t>其中</w:t>
      </w:r>
      <w:r>
        <w:rPr>
          <w:rStyle w:val="18"/>
          <w:rFonts w:hint="default" w:ascii="仿宋" w:hAnsi="仿宋" w:eastAsia="仿宋"/>
          <w:sz w:val="32"/>
          <w:szCs w:val="32"/>
        </w:rPr>
        <w:t>环保</w:t>
      </w:r>
      <w:r>
        <w:rPr>
          <w:rStyle w:val="18"/>
          <w:rFonts w:hint="default" w:ascii="仿宋" w:hAnsi="仿宋" w:eastAsia="仿宋" w:cs="Times New Roman"/>
          <w:color w:val="auto"/>
          <w:sz w:val="32"/>
          <w:szCs w:val="32"/>
          <w:lang w:eastAsia="zh-CN"/>
        </w:rPr>
        <w:t>投资</w:t>
      </w:r>
      <w:r>
        <w:rPr>
          <w:rStyle w:val="18"/>
          <w:rFonts w:hint="eastAsia" w:ascii="仿宋" w:hAnsi="仿宋" w:eastAsia="仿宋" w:cs="Times New Roman"/>
          <w:color w:val="auto"/>
          <w:sz w:val="32"/>
          <w:szCs w:val="32"/>
          <w:lang w:val="en-US" w:eastAsia="zh-CN"/>
        </w:rPr>
        <w:t>264.3万元</w:t>
      </w:r>
      <w:r>
        <w:rPr>
          <w:rStyle w:val="18"/>
          <w:rFonts w:hint="eastAsia" w:ascii="仿宋" w:hAnsi="仿宋" w:eastAsia="仿宋" w:cs="Times New Roman"/>
          <w:color w:val="auto"/>
          <w:sz w:val="32"/>
          <w:szCs w:val="32"/>
          <w:lang w:eastAsia="zh-CN"/>
        </w:rPr>
        <w:t>。</w:t>
      </w:r>
      <w:r>
        <w:rPr>
          <w:rStyle w:val="18"/>
          <w:rFonts w:hint="eastAsia" w:ascii="仿宋" w:hAnsi="仿宋" w:eastAsia="仿宋" w:cs="Times New Roman"/>
          <w:sz w:val="32"/>
          <w:szCs w:val="32"/>
          <w:lang w:eastAsia="zh-CN"/>
        </w:rPr>
        <w:t>主要建设内容及规模：</w:t>
      </w:r>
      <w:r>
        <w:rPr>
          <w:rStyle w:val="18"/>
          <w:rFonts w:hint="eastAsia" w:ascii="仿宋" w:hAnsi="仿宋" w:eastAsia="仿宋" w:cs="Times New Roman"/>
          <w:sz w:val="32"/>
          <w:szCs w:val="32"/>
          <w:highlight w:val="none"/>
          <w:lang w:val="en-US" w:eastAsia="zh-CN"/>
        </w:rPr>
        <w:t>本项目治理方式为剥离和封堵。</w:t>
      </w:r>
      <w:r>
        <w:rPr>
          <w:rStyle w:val="18"/>
          <w:rFonts w:hint="default" w:ascii="仿宋" w:hAnsi="仿宋" w:eastAsia="仿宋" w:cs="Times New Roman"/>
          <w:sz w:val="32"/>
          <w:szCs w:val="32"/>
          <w:highlight w:val="none"/>
          <w:lang w:val="en-US" w:eastAsia="zh-CN"/>
        </w:rPr>
        <w:t>治理区</w:t>
      </w:r>
      <w:r>
        <w:rPr>
          <w:rStyle w:val="18"/>
          <w:rFonts w:hint="eastAsia" w:ascii="仿宋" w:hAnsi="仿宋" w:eastAsia="仿宋" w:cs="Times New Roman"/>
          <w:sz w:val="32"/>
          <w:szCs w:val="32"/>
          <w:highlight w:val="none"/>
          <w:lang w:val="en-US" w:eastAsia="zh-CN"/>
        </w:rPr>
        <w:t>占地</w:t>
      </w:r>
      <w:r>
        <w:rPr>
          <w:rStyle w:val="18"/>
          <w:rFonts w:hint="default" w:ascii="仿宋" w:hAnsi="仿宋" w:eastAsia="仿宋" w:cs="Times New Roman"/>
          <w:sz w:val="32"/>
          <w:szCs w:val="32"/>
          <w:highlight w:val="none"/>
          <w:lang w:val="en-US" w:eastAsia="zh-CN"/>
        </w:rPr>
        <w:t>面积</w:t>
      </w:r>
      <w:r>
        <w:rPr>
          <w:rStyle w:val="18"/>
          <w:rFonts w:hint="eastAsia" w:ascii="仿宋" w:hAnsi="仿宋" w:eastAsia="仿宋" w:cs="Times New Roman"/>
          <w:sz w:val="32"/>
          <w:szCs w:val="32"/>
          <w:highlight w:val="none"/>
          <w:lang w:val="en-US" w:eastAsia="zh-CN"/>
        </w:rPr>
        <w:t>32394.68平方米，其中3-1治理区</w:t>
      </w:r>
      <w:r>
        <w:rPr>
          <w:rStyle w:val="18"/>
          <w:rFonts w:hint="default" w:ascii="仿宋" w:hAnsi="仿宋" w:eastAsia="仿宋" w:cs="Times New Roman"/>
          <w:sz w:val="32"/>
          <w:szCs w:val="32"/>
          <w:highlight w:val="none"/>
          <w:lang w:val="en-US" w:eastAsia="zh-CN"/>
        </w:rPr>
        <w:t>面积</w:t>
      </w:r>
      <w:r>
        <w:rPr>
          <w:rStyle w:val="18"/>
          <w:rFonts w:hint="eastAsia" w:ascii="仿宋" w:hAnsi="仿宋" w:eastAsia="仿宋" w:cs="Times New Roman"/>
          <w:sz w:val="32"/>
          <w:szCs w:val="32"/>
          <w:highlight w:val="none"/>
          <w:lang w:val="en-US" w:eastAsia="zh-CN"/>
        </w:rPr>
        <w:t>13535.7平方米，1-2治理区</w:t>
      </w:r>
      <w:r>
        <w:rPr>
          <w:rStyle w:val="18"/>
          <w:rFonts w:hint="default" w:ascii="仿宋" w:hAnsi="仿宋" w:eastAsia="仿宋" w:cs="Times New Roman"/>
          <w:sz w:val="32"/>
          <w:szCs w:val="32"/>
          <w:highlight w:val="none"/>
          <w:lang w:val="en-US" w:eastAsia="zh-CN"/>
        </w:rPr>
        <w:t>面积</w:t>
      </w:r>
      <w:r>
        <w:rPr>
          <w:rStyle w:val="18"/>
          <w:rFonts w:hint="eastAsia" w:ascii="仿宋" w:hAnsi="仿宋" w:eastAsia="仿宋" w:cs="Times New Roman"/>
          <w:sz w:val="32"/>
          <w:szCs w:val="32"/>
          <w:highlight w:val="none"/>
          <w:lang w:val="en-US" w:eastAsia="zh-CN"/>
        </w:rPr>
        <w:t>8686.98平方米，排土场面积10172平方米。项目总剥离量为25.8</w:t>
      </w:r>
      <w:r>
        <w:rPr>
          <w:rStyle w:val="18"/>
          <w:rFonts w:hint="default" w:ascii="仿宋" w:hAnsi="仿宋" w:eastAsia="仿宋" w:cs="Times New Roman"/>
          <w:sz w:val="32"/>
          <w:szCs w:val="32"/>
          <w:highlight w:val="none"/>
          <w:lang w:val="en-US" w:eastAsia="zh-CN"/>
        </w:rPr>
        <w:t>×10</w:t>
      </w:r>
      <w:r>
        <w:rPr>
          <w:rStyle w:val="18"/>
          <w:rFonts w:hint="default" w:ascii="仿宋" w:hAnsi="仿宋" w:eastAsia="仿宋" w:cs="Times New Roman"/>
          <w:sz w:val="32"/>
          <w:szCs w:val="32"/>
          <w:highlight w:val="none"/>
          <w:vertAlign w:val="superscript"/>
          <w:lang w:val="en-US" w:eastAsia="zh-CN"/>
        </w:rPr>
        <w:t>4</w:t>
      </w:r>
      <w:r>
        <w:rPr>
          <w:rStyle w:val="18"/>
          <w:rFonts w:hint="eastAsia" w:ascii="仿宋" w:hAnsi="仿宋" w:eastAsia="仿宋" w:cs="Times New Roman"/>
          <w:sz w:val="32"/>
          <w:szCs w:val="32"/>
          <w:highlight w:val="none"/>
          <w:lang w:val="en-US" w:eastAsia="zh-CN"/>
        </w:rPr>
        <w:t>立方米</w:t>
      </w:r>
      <w:r>
        <w:rPr>
          <w:rStyle w:val="18"/>
          <w:rFonts w:hint="default" w:ascii="仿宋" w:hAnsi="仿宋" w:eastAsia="仿宋" w:cs="Times New Roman"/>
          <w:sz w:val="32"/>
          <w:szCs w:val="32"/>
          <w:highlight w:val="none"/>
          <w:lang w:val="en-US" w:eastAsia="zh-CN"/>
        </w:rPr>
        <w:t>，</w:t>
      </w:r>
      <w:r>
        <w:rPr>
          <w:rStyle w:val="18"/>
          <w:rFonts w:hint="eastAsia" w:ascii="仿宋" w:hAnsi="仿宋" w:eastAsia="仿宋" w:cs="Times New Roman"/>
          <w:sz w:val="32"/>
          <w:szCs w:val="32"/>
          <w:highlight w:val="none"/>
          <w:lang w:val="en-US" w:eastAsia="zh-CN"/>
        </w:rPr>
        <w:t>其中</w:t>
      </w:r>
      <w:r>
        <w:rPr>
          <w:rStyle w:val="18"/>
          <w:rFonts w:hint="default" w:ascii="仿宋" w:hAnsi="仿宋" w:eastAsia="仿宋" w:cs="Times New Roman"/>
          <w:sz w:val="32"/>
          <w:szCs w:val="32"/>
          <w:highlight w:val="none"/>
          <w:lang w:val="en-US" w:eastAsia="zh-CN"/>
        </w:rPr>
        <w:t>1-2煤层治理区剥离量为16×10</w:t>
      </w:r>
      <w:r>
        <w:rPr>
          <w:rStyle w:val="18"/>
          <w:rFonts w:hint="default" w:ascii="仿宋" w:hAnsi="仿宋" w:eastAsia="仿宋" w:cs="Times New Roman"/>
          <w:sz w:val="32"/>
          <w:szCs w:val="32"/>
          <w:highlight w:val="none"/>
          <w:vertAlign w:val="superscript"/>
          <w:lang w:val="en-US" w:eastAsia="zh-CN"/>
        </w:rPr>
        <w:t>4</w:t>
      </w:r>
      <w:r>
        <w:rPr>
          <w:rStyle w:val="18"/>
          <w:rFonts w:hint="eastAsia" w:ascii="仿宋" w:hAnsi="仿宋" w:eastAsia="仿宋" w:cs="Times New Roman"/>
          <w:sz w:val="32"/>
          <w:szCs w:val="32"/>
          <w:highlight w:val="none"/>
          <w:lang w:val="en-US" w:eastAsia="zh-CN"/>
        </w:rPr>
        <w:t>立方米</w:t>
      </w:r>
      <w:r>
        <w:rPr>
          <w:rStyle w:val="18"/>
          <w:rFonts w:hint="default" w:ascii="仿宋" w:hAnsi="仿宋" w:eastAsia="仿宋" w:cs="Times New Roman"/>
          <w:sz w:val="32"/>
          <w:szCs w:val="32"/>
          <w:highlight w:val="none"/>
          <w:lang w:val="en-US" w:eastAsia="zh-CN"/>
        </w:rPr>
        <w:t>，3-1煤层治理区剥离量为9.8×10</w:t>
      </w:r>
      <w:r>
        <w:rPr>
          <w:rStyle w:val="18"/>
          <w:rFonts w:hint="default" w:ascii="仿宋" w:hAnsi="仿宋" w:eastAsia="仿宋" w:cs="Times New Roman"/>
          <w:sz w:val="32"/>
          <w:szCs w:val="32"/>
          <w:highlight w:val="none"/>
          <w:vertAlign w:val="superscript"/>
          <w:lang w:val="en-US" w:eastAsia="zh-CN"/>
        </w:rPr>
        <w:t>4</w:t>
      </w:r>
      <w:r>
        <w:rPr>
          <w:rStyle w:val="18"/>
          <w:rFonts w:hint="eastAsia" w:ascii="仿宋" w:hAnsi="仿宋" w:eastAsia="仿宋" w:cs="Times New Roman"/>
          <w:sz w:val="32"/>
          <w:szCs w:val="32"/>
          <w:highlight w:val="none"/>
          <w:lang w:val="en-US" w:eastAsia="zh-CN"/>
        </w:rPr>
        <w:t>立方米</w:t>
      </w:r>
      <w:r>
        <w:rPr>
          <w:rStyle w:val="18"/>
          <w:rFonts w:hint="default" w:ascii="仿宋" w:hAnsi="仿宋" w:eastAsia="仿宋" w:cs="Times New Roman"/>
          <w:sz w:val="32"/>
          <w:szCs w:val="32"/>
          <w:highlight w:val="none"/>
          <w:lang w:val="en-US" w:eastAsia="zh-CN"/>
        </w:rPr>
        <w:t>。</w:t>
      </w:r>
      <w:r>
        <w:rPr>
          <w:rStyle w:val="18"/>
          <w:rFonts w:hint="eastAsia" w:ascii="仿宋" w:hAnsi="仿宋" w:eastAsia="仿宋" w:cs="Times New Roman"/>
          <w:sz w:val="32"/>
          <w:szCs w:val="32"/>
          <w:highlight w:val="none"/>
          <w:lang w:val="en-US" w:eastAsia="zh-CN"/>
        </w:rPr>
        <w:t>项目封堵工程总黄土用量为2.8</w:t>
      </w:r>
      <w:r>
        <w:rPr>
          <w:rStyle w:val="18"/>
          <w:rFonts w:hint="default" w:ascii="仿宋" w:hAnsi="仿宋" w:eastAsia="仿宋" w:cs="Times New Roman"/>
          <w:sz w:val="32"/>
          <w:szCs w:val="32"/>
          <w:highlight w:val="none"/>
          <w:lang w:val="en-US" w:eastAsia="zh-CN"/>
        </w:rPr>
        <w:t>×10</w:t>
      </w:r>
      <w:r>
        <w:rPr>
          <w:rStyle w:val="18"/>
          <w:rFonts w:hint="default" w:ascii="仿宋" w:hAnsi="仿宋" w:eastAsia="仿宋" w:cs="Times New Roman"/>
          <w:sz w:val="32"/>
          <w:szCs w:val="32"/>
          <w:highlight w:val="none"/>
          <w:vertAlign w:val="superscript"/>
          <w:lang w:val="en-US" w:eastAsia="zh-CN"/>
        </w:rPr>
        <w:t>4</w:t>
      </w:r>
      <w:r>
        <w:rPr>
          <w:rStyle w:val="18"/>
          <w:rFonts w:hint="eastAsia" w:ascii="仿宋" w:hAnsi="仿宋" w:eastAsia="仿宋" w:cs="Times New Roman"/>
          <w:sz w:val="32"/>
          <w:szCs w:val="32"/>
          <w:highlight w:val="none"/>
          <w:lang w:val="en-US" w:eastAsia="zh-CN"/>
        </w:rPr>
        <w:t>立方米。项目生态修复总面积为32394.68平方米。</w:t>
      </w:r>
    </w:p>
    <w:p>
      <w:pPr>
        <w:keepNext w:val="0"/>
        <w:keepLines w:val="0"/>
        <w:pageBreakBefore w:val="0"/>
        <w:widowControl/>
        <w:kinsoku/>
        <w:wordWrap/>
        <w:overflowPunct/>
        <w:topLinePunct w:val="0"/>
        <w:autoSpaceDE/>
        <w:autoSpaceDN/>
        <w:bidi w:val="0"/>
        <w:adjustRightInd/>
        <w:snapToGrid/>
        <w:spacing w:line="360" w:lineRule="auto"/>
        <w:ind w:firstLine="640" w:firstLineChars="200"/>
        <w:jc w:val="both"/>
        <w:textAlignment w:val="auto"/>
        <w:rPr>
          <w:rStyle w:val="18"/>
          <w:rFonts w:ascii="仿宋" w:hAnsi="仿宋" w:eastAsia="仿宋"/>
          <w:color w:val="auto"/>
          <w:sz w:val="32"/>
          <w:szCs w:val="32"/>
          <w:highlight w:val="none"/>
        </w:rPr>
      </w:pPr>
      <w:r>
        <w:rPr>
          <w:rStyle w:val="18"/>
          <w:rFonts w:hint="eastAsia" w:ascii="仿宋" w:hAnsi="仿宋" w:eastAsia="仿宋"/>
          <w:sz w:val="32"/>
          <w:szCs w:val="32"/>
        </w:rPr>
        <w:t>《报告表》认为，在全面落实各项生态环境保护和环境污染防治措施的前提下，项目建设对环境的不利影响能够得到一定的缓解和控制。因此，我局原则同意你单位按照《报告表》中所列的建</w:t>
      </w:r>
      <w:r>
        <w:rPr>
          <w:rStyle w:val="18"/>
          <w:rFonts w:hint="eastAsia" w:ascii="仿宋" w:hAnsi="仿宋" w:eastAsia="仿宋"/>
          <w:sz w:val="32"/>
          <w:szCs w:val="32"/>
          <w:highlight w:val="none"/>
        </w:rPr>
        <w:t>设项目性质、规模、地点、环境保护措施进行建设。</w:t>
      </w:r>
      <w:r>
        <w:rPr>
          <w:rStyle w:val="18"/>
          <w:rFonts w:ascii="仿宋" w:hAnsi="仿宋" w:eastAsia="仿宋"/>
          <w:sz w:val="32"/>
          <w:szCs w:val="32"/>
          <w:highlight w:val="none"/>
        </w:rPr>
        <w:t xml:space="preserve"> </w:t>
      </w:r>
      <w:r>
        <w:rPr>
          <w:rStyle w:val="18"/>
          <w:rFonts w:ascii="仿宋" w:hAnsi="仿宋" w:eastAsia="仿宋"/>
          <w:color w:val="auto"/>
          <w:sz w:val="32"/>
          <w:szCs w:val="32"/>
          <w:highlight w:val="none"/>
        </w:rPr>
        <w:t xml:space="preserve"> </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textAlignment w:val="auto"/>
        <w:rPr>
          <w:rStyle w:val="18"/>
          <w:rFonts w:hint="eastAsia" w:ascii="仿宋" w:hAnsi="仿宋" w:eastAsia="仿宋" w:cs="Times New Roman"/>
          <w:sz w:val="32"/>
          <w:szCs w:val="32"/>
          <w:highlight w:val="none"/>
        </w:rPr>
      </w:pPr>
      <w:r>
        <w:rPr>
          <w:rStyle w:val="18"/>
          <w:rFonts w:hint="eastAsia" w:ascii="仿宋" w:hAnsi="仿宋" w:eastAsia="仿宋" w:cs="Times New Roman"/>
          <w:sz w:val="32"/>
          <w:szCs w:val="32"/>
          <w:highlight w:val="none"/>
        </w:rPr>
        <w:t>加强施工期环境管理，配备足够的洒水车、篷布等防尘设备，有效控制施工期</w:t>
      </w:r>
      <w:r>
        <w:rPr>
          <w:rStyle w:val="18"/>
          <w:rFonts w:hint="eastAsia" w:ascii="仿宋" w:hAnsi="仿宋" w:eastAsia="仿宋" w:cs="Times New Roman"/>
          <w:sz w:val="32"/>
          <w:szCs w:val="32"/>
          <w:highlight w:val="none"/>
          <w:lang w:eastAsia="zh-CN"/>
        </w:rPr>
        <w:t>剥离、封堵</w:t>
      </w:r>
      <w:r>
        <w:rPr>
          <w:rStyle w:val="18"/>
          <w:rFonts w:hint="eastAsia" w:ascii="仿宋" w:hAnsi="仿宋" w:eastAsia="仿宋" w:cs="Times New Roman"/>
          <w:sz w:val="32"/>
          <w:szCs w:val="32"/>
          <w:highlight w:val="none"/>
        </w:rPr>
        <w:t>过程中产生的扬尘污染。</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施工期噪声执行《建筑施工场界环境噪声排放标准》（GB12523-2011）；</w:t>
      </w:r>
      <w:r>
        <w:rPr>
          <w:rFonts w:ascii="仿宋" w:hAnsi="仿宋" w:eastAsia="仿宋" w:cs="仿宋"/>
          <w:color w:val="auto"/>
          <w:sz w:val="32"/>
          <w:szCs w:val="32"/>
          <w:highlight w:val="none"/>
        </w:rPr>
        <w:t>施工期大气污染物排放</w:t>
      </w:r>
      <w:r>
        <w:rPr>
          <w:rFonts w:hint="eastAsia" w:ascii="仿宋" w:hAnsi="仿宋" w:eastAsia="仿宋" w:cs="仿宋"/>
          <w:color w:val="auto"/>
          <w:sz w:val="32"/>
          <w:szCs w:val="32"/>
          <w:highlight w:val="none"/>
        </w:rPr>
        <w:t>执行《大气污染物综合排放标准》（GB16297-1996）表2中无组织排放监控浓度限值。</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textAlignment w:val="auto"/>
        <w:rPr>
          <w:rFonts w:hint="default"/>
          <w:highlight w:val="none"/>
          <w:lang w:val="en-US" w:eastAsia="zh-CN"/>
        </w:rPr>
      </w:pPr>
      <w:r>
        <w:rPr>
          <w:rStyle w:val="18"/>
          <w:rFonts w:hint="eastAsia" w:ascii="仿宋" w:hAnsi="仿宋" w:eastAsia="仿宋" w:cs="Times New Roman"/>
          <w:sz w:val="32"/>
          <w:szCs w:val="32"/>
          <w:highlight w:val="none"/>
          <w:lang w:val="en-US" w:eastAsia="zh-CN"/>
        </w:rPr>
        <w:t>施工期不产生生产废水</w:t>
      </w:r>
      <w:r>
        <w:rPr>
          <w:rStyle w:val="18"/>
          <w:rFonts w:hint="eastAsia" w:ascii="仿宋" w:hAnsi="仿宋" w:eastAsia="仿宋" w:cs="Times New Roman"/>
          <w:color w:val="000000" w:themeColor="text1"/>
          <w:sz w:val="32"/>
          <w:szCs w:val="32"/>
          <w:highlight w:val="none"/>
          <w:lang w:val="en-US" w:eastAsia="zh-CN"/>
          <w14:textFill>
            <w14:solidFill>
              <w14:schemeClr w14:val="tx1"/>
            </w14:solidFill>
          </w14:textFill>
        </w:rPr>
        <w:t>；</w:t>
      </w:r>
      <w:r>
        <w:rPr>
          <w:rFonts w:hint="default" w:ascii="仿宋" w:hAnsi="仿宋" w:eastAsia="仿宋" w:cs="仿宋"/>
          <w:strike w:val="0"/>
          <w:dstrike w:val="0"/>
          <w:color w:val="000000" w:themeColor="text1"/>
          <w:kern w:val="0"/>
          <w:sz w:val="32"/>
          <w:szCs w:val="32"/>
          <w:highlight w:val="none"/>
          <w:lang w:val="en-US" w:eastAsia="zh-CN" w:bidi="ar-SA"/>
          <w14:textFill>
            <w14:solidFill>
              <w14:schemeClr w14:val="tx1"/>
            </w14:solidFill>
          </w14:textFill>
        </w:rPr>
        <w:t>生活污水</w:t>
      </w:r>
      <w:r>
        <w:rPr>
          <w:rFonts w:hint="eastAsia" w:ascii="仿宋" w:hAnsi="仿宋" w:eastAsia="仿宋" w:cs="仿宋"/>
          <w:strike w:val="0"/>
          <w:dstrike w:val="0"/>
          <w:color w:val="000000" w:themeColor="text1"/>
          <w:kern w:val="0"/>
          <w:sz w:val="32"/>
          <w:szCs w:val="32"/>
          <w:highlight w:val="none"/>
          <w:lang w:val="en-US" w:eastAsia="zh-CN" w:bidi="ar-SA"/>
          <w14:textFill>
            <w14:solidFill>
              <w14:schemeClr w14:val="tx1"/>
            </w14:solidFill>
          </w14:textFill>
        </w:rPr>
        <w:t>依托治理区北侧防渗旱厕，由环卫部门定期清掏处理</w:t>
      </w:r>
      <w:r>
        <w:rPr>
          <w:rFonts w:hint="default" w:ascii="仿宋" w:hAnsi="仿宋" w:eastAsia="仿宋" w:cs="仿宋"/>
          <w:strike w:val="0"/>
          <w:dstrike w:val="0"/>
          <w:color w:val="000000" w:themeColor="text1"/>
          <w:kern w:val="0"/>
          <w:sz w:val="32"/>
          <w:szCs w:val="32"/>
          <w:highlight w:val="none"/>
          <w:lang w:val="en-US" w:eastAsia="zh-CN" w:bidi="ar-SA"/>
          <w14:textFill>
            <w14:solidFill>
              <w14:schemeClr w14:val="tx1"/>
            </w14:solidFill>
          </w14:textFill>
        </w:rPr>
        <w:t>。</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200"/>
        <w:jc w:val="both"/>
        <w:textAlignment w:val="auto"/>
        <w:rPr>
          <w:color w:val="auto"/>
          <w:highlight w:val="none"/>
        </w:rPr>
      </w:pPr>
      <w:r>
        <w:rPr>
          <w:rStyle w:val="18"/>
          <w:rFonts w:hint="default" w:ascii="仿宋" w:hAnsi="仿宋" w:eastAsia="仿宋" w:cs="Times New Roman"/>
          <w:sz w:val="32"/>
          <w:szCs w:val="32"/>
          <w:highlight w:val="none"/>
          <w:lang w:val="en-US" w:eastAsia="zh-CN"/>
        </w:rPr>
        <w:t>严格控制</w:t>
      </w:r>
      <w:r>
        <w:rPr>
          <w:rStyle w:val="18"/>
          <w:rFonts w:hint="eastAsia" w:ascii="仿宋" w:hAnsi="仿宋" w:eastAsia="仿宋" w:cs="Times New Roman"/>
          <w:sz w:val="32"/>
          <w:szCs w:val="32"/>
          <w:highlight w:val="none"/>
          <w:lang w:val="en-US" w:eastAsia="zh-CN"/>
        </w:rPr>
        <w:t>工程</w:t>
      </w:r>
      <w:r>
        <w:rPr>
          <w:rStyle w:val="18"/>
          <w:rFonts w:hint="default" w:ascii="仿宋" w:hAnsi="仿宋" w:eastAsia="仿宋" w:cs="Times New Roman"/>
          <w:sz w:val="32"/>
          <w:szCs w:val="32"/>
          <w:highlight w:val="none"/>
          <w:lang w:val="en-US" w:eastAsia="zh-CN"/>
        </w:rPr>
        <w:t>用地范围，减少</w:t>
      </w:r>
      <w:r>
        <w:rPr>
          <w:rStyle w:val="18"/>
          <w:rFonts w:hint="eastAsia" w:ascii="仿宋" w:hAnsi="仿宋" w:eastAsia="仿宋" w:cs="Times New Roman"/>
          <w:sz w:val="32"/>
          <w:szCs w:val="32"/>
          <w:highlight w:val="none"/>
          <w:lang w:val="en-US" w:eastAsia="zh-CN"/>
        </w:rPr>
        <w:t>土地</w:t>
      </w:r>
      <w:r>
        <w:rPr>
          <w:rStyle w:val="18"/>
          <w:rFonts w:hint="default" w:ascii="仿宋" w:hAnsi="仿宋" w:eastAsia="仿宋" w:cs="Times New Roman"/>
          <w:sz w:val="32"/>
          <w:szCs w:val="32"/>
          <w:highlight w:val="none"/>
          <w:lang w:val="en-US" w:eastAsia="zh-CN"/>
        </w:rPr>
        <w:t>扰动，须保护工程用地扰动区域</w:t>
      </w:r>
      <w:r>
        <w:rPr>
          <w:rStyle w:val="18"/>
          <w:rFonts w:hint="eastAsia" w:ascii="仿宋" w:hAnsi="仿宋" w:eastAsia="仿宋" w:cs="Times New Roman"/>
          <w:sz w:val="32"/>
          <w:szCs w:val="32"/>
          <w:highlight w:val="none"/>
          <w:lang w:val="en-US" w:eastAsia="zh-CN"/>
        </w:rPr>
        <w:t>的</w:t>
      </w:r>
      <w:r>
        <w:rPr>
          <w:rStyle w:val="18"/>
          <w:rFonts w:hint="default" w:ascii="仿宋" w:hAnsi="仿宋" w:eastAsia="仿宋" w:cs="Times New Roman"/>
          <w:sz w:val="32"/>
          <w:szCs w:val="32"/>
          <w:highlight w:val="none"/>
          <w:lang w:val="en-US" w:eastAsia="zh-CN"/>
        </w:rPr>
        <w:t>生态系统，并根据扰动区域土质情况因地制宜进行</w:t>
      </w:r>
      <w:r>
        <w:rPr>
          <w:rStyle w:val="18"/>
          <w:rFonts w:hint="eastAsia" w:ascii="仿宋" w:hAnsi="仿宋" w:eastAsia="仿宋" w:cs="Times New Roman"/>
          <w:sz w:val="32"/>
          <w:szCs w:val="32"/>
          <w:highlight w:val="none"/>
          <w:lang w:val="en-US" w:eastAsia="zh-CN"/>
        </w:rPr>
        <w:t>生态</w:t>
      </w:r>
      <w:r>
        <w:rPr>
          <w:rStyle w:val="18"/>
          <w:rFonts w:hint="default" w:ascii="仿宋" w:hAnsi="仿宋" w:eastAsia="仿宋" w:cs="Times New Roman"/>
          <w:sz w:val="32"/>
          <w:szCs w:val="32"/>
          <w:highlight w:val="none"/>
          <w:lang w:val="en-US" w:eastAsia="zh-CN"/>
        </w:rPr>
        <w:t>修复。</w:t>
      </w:r>
      <w:r>
        <w:rPr>
          <w:rStyle w:val="18"/>
          <w:rFonts w:hint="eastAsia" w:ascii="仿宋" w:hAnsi="仿宋" w:eastAsia="仿宋" w:cs="Times New Roman"/>
          <w:sz w:val="32"/>
          <w:szCs w:val="32"/>
          <w:highlight w:val="none"/>
          <w:lang w:eastAsia="zh-CN"/>
        </w:rPr>
        <w:t>施工结束后</w:t>
      </w:r>
      <w:r>
        <w:rPr>
          <w:rStyle w:val="18"/>
          <w:rFonts w:hint="default" w:ascii="仿宋" w:hAnsi="仿宋" w:eastAsia="仿宋" w:cs="Times New Roman"/>
          <w:sz w:val="32"/>
          <w:szCs w:val="32"/>
          <w:highlight w:val="none"/>
        </w:rPr>
        <w:t>对</w:t>
      </w:r>
      <w:r>
        <w:rPr>
          <w:rStyle w:val="18"/>
          <w:rFonts w:hint="eastAsia" w:ascii="仿宋" w:hAnsi="仿宋" w:eastAsia="仿宋" w:cs="Times New Roman"/>
          <w:sz w:val="32"/>
          <w:szCs w:val="32"/>
          <w:highlight w:val="none"/>
          <w:lang w:eastAsia="zh-CN"/>
        </w:rPr>
        <w:t>治理区</w:t>
      </w:r>
      <w:r>
        <w:rPr>
          <w:rStyle w:val="18"/>
          <w:rFonts w:hint="default" w:ascii="仿宋" w:hAnsi="仿宋" w:eastAsia="仿宋" w:cs="Times New Roman"/>
          <w:sz w:val="32"/>
          <w:szCs w:val="32"/>
          <w:highlight w:val="none"/>
        </w:rPr>
        <w:t>平台及边坡采取覆土措施</w:t>
      </w:r>
      <w:r>
        <w:rPr>
          <w:rStyle w:val="18"/>
          <w:rFonts w:hint="eastAsia" w:ascii="仿宋" w:hAnsi="仿宋" w:eastAsia="仿宋" w:cs="Times New Roman"/>
          <w:sz w:val="32"/>
          <w:szCs w:val="32"/>
          <w:highlight w:val="none"/>
          <w:lang w:eastAsia="zh-CN"/>
        </w:rPr>
        <w:t>，</w:t>
      </w:r>
      <w:r>
        <w:rPr>
          <w:rStyle w:val="18"/>
          <w:rFonts w:hint="default" w:ascii="仿宋" w:hAnsi="仿宋" w:eastAsia="仿宋" w:cs="Times New Roman"/>
          <w:sz w:val="32"/>
          <w:szCs w:val="32"/>
          <w:highlight w:val="none"/>
        </w:rPr>
        <w:t>尽快恢复</w:t>
      </w:r>
      <w:r>
        <w:rPr>
          <w:rStyle w:val="18"/>
          <w:rFonts w:hint="eastAsia" w:ascii="仿宋" w:hAnsi="仿宋" w:eastAsia="仿宋" w:cs="Times New Roman"/>
          <w:sz w:val="32"/>
          <w:szCs w:val="32"/>
          <w:highlight w:val="none"/>
          <w:lang w:eastAsia="zh-CN"/>
        </w:rPr>
        <w:t>外排土场及治理区</w:t>
      </w:r>
      <w:r>
        <w:rPr>
          <w:rStyle w:val="18"/>
          <w:rFonts w:hint="default" w:ascii="仿宋" w:hAnsi="仿宋" w:eastAsia="仿宋" w:cs="Times New Roman"/>
          <w:sz w:val="32"/>
          <w:szCs w:val="32"/>
          <w:highlight w:val="none"/>
        </w:rPr>
        <w:t>植被。</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200"/>
        <w:jc w:val="both"/>
        <w:textAlignment w:val="auto"/>
        <w:rPr>
          <w:color w:val="auto"/>
        </w:rPr>
      </w:pPr>
      <w:r>
        <w:rPr>
          <w:rFonts w:hint="eastAsia" w:ascii="仿宋" w:hAnsi="仿宋" w:eastAsia="仿宋" w:cs="仿宋"/>
          <w:strike w:val="0"/>
          <w:dstrike w:val="0"/>
          <w:color w:val="auto"/>
          <w:kern w:val="0"/>
          <w:sz w:val="32"/>
          <w:szCs w:val="32"/>
          <w:highlight w:val="none"/>
          <w:lang w:val="en-US" w:eastAsia="zh-CN" w:bidi="ar-SA"/>
        </w:rPr>
        <w:t>妥善处置</w:t>
      </w:r>
      <w:r>
        <w:rPr>
          <w:rFonts w:hint="eastAsia" w:ascii="仿宋" w:hAnsi="仿宋" w:eastAsia="仿宋" w:cs="仿宋"/>
          <w:strike w:val="0"/>
          <w:dstrike w:val="0"/>
          <w:color w:val="auto"/>
          <w:kern w:val="0"/>
          <w:sz w:val="32"/>
          <w:szCs w:val="32"/>
          <w:lang w:val="en-US" w:eastAsia="zh-CN" w:bidi="ar-SA"/>
        </w:rPr>
        <w:t>各类固体废弃物。建设单位须严格按照《一般工业固体废物贮存和填</w:t>
      </w:r>
      <w:r>
        <w:rPr>
          <w:rFonts w:hint="eastAsia" w:ascii="仿宋" w:hAnsi="仿宋" w:eastAsia="仿宋" w:cs="仿宋"/>
          <w:strike w:val="0"/>
          <w:dstrike w:val="0"/>
          <w:color w:val="auto"/>
          <w:kern w:val="0"/>
          <w:sz w:val="32"/>
          <w:szCs w:val="32"/>
          <w:highlight w:val="none"/>
          <w:lang w:val="en-US" w:eastAsia="zh-CN" w:bidi="ar-SA"/>
        </w:rPr>
        <w:t>埋污染控制标准》（GB18599-2020）处置一般固废，不得乱弃。</w:t>
      </w:r>
      <w:r>
        <w:rPr>
          <w:rStyle w:val="18"/>
          <w:rFonts w:hint="eastAsia" w:ascii="仿宋" w:hAnsi="仿宋" w:eastAsia="仿宋" w:cs="Times New Roman"/>
          <w:color w:val="auto"/>
          <w:sz w:val="32"/>
          <w:szCs w:val="32"/>
          <w:highlight w:val="none"/>
          <w:lang w:val="en-US" w:eastAsia="zh-CN"/>
        </w:rPr>
        <w:t>剥离出的残煤于排土场暂存后，全部由东胜区国资委清运处置；剥离出的10.5</w:t>
      </w:r>
      <w:r>
        <w:rPr>
          <w:rStyle w:val="18"/>
          <w:rFonts w:hint="default" w:ascii="仿宋" w:hAnsi="仿宋" w:eastAsia="仿宋" w:cs="Times New Roman"/>
          <w:color w:val="auto"/>
          <w:sz w:val="32"/>
          <w:szCs w:val="32"/>
          <w:highlight w:val="none"/>
          <w:lang w:val="en-US" w:eastAsia="zh-CN"/>
        </w:rPr>
        <w:t>×10</w:t>
      </w:r>
      <w:r>
        <w:rPr>
          <w:rStyle w:val="18"/>
          <w:rFonts w:hint="default" w:ascii="仿宋" w:hAnsi="仿宋" w:eastAsia="仿宋" w:cs="Times New Roman"/>
          <w:color w:val="auto"/>
          <w:sz w:val="32"/>
          <w:szCs w:val="32"/>
          <w:highlight w:val="none"/>
          <w:vertAlign w:val="superscript"/>
          <w:lang w:val="en-US" w:eastAsia="zh-CN"/>
        </w:rPr>
        <w:t>4</w:t>
      </w:r>
      <w:r>
        <w:rPr>
          <w:rStyle w:val="18"/>
          <w:rFonts w:hint="eastAsia" w:ascii="仿宋" w:hAnsi="仿宋" w:eastAsia="仿宋" w:cs="Times New Roman"/>
          <w:color w:val="auto"/>
          <w:sz w:val="32"/>
          <w:szCs w:val="32"/>
          <w:highlight w:val="none"/>
          <w:lang w:val="en-US" w:eastAsia="zh-CN"/>
        </w:rPr>
        <w:t>立方米岩石用于排土场低洼裸地填平工程，剩余6.6</w:t>
      </w:r>
      <w:r>
        <w:rPr>
          <w:rStyle w:val="18"/>
          <w:rFonts w:hint="default" w:ascii="仿宋" w:hAnsi="仿宋" w:eastAsia="仿宋" w:cs="Times New Roman"/>
          <w:color w:val="auto"/>
          <w:sz w:val="32"/>
          <w:szCs w:val="32"/>
          <w:highlight w:val="none"/>
          <w:lang w:val="en-US" w:eastAsia="zh-CN"/>
        </w:rPr>
        <w:t>×10</w:t>
      </w:r>
      <w:r>
        <w:rPr>
          <w:rStyle w:val="18"/>
          <w:rFonts w:hint="default" w:ascii="仿宋" w:hAnsi="仿宋" w:eastAsia="仿宋" w:cs="Times New Roman"/>
          <w:color w:val="auto"/>
          <w:sz w:val="32"/>
          <w:szCs w:val="32"/>
          <w:highlight w:val="none"/>
          <w:vertAlign w:val="superscript"/>
          <w:lang w:val="en-US" w:eastAsia="zh-CN"/>
        </w:rPr>
        <w:t>4</w:t>
      </w:r>
      <w:r>
        <w:rPr>
          <w:rStyle w:val="18"/>
          <w:rFonts w:hint="eastAsia" w:ascii="仿宋" w:hAnsi="仿宋" w:eastAsia="仿宋" w:cs="Times New Roman"/>
          <w:color w:val="auto"/>
          <w:sz w:val="32"/>
          <w:szCs w:val="32"/>
          <w:highlight w:val="none"/>
          <w:lang w:val="en-US" w:eastAsia="zh-CN"/>
        </w:rPr>
        <w:t>立方米岩石全部用于后续施工简易公路的回填；剥离出的黄土全部用于封堵工程；剥离出的表土全部用于覆土工程。</w:t>
      </w:r>
    </w:p>
    <w:p>
      <w:pPr>
        <w:pStyle w:val="2"/>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rPr>
          <w:rFonts w:hint="eastAsia" w:ascii="仿宋" w:hAnsi="仿宋" w:eastAsia="仿宋" w:cs="仿宋"/>
          <w:strike w:val="0"/>
          <w:dstrike w:val="0"/>
          <w:color w:val="auto"/>
          <w:kern w:val="0"/>
          <w:sz w:val="32"/>
          <w:szCs w:val="32"/>
          <w:lang w:val="en-US" w:eastAsia="zh-CN" w:bidi="ar-SA"/>
        </w:rPr>
      </w:pPr>
      <w:r>
        <w:rPr>
          <w:rFonts w:hint="eastAsia" w:ascii="仿宋" w:hAnsi="仿宋" w:eastAsia="仿宋" w:cs="仿宋"/>
          <w:strike w:val="0"/>
          <w:dstrike w:val="0"/>
          <w:color w:val="auto"/>
          <w:kern w:val="0"/>
          <w:sz w:val="32"/>
          <w:szCs w:val="32"/>
          <w:lang w:val="en-US" w:eastAsia="zh-CN" w:bidi="ar-SA"/>
        </w:rPr>
        <w:t>强化环境风险防范，制定突发环境事件应急预案，落实环境风险事故防范措施，提高事故风险防范和污染控制能力。</w:t>
      </w:r>
    </w:p>
    <w:p>
      <w:pPr>
        <w:pStyle w:val="2"/>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pPr>
      <w:r>
        <w:rPr>
          <w:rFonts w:hint="eastAsia" w:ascii="仿宋" w:hAnsi="仿宋" w:eastAsia="仿宋" w:cs="仿宋"/>
          <w:strike w:val="0"/>
          <w:dstrike w:val="0"/>
          <w:color w:val="auto"/>
          <w:kern w:val="0"/>
          <w:sz w:val="32"/>
          <w:szCs w:val="32"/>
          <w:lang w:val="en-US" w:eastAsia="zh-CN" w:bidi="ar-SA"/>
        </w:rPr>
        <w:t>你单位应委托有相应资质的设计单位对建设项目重点环保设施进行设计，并在项目施工及运行过程中严格落实环保设施安全生产工作要求。</w:t>
      </w:r>
    </w:p>
    <w:p>
      <w:pPr>
        <w:pStyle w:val="2"/>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rPr>
          <w:rStyle w:val="18"/>
          <w:rFonts w:ascii="仿宋" w:hAnsi="仿宋" w:eastAsia="仿宋"/>
          <w:color w:val="auto"/>
          <w:sz w:val="32"/>
          <w:szCs w:val="32"/>
        </w:rPr>
      </w:pPr>
      <w:r>
        <w:rPr>
          <w:rStyle w:val="18"/>
          <w:rFonts w:hint="eastAsia" w:ascii="仿宋" w:hAnsi="仿宋" w:eastAsia="仿宋"/>
          <w:color w:val="auto"/>
          <w:sz w:val="32"/>
          <w:szCs w:val="32"/>
        </w:rPr>
        <w:t>你单位在该项目环保申报过程中如有瞒报、假报情形，则是严重的违法行为，须承担因此产生的一切后果。</w:t>
      </w:r>
    </w:p>
    <w:p>
      <w:pPr>
        <w:pStyle w:val="2"/>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rPr>
          <w:rStyle w:val="18"/>
          <w:rFonts w:ascii="仿宋" w:hAnsi="仿宋" w:eastAsia="仿宋"/>
          <w:color w:val="auto"/>
          <w:sz w:val="32"/>
          <w:szCs w:val="32"/>
        </w:rPr>
      </w:pPr>
      <w:r>
        <w:rPr>
          <w:rStyle w:val="18"/>
          <w:rFonts w:hint="eastAsia" w:ascii="仿宋" w:hAnsi="仿宋" w:eastAsia="仿宋"/>
          <w:color w:val="auto"/>
          <w:sz w:val="32"/>
          <w:szCs w:val="32"/>
        </w:rPr>
        <w:t>项目建设必须严格执行环境保护“三同时”制度。项目竣工后，须按照规定程序实施竣工环境保护验收。</w:t>
      </w:r>
    </w:p>
    <w:p>
      <w:pPr>
        <w:pStyle w:val="2"/>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rPr>
          <w:rStyle w:val="18"/>
          <w:rFonts w:ascii="仿宋" w:hAnsi="仿宋" w:eastAsia="仿宋"/>
          <w:color w:val="auto"/>
          <w:sz w:val="32"/>
          <w:szCs w:val="32"/>
        </w:rPr>
      </w:pPr>
      <w:r>
        <w:rPr>
          <w:rStyle w:val="18"/>
          <w:rFonts w:eastAsia="仿宋"/>
          <w:color w:val="auto"/>
          <w:sz w:val="32"/>
          <w:szCs w:val="32"/>
        </w:rPr>
        <w:t>你</w:t>
      </w:r>
      <w:r>
        <w:rPr>
          <w:rStyle w:val="18"/>
          <w:rFonts w:hint="eastAsia" w:eastAsia="仿宋"/>
          <w:color w:val="auto"/>
          <w:sz w:val="32"/>
          <w:szCs w:val="32"/>
        </w:rPr>
        <w:t>单位</w:t>
      </w:r>
      <w:r>
        <w:rPr>
          <w:rStyle w:val="18"/>
          <w:rFonts w:eastAsia="仿宋"/>
          <w:color w:val="auto"/>
          <w:sz w:val="32"/>
          <w:szCs w:val="32"/>
        </w:rPr>
        <w:t>应在收到本批复20日内，将《报告表》（报批版）及批复文件送至鄂尔多斯市生态环境综合行政执法支队东胜区大队，由鄂尔多斯市生态环境综合行政执法支队东胜区大队负责</w:t>
      </w:r>
      <w:r>
        <w:rPr>
          <w:rStyle w:val="18"/>
          <w:rFonts w:hint="eastAsia" w:eastAsia="仿宋"/>
          <w:color w:val="auto"/>
          <w:sz w:val="32"/>
          <w:szCs w:val="32"/>
        </w:rPr>
        <w:t>该项目的</w:t>
      </w:r>
      <w:r>
        <w:rPr>
          <w:rStyle w:val="18"/>
          <w:rFonts w:eastAsia="仿宋"/>
          <w:color w:val="auto"/>
          <w:sz w:val="32"/>
          <w:szCs w:val="32"/>
        </w:rPr>
        <w:t>事中事后监管</w:t>
      </w:r>
      <w:r>
        <w:rPr>
          <w:rFonts w:eastAsia="仿宋"/>
          <w:color w:val="auto"/>
          <w:sz w:val="32"/>
          <w:szCs w:val="32"/>
        </w:rPr>
        <w:t>。</w:t>
      </w:r>
      <w:r>
        <w:rPr>
          <w:rStyle w:val="18"/>
          <w:rFonts w:ascii="仿宋" w:hAnsi="仿宋" w:eastAsia="仿宋"/>
          <w:color w:val="auto"/>
          <w:sz w:val="32"/>
          <w:szCs w:val="32"/>
        </w:rPr>
        <w:t xml:space="preserve">                                                                                               </w:t>
      </w:r>
    </w:p>
    <w:p>
      <w:pPr>
        <w:pStyle w:val="2"/>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rPr>
          <w:rStyle w:val="18"/>
          <w:rFonts w:ascii="仿宋" w:hAnsi="仿宋" w:eastAsia="仿宋"/>
          <w:color w:val="auto"/>
          <w:sz w:val="32"/>
          <w:szCs w:val="32"/>
        </w:rPr>
      </w:pPr>
      <w:r>
        <w:rPr>
          <w:rStyle w:val="18"/>
          <w:rFonts w:hint="eastAsia" w:ascii="仿宋" w:hAnsi="仿宋" w:eastAsia="仿宋"/>
          <w:color w:val="auto"/>
          <w:sz w:val="32"/>
          <w:szCs w:val="32"/>
        </w:rPr>
        <w:t>该项目从批准之日起超过</w:t>
      </w:r>
      <w:r>
        <w:rPr>
          <w:rStyle w:val="18"/>
          <w:rFonts w:ascii="仿宋" w:hAnsi="仿宋" w:eastAsia="仿宋"/>
          <w:color w:val="auto"/>
          <w:sz w:val="32"/>
          <w:szCs w:val="32"/>
        </w:rPr>
        <w:t>5</w:t>
      </w:r>
      <w:r>
        <w:rPr>
          <w:rStyle w:val="18"/>
          <w:rFonts w:hint="eastAsia" w:ascii="仿宋" w:hAnsi="仿宋" w:eastAsia="仿宋"/>
          <w:color w:val="auto"/>
          <w:sz w:val="32"/>
          <w:szCs w:val="32"/>
        </w:rPr>
        <w:t>年方决定开工建设，其环评文件应重新审核。如果建设地</w:t>
      </w:r>
      <w:bookmarkStart w:id="0" w:name="_GoBack"/>
      <w:bookmarkEnd w:id="0"/>
      <w:r>
        <w:rPr>
          <w:rStyle w:val="18"/>
          <w:rFonts w:hint="eastAsia" w:ascii="仿宋" w:hAnsi="仿宋" w:eastAsia="仿宋"/>
          <w:color w:val="auto"/>
          <w:sz w:val="32"/>
          <w:szCs w:val="32"/>
        </w:rPr>
        <w:t>点、规模、防治污染和防止生态破坏的措施等发生重大变化时，需重新报批环评文件。</w:t>
      </w:r>
    </w:p>
    <w:p>
      <w:pPr>
        <w:pStyle w:val="5"/>
        <w:spacing w:line="360" w:lineRule="auto"/>
        <w:ind w:firstLine="0"/>
        <w:rPr>
          <w:color w:val="auto"/>
        </w:rPr>
      </w:pPr>
    </w:p>
    <w:p>
      <w:pPr>
        <w:pStyle w:val="2"/>
        <w:rPr>
          <w:color w:val="auto"/>
        </w:rPr>
      </w:pPr>
    </w:p>
    <w:p/>
    <w:p>
      <w:pPr>
        <w:pStyle w:val="20"/>
      </w:pPr>
    </w:p>
    <w:p>
      <w:pPr>
        <w:pStyle w:val="20"/>
      </w:pPr>
    </w:p>
    <w:p>
      <w:pPr>
        <w:pStyle w:val="20"/>
      </w:pPr>
    </w:p>
    <w:p>
      <w:pPr>
        <w:pStyle w:val="20"/>
      </w:pPr>
    </w:p>
    <w:p>
      <w:pPr>
        <w:pStyle w:val="20"/>
      </w:pPr>
    </w:p>
    <w:p>
      <w:pPr>
        <w:pStyle w:val="2"/>
      </w:pPr>
    </w:p>
    <w:p>
      <w:pPr>
        <w:spacing w:line="360" w:lineRule="auto"/>
        <w:ind w:firstLine="3840" w:firstLineChars="1200"/>
        <w:textAlignment w:val="auto"/>
        <w:rPr>
          <w:rStyle w:val="18"/>
          <w:rFonts w:ascii="仿宋" w:hAnsi="仿宋" w:eastAsia="仿宋"/>
          <w:color w:val="auto"/>
          <w:sz w:val="32"/>
          <w:szCs w:val="32"/>
        </w:rPr>
      </w:pPr>
      <w:r>
        <w:rPr>
          <w:rStyle w:val="18"/>
          <w:rFonts w:hint="eastAsia" w:ascii="仿宋" w:hAnsi="仿宋" w:eastAsia="仿宋"/>
          <w:color w:val="auto"/>
          <w:sz w:val="32"/>
          <w:szCs w:val="32"/>
        </w:rPr>
        <w:t>鄂尔多斯市生态环境局东胜区分局</w:t>
      </w:r>
    </w:p>
    <w:p>
      <w:pPr>
        <w:spacing w:line="360" w:lineRule="auto"/>
        <w:ind w:firstLine="640" w:firstLineChars="200"/>
        <w:textAlignment w:val="auto"/>
        <w:rPr>
          <w:color w:val="auto"/>
        </w:rPr>
      </w:pPr>
      <w:r>
        <w:rPr>
          <w:rStyle w:val="18"/>
          <w:rFonts w:ascii="仿宋" w:hAnsi="仿宋" w:eastAsia="仿宋"/>
          <w:color w:val="auto"/>
          <w:sz w:val="32"/>
          <w:szCs w:val="32"/>
        </w:rPr>
        <w:t xml:space="preserve">                           202</w:t>
      </w:r>
      <w:r>
        <w:rPr>
          <w:rStyle w:val="18"/>
          <w:rFonts w:hint="eastAsia" w:ascii="仿宋" w:hAnsi="仿宋" w:eastAsia="仿宋"/>
          <w:color w:val="auto"/>
          <w:sz w:val="32"/>
          <w:szCs w:val="32"/>
          <w:lang w:val="en-US" w:eastAsia="zh-CN"/>
        </w:rPr>
        <w:t>3</w:t>
      </w:r>
      <w:r>
        <w:rPr>
          <w:rStyle w:val="18"/>
          <w:rFonts w:hint="eastAsia" w:ascii="仿宋" w:hAnsi="仿宋" w:eastAsia="仿宋"/>
          <w:color w:val="auto"/>
          <w:sz w:val="32"/>
          <w:szCs w:val="32"/>
        </w:rPr>
        <w:t>年</w:t>
      </w:r>
      <w:r>
        <w:rPr>
          <w:rStyle w:val="18"/>
          <w:rFonts w:hint="eastAsia" w:ascii="仿宋" w:hAnsi="仿宋" w:eastAsia="仿宋"/>
          <w:color w:val="auto"/>
          <w:sz w:val="32"/>
          <w:szCs w:val="32"/>
          <w:lang w:val="en-US" w:eastAsia="zh-CN"/>
        </w:rPr>
        <w:t>9</w:t>
      </w:r>
      <w:r>
        <w:rPr>
          <w:rStyle w:val="18"/>
          <w:rFonts w:hint="eastAsia" w:ascii="仿宋" w:hAnsi="仿宋" w:eastAsia="仿宋"/>
          <w:color w:val="auto"/>
          <w:sz w:val="32"/>
          <w:szCs w:val="32"/>
        </w:rPr>
        <w:t>月</w:t>
      </w:r>
      <w:r>
        <w:rPr>
          <w:rStyle w:val="18"/>
          <w:rFonts w:hint="eastAsia" w:ascii="仿宋" w:hAnsi="仿宋" w:eastAsia="仿宋"/>
          <w:color w:val="auto"/>
          <w:sz w:val="32"/>
          <w:szCs w:val="32"/>
          <w:lang w:val="en-US" w:eastAsia="zh-CN"/>
        </w:rPr>
        <w:t>5</w:t>
      </w:r>
      <w:r>
        <w:rPr>
          <w:rStyle w:val="18"/>
          <w:rFonts w:hint="eastAsia" w:ascii="仿宋" w:hAnsi="仿宋" w:eastAsia="仿宋"/>
          <w:color w:val="auto"/>
          <w:sz w:val="32"/>
          <w:szCs w:val="32"/>
        </w:rPr>
        <w:t>日</w:t>
      </w:r>
      <w:r>
        <w:rPr>
          <w:rStyle w:val="18"/>
          <w:rFonts w:ascii="仿宋" w:hAnsi="仿宋" w:eastAsia="仿宋"/>
          <w:color w:val="auto"/>
          <w:sz w:val="32"/>
          <w:szCs w:val="32"/>
        </w:rPr>
        <w:t xml:space="preserve">  </w:t>
      </w: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spacing w:line="560" w:lineRule="exact"/>
        <w:ind w:right="168" w:firstLine="210" w:firstLineChars="100"/>
        <w:rPr>
          <w:rStyle w:val="18"/>
          <w:rFonts w:ascii="仿宋" w:hAnsi="仿宋" w:eastAsia="仿宋"/>
          <w:color w:val="auto"/>
          <w:sz w:val="28"/>
          <w:szCs w:val="28"/>
        </w:rPr>
      </w:pPr>
      <w:r>
        <w:rPr>
          <w:color w:val="auto"/>
        </w:rPr>
        <mc:AlternateContent>
          <mc:Choice Requires="wps">
            <w:drawing>
              <wp:anchor distT="0" distB="0" distL="114300" distR="114300" simplePos="0" relativeHeight="251662336"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2" name="直线 17"/>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7" o:spid="_x0000_s1026" o:spt="20" style="position:absolute;left:0pt;margin-left:2.15pt;margin-top:8.6pt;height:0.05pt;width:442.2pt;z-index:251662336;mso-width-relative:page;mso-height-relative:page;" filled="f" stroked="t" coordsize="21600,21600" o:gfxdata="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8bDop1QAAAAcBAAAPAAAAAAAAAAEAIAAAACIAAABkcnMvZG93bnJldi54bWxQSwECFAAU&#10;AAAACACHTuJAiDP4PvQBAAD2AwAADgAAAAAAAAABACAAAAAkAQAAZHJzL2Uyb0RvYy54bWxQSwUG&#10;AAAAAAYABgBZAQAAigUAAAAA&#10;">
                <v:fill on="f" focussize="0,0"/>
                <v:stroke color="#000000" joinstyle="miter"/>
                <v:imagedata o:title=""/>
                <o:lock v:ext="edit" aspectratio="f"/>
              </v:line>
            </w:pict>
          </mc:Fallback>
        </mc:AlternateContent>
      </w:r>
      <w:r>
        <w:rPr>
          <w:rStyle w:val="18"/>
          <w:rFonts w:hint="eastAsia" w:ascii="仿宋" w:hAnsi="仿宋" w:eastAsia="仿宋"/>
          <w:color w:val="auto"/>
          <w:sz w:val="28"/>
          <w:szCs w:val="28"/>
        </w:rPr>
        <w:t>鄂尔多斯市生态环境局东胜区分局</w:t>
      </w:r>
      <w:r>
        <w:rPr>
          <w:color w:val="auto"/>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 name="直线 16"/>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6" o:spid="_x0000_s1026" o:spt="20" style="position:absolute;left:0pt;margin-left:1.65pt;margin-top:26.65pt;height:0.05pt;width:442.2pt;z-index:251661312;mso-width-relative:page;mso-height-relative:page;" filled="f" stroked="t" coordsize="21600,21600" o:gfxdata="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puSVK1gAAAAcBAAAPAAAAAAAAAAEAIAAAACIAAABkcnMvZG93bnJldi54bWxQSwECFAAU&#10;AAAACACHTuJANGdpZvMBAAD2AwAADgAAAAAAAAABACAAAAAlAQAAZHJzL2Uyb0RvYy54bWxQSwUG&#10;AAAAAAYABgBZAQAAigUAAAAA&#10;">
                <v:fill on="f" focussize="0,0"/>
                <v:stroke color="#000000" joinstyle="miter"/>
                <v:imagedata o:title=""/>
                <o:lock v:ext="edit" aspectratio="f"/>
              </v:line>
            </w:pict>
          </mc:Fallback>
        </mc:AlternateContent>
      </w:r>
      <w:r>
        <w:rPr>
          <w:rStyle w:val="18"/>
          <w:rFonts w:ascii="仿宋" w:hAnsi="仿宋" w:eastAsia="仿宋"/>
          <w:color w:val="auto"/>
          <w:sz w:val="28"/>
          <w:szCs w:val="28"/>
        </w:rPr>
        <w:t xml:space="preserve">    </w:t>
      </w:r>
      <w:r>
        <w:rPr>
          <w:rStyle w:val="18"/>
          <w:rFonts w:hint="eastAsia" w:ascii="仿宋" w:hAnsi="仿宋" w:eastAsia="仿宋"/>
          <w:color w:val="auto"/>
          <w:sz w:val="28"/>
          <w:szCs w:val="28"/>
          <w:lang w:val="en-US" w:eastAsia="zh-CN"/>
        </w:rPr>
        <w:t xml:space="preserve"> </w:t>
      </w:r>
      <w:r>
        <w:rPr>
          <w:rStyle w:val="18"/>
          <w:rFonts w:ascii="仿宋" w:hAnsi="仿宋" w:eastAsia="仿宋"/>
          <w:color w:val="auto"/>
          <w:sz w:val="28"/>
          <w:szCs w:val="28"/>
        </w:rPr>
        <w:t xml:space="preserve">     202</w:t>
      </w:r>
      <w:r>
        <w:rPr>
          <w:rStyle w:val="18"/>
          <w:rFonts w:hint="eastAsia" w:ascii="仿宋" w:hAnsi="仿宋" w:eastAsia="仿宋"/>
          <w:color w:val="auto"/>
          <w:sz w:val="28"/>
          <w:szCs w:val="28"/>
          <w:lang w:val="en-US" w:eastAsia="zh-CN"/>
        </w:rPr>
        <w:t>3</w:t>
      </w:r>
      <w:r>
        <w:rPr>
          <w:rStyle w:val="18"/>
          <w:rFonts w:hint="eastAsia" w:ascii="仿宋" w:hAnsi="仿宋" w:eastAsia="仿宋"/>
          <w:color w:val="auto"/>
          <w:sz w:val="28"/>
          <w:szCs w:val="28"/>
        </w:rPr>
        <w:t>年</w:t>
      </w:r>
      <w:r>
        <w:rPr>
          <w:rStyle w:val="18"/>
          <w:rFonts w:hint="eastAsia" w:ascii="仿宋" w:hAnsi="仿宋" w:eastAsia="仿宋"/>
          <w:color w:val="auto"/>
          <w:sz w:val="28"/>
          <w:szCs w:val="28"/>
          <w:lang w:val="en-US" w:eastAsia="zh-CN"/>
        </w:rPr>
        <w:t>9</w:t>
      </w:r>
      <w:r>
        <w:rPr>
          <w:rStyle w:val="18"/>
          <w:rFonts w:hint="eastAsia" w:ascii="仿宋" w:hAnsi="仿宋" w:eastAsia="仿宋"/>
          <w:color w:val="auto"/>
          <w:sz w:val="28"/>
          <w:szCs w:val="28"/>
        </w:rPr>
        <w:t>月</w:t>
      </w:r>
      <w:r>
        <w:rPr>
          <w:rStyle w:val="18"/>
          <w:rFonts w:hint="eastAsia" w:ascii="仿宋" w:hAnsi="仿宋" w:eastAsia="仿宋"/>
          <w:color w:val="auto"/>
          <w:sz w:val="28"/>
          <w:szCs w:val="28"/>
          <w:lang w:val="en-US" w:eastAsia="zh-CN"/>
        </w:rPr>
        <w:t>5</w:t>
      </w:r>
      <w:r>
        <w:rPr>
          <w:rStyle w:val="18"/>
          <w:rFonts w:hint="eastAsia" w:ascii="仿宋" w:hAnsi="仿宋" w:eastAsia="仿宋"/>
          <w:color w:val="auto"/>
          <w:sz w:val="28"/>
          <w:szCs w:val="28"/>
        </w:rPr>
        <w:t>日印发</w:t>
      </w:r>
      <w:r>
        <w:rPr>
          <w:rStyle w:val="18"/>
          <w:rFonts w:ascii="仿宋" w:hAnsi="仿宋" w:eastAsia="仿宋"/>
          <w:color w:val="auto"/>
          <w:sz w:val="28"/>
          <w:szCs w:val="28"/>
        </w:rPr>
        <w:t xml:space="preserve"> </w:t>
      </w:r>
    </w:p>
    <w:sectPr>
      <w:headerReference r:id="rId5" w:type="default"/>
      <w:footerReference r:id="rId6" w:type="default"/>
      <w:footerReference r:id="rId7" w:type="even"/>
      <w:pgSz w:w="11905" w:h="16837"/>
      <w:pgMar w:top="1700" w:right="1530" w:bottom="1417" w:left="1587" w:header="566" w:footer="566" w:gutter="0"/>
      <w:pgNumType w:fmt="numberInDash"/>
      <w:cols w:space="720" w:num="1"/>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right"/>
      <w:rPr>
        <w:rStyle w:val="18"/>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11"/>
                          </w:pPr>
                          <w:r>
                            <w:fldChar w:fldCharType="begin"/>
                          </w:r>
                          <w:r>
                            <w:instrText xml:space="preserve"> PAGE  \* MERGEFORMAT </w:instrText>
                          </w:r>
                          <w:r>
                            <w:fldChar w:fldCharType="separate"/>
                          </w:r>
                          <w:r>
                            <w:t>- 3 -</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SBQ8+c0BAACnAwAADgAAAAAAAAABACAAAAAeAQAAZHJzL2Uy&#10;b0RvYy54bWxQSwUGAAAAAAYABgBZAQAAXQUAAAAA&#10;">
              <v:fill on="f" focussize="0,0"/>
              <v:stroke on="f"/>
              <v:imagedata o:title=""/>
              <o:lock v:ext="edit" aspectratio="f"/>
              <v:textbox inset="0mm,0mm,0mm,0mm" style="mso-fit-shape-to-text:t;">
                <w:txbxContent>
                  <w:p>
                    <w:pPr>
                      <w:pStyle w:val="11"/>
                    </w:pPr>
                    <w:r>
                      <w:fldChar w:fldCharType="begin"/>
                    </w:r>
                    <w:r>
                      <w:instrText xml:space="preserve"> PAGE  \* MERGEFORMAT </w:instrText>
                    </w:r>
                    <w:r>
                      <w:fldChar w:fldCharType="separate"/>
                    </w:r>
                    <w:r>
                      <w:t>- 3 -</w:t>
                    </w:r>
                    <w:r>
                      <w:fldChar w:fldCharType="end"/>
                    </w:r>
                  </w:p>
                </w:txbxContent>
              </v:textbox>
            </v:shape>
          </w:pict>
        </mc:Fallback>
      </mc:AlternateContent>
    </w:r>
  </w:p>
  <w:p>
    <w:pPr>
      <w:snapToGrid w:val="0"/>
      <w:spacing w:line="240" w:lineRule="atLeast"/>
      <w:jc w:val="center"/>
      <w:rPr>
        <w:rStyle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right="720"/>
      <w:rPr>
        <w:rStyle w:val="18"/>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11"/>
                          </w:pPr>
                          <w:r>
                            <w:fldChar w:fldCharType="begin"/>
                          </w:r>
                          <w:r>
                            <w:instrText xml:space="preserve"> PAGE  \* MERGEFORMAT </w:instrText>
                          </w:r>
                          <w:r>
                            <w:fldChar w:fldCharType="separate"/>
                          </w:r>
                          <w:r>
                            <w:t>- 2 -</w:t>
                          </w:r>
                          <w: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mKMRP80BAACnAwAADgAAAAAAAAABACAAAAAeAQAAZHJzL2Uy&#10;b0RvYy54bWxQSwUGAAAAAAYABgBZAQAAXQUAAAAA&#10;">
              <v:fill on="f" focussize="0,0"/>
              <v:stroke on="f"/>
              <v:imagedata o:title=""/>
              <o:lock v:ext="edit" aspectratio="f"/>
              <v:textbox inset="0mm,0mm,0mm,0mm" style="mso-fit-shape-to-text:t;">
                <w:txbxContent>
                  <w:p>
                    <w:pPr>
                      <w:pStyle w:val="11"/>
                    </w:pPr>
                    <w:r>
                      <w:fldChar w:fldCharType="begin"/>
                    </w:r>
                    <w:r>
                      <w:instrText xml:space="preserve"> PAGE  \* MERGEFORMAT </w:instrText>
                    </w:r>
                    <w:r>
                      <w:fldChar w:fldCharType="separate"/>
                    </w:r>
                    <w:r>
                      <w:t>- 2 -</w:t>
                    </w:r>
                    <w:r>
                      <w:fldChar w:fldCharType="end"/>
                    </w:r>
                  </w:p>
                </w:txbxContent>
              </v:textbox>
            </v:shape>
          </w:pict>
        </mc:Fallback>
      </mc:AlternateContent>
    </w:r>
  </w:p>
  <w:p>
    <w:pPr>
      <w:pStyle w:val="11"/>
      <w:rPr>
        <w:rStyle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spacing w:line="240" w:lineRule="atLeast"/>
      <w:rPr>
        <w:rStyle w:val="18"/>
      </w:rPr>
    </w:pPr>
    <w:r>
      <mc:AlternateContent>
        <mc:Choice Requires="wps">
          <w:drawing>
            <wp:anchor distT="0" distB="0" distL="114300" distR="114300" simplePos="0" relativeHeight="251659264"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3" name="文本框 1"/>
              <wp:cNvGraphicFramePr/>
              <a:graphic xmlns:a="http://schemas.openxmlformats.org/drawingml/2006/main">
                <a:graphicData uri="http://schemas.microsoft.com/office/word/2010/wordprocessingShape">
                  <wps:wsp>
                    <wps:cNvSpPr txBox="1"/>
                    <wps:spPr>
                      <a:xfrm>
                        <a:off x="0" y="0"/>
                        <a:ext cx="5579745" cy="179705"/>
                      </a:xfrm>
                      <a:prstGeom prst="rect">
                        <a:avLst/>
                      </a:prstGeom>
                      <a:noFill/>
                      <a:ln>
                        <a:noFill/>
                      </a:ln>
                      <a:effectLst>
                        <a:outerShdw dist="35921" dir="2699999" algn="ctr" rotWithShape="0">
                          <a:srgbClr val="A0A0A4"/>
                        </a:outerShdw>
                      </a:effectLst>
                    </wps:spPr>
                    <wps:bodyPr upright="1"/>
                  </wps:wsp>
                </a:graphicData>
              </a:graphic>
            </wp:anchor>
          </w:drawing>
        </mc:Choice>
        <mc:Fallback>
          <w:pict>
            <v:shape id="文本框 1" o:spid="_x0000_s1026" o:spt="202" type="#_x0000_t202" style="position:absolute;left:0pt;margin-left:79.35pt;margin-top:28.3pt;height:14.15pt;width:439.35pt;mso-position-horizontal-relative:page;mso-position-vertical-relative:page;z-index:-251657216;mso-width-relative:page;mso-height-relative:page;" filled="f" stroked="f" coordsize="21600,21600" o:allowincell="f" o:gfxdata="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5TyNH9wAAAAKAQAADwAAAAAAAAABACAAAAAiAAAAZHJzL2Rvd25yZXYueG1sUEsBAhQA&#10;FAAAAAgAh07iQGUr8vLuAQAAyQMAAA4AAAAAAAAAAQAgAAAAKwEAAGRycy9lMm9Eb2MueG1sUEsF&#10;BgAAAAAGAAYAWQEAAIsFAAAAAA==&#10;">
              <v:fill on="f" focussize="0,0"/>
              <v:stroke on="f"/>
              <v:imagedata o:title=""/>
              <o:lock v:ext="edit" aspectratio="f"/>
              <v:shadow on="t" color="#A0A0A4" offset="2pt,2pt" origin="0f,0f" matrix="65536f,0f,0f,65536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7A7FE8C"/>
    <w:multiLevelType w:val="singleLevel"/>
    <w:tmpl w:val="77A7FE8C"/>
    <w:lvl w:ilvl="0" w:tentative="0">
      <w:start w:val="1"/>
      <w:numFmt w:val="decimal"/>
      <w:suff w:val="nothing"/>
      <w:lvlText w:val="%1、"/>
      <w:lvlJc w:val="left"/>
      <w:pPr>
        <w:ind w:left="-10"/>
      </w:pPr>
      <w:rPr>
        <w:rFonts w:hint="default" w:ascii="仿宋" w:hAnsi="仿宋" w:eastAsia="仿宋" w:cs="仿宋"/>
        <w:color w:val="auto"/>
        <w:sz w:val="32"/>
        <w:szCs w:val="32"/>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evenAndOddHeaders w:val="1"/>
  <w:displayHorizontalDrawingGridEvery w:val="0"/>
  <w:displayVerticalDrawingGridEvery w:val="2"/>
  <w:doNotUseMarginsForDrawingGridOrigin w:val="1"/>
  <w:drawingGridHorizontalOrigin w:val="1800"/>
  <w:drawingGridVerticalOrigin w:val="1440"/>
  <w:noPunctuationKerning w:val="1"/>
  <w:characterSpacingControl w:val="doNotCompress"/>
  <w:noLineBreaksAfter w:lang="zh-CN" w:val="$([{£¥·‘“〈《「『【〔〖〝﹙﹛﹝＄（．［｛￡￥"/>
  <w:noLineBreaksBefore w:lang="zh-CN" w:val="!%),.:;&gt;?]}¢¨°·ˇˉ―‖’”…‰′″›℃∶、。〃〉》」』】〕〗〞︶︺︾﹀﹄﹚﹜﹞！＂％＇），．：；？］｀｜｝～￠"/>
  <w:hdrShapeDefaults>
    <o:shapelayout v:ext="edit">
      <o:idmap v:ext="edit" data="2"/>
    </o:shapelayout>
  </w:hdrShapeDefaults>
  <w:footnotePr>
    <w:footnote w:id="0"/>
    <w:footnote w:id="1"/>
  </w:footnotePr>
  <w:endnotePr>
    <w:endnote w:id="0"/>
    <w:endnote w:id="1"/>
  </w:endnotePr>
  <w:compat>
    <w:balanceSingleByteDoubleByteWidth/>
    <w:doNotLeaveBackslashAlone/>
    <w:doNotExpandShiftReturn/>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E1M2MzOWQ5YmNlMDg0OTRjODZlNGNhOTNiMDE2M2EifQ=="/>
  </w:docVars>
  <w:rsids>
    <w:rsidRoot w:val="006F5E64"/>
    <w:rsid w:val="000961CD"/>
    <w:rsid w:val="001204A9"/>
    <w:rsid w:val="0015076A"/>
    <w:rsid w:val="00175BF5"/>
    <w:rsid w:val="002D2E4B"/>
    <w:rsid w:val="00354558"/>
    <w:rsid w:val="00494E3D"/>
    <w:rsid w:val="005B2A4E"/>
    <w:rsid w:val="006F5E64"/>
    <w:rsid w:val="007E2F8E"/>
    <w:rsid w:val="008102F1"/>
    <w:rsid w:val="008C77A6"/>
    <w:rsid w:val="008E69A5"/>
    <w:rsid w:val="0092520E"/>
    <w:rsid w:val="009A3BD3"/>
    <w:rsid w:val="00A104F9"/>
    <w:rsid w:val="00AE48E3"/>
    <w:rsid w:val="00AF0FF6"/>
    <w:rsid w:val="00B20AEA"/>
    <w:rsid w:val="00B51603"/>
    <w:rsid w:val="00B93F27"/>
    <w:rsid w:val="00BA2ACE"/>
    <w:rsid w:val="00D2091F"/>
    <w:rsid w:val="00E42E5F"/>
    <w:rsid w:val="00E44AC0"/>
    <w:rsid w:val="00E82E40"/>
    <w:rsid w:val="00F5710E"/>
    <w:rsid w:val="00F634D8"/>
    <w:rsid w:val="00F7548A"/>
    <w:rsid w:val="00FA618D"/>
    <w:rsid w:val="01210341"/>
    <w:rsid w:val="01AC556B"/>
    <w:rsid w:val="02DD4C33"/>
    <w:rsid w:val="02DD5B4F"/>
    <w:rsid w:val="02F3233D"/>
    <w:rsid w:val="0358144A"/>
    <w:rsid w:val="03A03DE5"/>
    <w:rsid w:val="03A05D81"/>
    <w:rsid w:val="03A96EC4"/>
    <w:rsid w:val="03C1757D"/>
    <w:rsid w:val="03F37592"/>
    <w:rsid w:val="03F963FB"/>
    <w:rsid w:val="042E1659"/>
    <w:rsid w:val="044E4F55"/>
    <w:rsid w:val="0476323E"/>
    <w:rsid w:val="048A4438"/>
    <w:rsid w:val="048A4FCC"/>
    <w:rsid w:val="04916917"/>
    <w:rsid w:val="049F51EA"/>
    <w:rsid w:val="04CC1D57"/>
    <w:rsid w:val="04F715EE"/>
    <w:rsid w:val="04F72C71"/>
    <w:rsid w:val="05337BE9"/>
    <w:rsid w:val="059A4722"/>
    <w:rsid w:val="05A54A82"/>
    <w:rsid w:val="05D94866"/>
    <w:rsid w:val="060A1C1B"/>
    <w:rsid w:val="06147E59"/>
    <w:rsid w:val="06191689"/>
    <w:rsid w:val="06CA02D1"/>
    <w:rsid w:val="06CC5F39"/>
    <w:rsid w:val="06E35A8B"/>
    <w:rsid w:val="06E450D7"/>
    <w:rsid w:val="06F42603"/>
    <w:rsid w:val="06F55023"/>
    <w:rsid w:val="071479B9"/>
    <w:rsid w:val="075C516B"/>
    <w:rsid w:val="075E259A"/>
    <w:rsid w:val="075F5B44"/>
    <w:rsid w:val="07E24DC5"/>
    <w:rsid w:val="08660559"/>
    <w:rsid w:val="088554D8"/>
    <w:rsid w:val="08A1120A"/>
    <w:rsid w:val="08AD4A87"/>
    <w:rsid w:val="08B51389"/>
    <w:rsid w:val="08CE2C2B"/>
    <w:rsid w:val="08EA5D86"/>
    <w:rsid w:val="08FE4C90"/>
    <w:rsid w:val="090362EF"/>
    <w:rsid w:val="090866C9"/>
    <w:rsid w:val="097134F8"/>
    <w:rsid w:val="098F5074"/>
    <w:rsid w:val="09B06929"/>
    <w:rsid w:val="0A3D33B0"/>
    <w:rsid w:val="0A5D0D80"/>
    <w:rsid w:val="0A667AEF"/>
    <w:rsid w:val="0A6D53BD"/>
    <w:rsid w:val="0A9A115F"/>
    <w:rsid w:val="0AA477AD"/>
    <w:rsid w:val="0B154457"/>
    <w:rsid w:val="0B6446A4"/>
    <w:rsid w:val="0BA55642"/>
    <w:rsid w:val="0BD72E57"/>
    <w:rsid w:val="0BDE1694"/>
    <w:rsid w:val="0C2B3A73"/>
    <w:rsid w:val="0C301322"/>
    <w:rsid w:val="0C5555BE"/>
    <w:rsid w:val="0CAF1FCC"/>
    <w:rsid w:val="0CC65836"/>
    <w:rsid w:val="0CFC12E8"/>
    <w:rsid w:val="0D693F98"/>
    <w:rsid w:val="0D830185"/>
    <w:rsid w:val="0E2F5220"/>
    <w:rsid w:val="0E364873"/>
    <w:rsid w:val="0E385A18"/>
    <w:rsid w:val="0E570138"/>
    <w:rsid w:val="0E99279E"/>
    <w:rsid w:val="0E9A33FF"/>
    <w:rsid w:val="0EB72A51"/>
    <w:rsid w:val="0EC36AE6"/>
    <w:rsid w:val="0EF75580"/>
    <w:rsid w:val="0F1B51C5"/>
    <w:rsid w:val="0F7E2F3B"/>
    <w:rsid w:val="0F8B77A7"/>
    <w:rsid w:val="0FB279DE"/>
    <w:rsid w:val="0FD03B40"/>
    <w:rsid w:val="0FE8736A"/>
    <w:rsid w:val="101C23A5"/>
    <w:rsid w:val="103352A9"/>
    <w:rsid w:val="10376624"/>
    <w:rsid w:val="10395A2B"/>
    <w:rsid w:val="107347CB"/>
    <w:rsid w:val="10830D1C"/>
    <w:rsid w:val="10B61351"/>
    <w:rsid w:val="10C26E79"/>
    <w:rsid w:val="10C7603A"/>
    <w:rsid w:val="10C86C16"/>
    <w:rsid w:val="11131BAC"/>
    <w:rsid w:val="11356D45"/>
    <w:rsid w:val="11534193"/>
    <w:rsid w:val="11611336"/>
    <w:rsid w:val="116C0377"/>
    <w:rsid w:val="11CD325E"/>
    <w:rsid w:val="11D2180D"/>
    <w:rsid w:val="12EA255A"/>
    <w:rsid w:val="13283777"/>
    <w:rsid w:val="13464D5E"/>
    <w:rsid w:val="1398649C"/>
    <w:rsid w:val="139A0B1F"/>
    <w:rsid w:val="13BE21AB"/>
    <w:rsid w:val="13C532EF"/>
    <w:rsid w:val="144C07C7"/>
    <w:rsid w:val="15513EF0"/>
    <w:rsid w:val="1562595D"/>
    <w:rsid w:val="15652C35"/>
    <w:rsid w:val="156D1455"/>
    <w:rsid w:val="15E91737"/>
    <w:rsid w:val="16015C16"/>
    <w:rsid w:val="16041455"/>
    <w:rsid w:val="165B1141"/>
    <w:rsid w:val="168C74C9"/>
    <w:rsid w:val="169F094B"/>
    <w:rsid w:val="16B26FFE"/>
    <w:rsid w:val="16FF6904"/>
    <w:rsid w:val="171F5F2F"/>
    <w:rsid w:val="1747459A"/>
    <w:rsid w:val="178F5508"/>
    <w:rsid w:val="17D90483"/>
    <w:rsid w:val="17E15C23"/>
    <w:rsid w:val="18161068"/>
    <w:rsid w:val="181C5F12"/>
    <w:rsid w:val="18207E93"/>
    <w:rsid w:val="18A37FC9"/>
    <w:rsid w:val="18AE27A5"/>
    <w:rsid w:val="18CC5434"/>
    <w:rsid w:val="18E54146"/>
    <w:rsid w:val="19473B43"/>
    <w:rsid w:val="198861C3"/>
    <w:rsid w:val="19AC1F9C"/>
    <w:rsid w:val="19AF63CD"/>
    <w:rsid w:val="19EA6791"/>
    <w:rsid w:val="19F825D9"/>
    <w:rsid w:val="1A437161"/>
    <w:rsid w:val="1A6C6995"/>
    <w:rsid w:val="1A805ECF"/>
    <w:rsid w:val="1AD925FF"/>
    <w:rsid w:val="1AFA27E4"/>
    <w:rsid w:val="1BBA357C"/>
    <w:rsid w:val="1BBC5800"/>
    <w:rsid w:val="1BD34CDC"/>
    <w:rsid w:val="1BDD6112"/>
    <w:rsid w:val="1BF630B5"/>
    <w:rsid w:val="1C0715F0"/>
    <w:rsid w:val="1C5D600F"/>
    <w:rsid w:val="1C5E37FE"/>
    <w:rsid w:val="1C5F17DC"/>
    <w:rsid w:val="1C680F45"/>
    <w:rsid w:val="1C83767C"/>
    <w:rsid w:val="1C866676"/>
    <w:rsid w:val="1CA41BA5"/>
    <w:rsid w:val="1CCD7F32"/>
    <w:rsid w:val="1CE0100C"/>
    <w:rsid w:val="1D062C2C"/>
    <w:rsid w:val="1D0F0766"/>
    <w:rsid w:val="1D806FC0"/>
    <w:rsid w:val="1DD85EE2"/>
    <w:rsid w:val="1DE564A3"/>
    <w:rsid w:val="1E322AFA"/>
    <w:rsid w:val="1E39255D"/>
    <w:rsid w:val="1E565798"/>
    <w:rsid w:val="1E5B4E2F"/>
    <w:rsid w:val="1EB145A4"/>
    <w:rsid w:val="1EB26A2F"/>
    <w:rsid w:val="1F197ECC"/>
    <w:rsid w:val="1F9A03FC"/>
    <w:rsid w:val="1F9F4FD0"/>
    <w:rsid w:val="1FB13B43"/>
    <w:rsid w:val="1FFD3A90"/>
    <w:rsid w:val="2000527E"/>
    <w:rsid w:val="203E5C2F"/>
    <w:rsid w:val="20723F75"/>
    <w:rsid w:val="208B0C0A"/>
    <w:rsid w:val="209F2E8C"/>
    <w:rsid w:val="20C94FCD"/>
    <w:rsid w:val="20CF0133"/>
    <w:rsid w:val="21500F9E"/>
    <w:rsid w:val="217D77E0"/>
    <w:rsid w:val="219B3761"/>
    <w:rsid w:val="21A701BD"/>
    <w:rsid w:val="21EF70BE"/>
    <w:rsid w:val="220E66BC"/>
    <w:rsid w:val="2265588B"/>
    <w:rsid w:val="228C2292"/>
    <w:rsid w:val="23541649"/>
    <w:rsid w:val="235E3785"/>
    <w:rsid w:val="23921405"/>
    <w:rsid w:val="23C9100A"/>
    <w:rsid w:val="23CD5478"/>
    <w:rsid w:val="24421E65"/>
    <w:rsid w:val="24855506"/>
    <w:rsid w:val="24C456C6"/>
    <w:rsid w:val="24CB5BE2"/>
    <w:rsid w:val="24F868A6"/>
    <w:rsid w:val="25125EFC"/>
    <w:rsid w:val="25366867"/>
    <w:rsid w:val="2537664C"/>
    <w:rsid w:val="253C64B1"/>
    <w:rsid w:val="25733248"/>
    <w:rsid w:val="25AA1BAB"/>
    <w:rsid w:val="25AF47C5"/>
    <w:rsid w:val="25D60BC4"/>
    <w:rsid w:val="25D873ED"/>
    <w:rsid w:val="25F75335"/>
    <w:rsid w:val="260007C3"/>
    <w:rsid w:val="261325BB"/>
    <w:rsid w:val="267000E4"/>
    <w:rsid w:val="269E1BDF"/>
    <w:rsid w:val="26C86AE1"/>
    <w:rsid w:val="27063174"/>
    <w:rsid w:val="2745621A"/>
    <w:rsid w:val="274B306C"/>
    <w:rsid w:val="27D05ACD"/>
    <w:rsid w:val="28150F91"/>
    <w:rsid w:val="288E0726"/>
    <w:rsid w:val="289A0EE5"/>
    <w:rsid w:val="28A2177B"/>
    <w:rsid w:val="28DA25CC"/>
    <w:rsid w:val="2956242B"/>
    <w:rsid w:val="29625978"/>
    <w:rsid w:val="29BE7B24"/>
    <w:rsid w:val="29EC1002"/>
    <w:rsid w:val="2A173A82"/>
    <w:rsid w:val="2A27019D"/>
    <w:rsid w:val="2A4A7282"/>
    <w:rsid w:val="2A510485"/>
    <w:rsid w:val="2A77431C"/>
    <w:rsid w:val="2AB8571B"/>
    <w:rsid w:val="2ABD6442"/>
    <w:rsid w:val="2ACD268E"/>
    <w:rsid w:val="2AF53CB3"/>
    <w:rsid w:val="2B2B6BAE"/>
    <w:rsid w:val="2B496FAB"/>
    <w:rsid w:val="2B5F7DC4"/>
    <w:rsid w:val="2B7B7EAF"/>
    <w:rsid w:val="2BD26C46"/>
    <w:rsid w:val="2BDE5B5E"/>
    <w:rsid w:val="2C3F708C"/>
    <w:rsid w:val="2C6D0057"/>
    <w:rsid w:val="2C871D94"/>
    <w:rsid w:val="2CAE4D3A"/>
    <w:rsid w:val="2CE7407F"/>
    <w:rsid w:val="2CFB6C68"/>
    <w:rsid w:val="2D5C4C74"/>
    <w:rsid w:val="2D5F771D"/>
    <w:rsid w:val="2DC93154"/>
    <w:rsid w:val="2DF47AA5"/>
    <w:rsid w:val="2E1A5EC1"/>
    <w:rsid w:val="2E653EAF"/>
    <w:rsid w:val="2E6B1F05"/>
    <w:rsid w:val="2E78505A"/>
    <w:rsid w:val="2EA85B70"/>
    <w:rsid w:val="2EB60EB6"/>
    <w:rsid w:val="2EF21325"/>
    <w:rsid w:val="2EFA10EB"/>
    <w:rsid w:val="2F1876BA"/>
    <w:rsid w:val="2F837265"/>
    <w:rsid w:val="2F8C2E25"/>
    <w:rsid w:val="2F8E3C27"/>
    <w:rsid w:val="2FC328DF"/>
    <w:rsid w:val="2FE05822"/>
    <w:rsid w:val="2FEA3599"/>
    <w:rsid w:val="301223CD"/>
    <w:rsid w:val="30134659"/>
    <w:rsid w:val="30276045"/>
    <w:rsid w:val="302A1EA4"/>
    <w:rsid w:val="30552879"/>
    <w:rsid w:val="3071536E"/>
    <w:rsid w:val="30CD0F38"/>
    <w:rsid w:val="30E12605"/>
    <w:rsid w:val="312C0E37"/>
    <w:rsid w:val="31451F91"/>
    <w:rsid w:val="31543EE8"/>
    <w:rsid w:val="3166710B"/>
    <w:rsid w:val="31B97443"/>
    <w:rsid w:val="31E74361"/>
    <w:rsid w:val="322F75E5"/>
    <w:rsid w:val="3239406E"/>
    <w:rsid w:val="3245462B"/>
    <w:rsid w:val="32862408"/>
    <w:rsid w:val="32A41A78"/>
    <w:rsid w:val="33086177"/>
    <w:rsid w:val="332A6495"/>
    <w:rsid w:val="333016EF"/>
    <w:rsid w:val="33314FCC"/>
    <w:rsid w:val="334F543C"/>
    <w:rsid w:val="336710F2"/>
    <w:rsid w:val="336D70A5"/>
    <w:rsid w:val="33A76983"/>
    <w:rsid w:val="33CD0AF4"/>
    <w:rsid w:val="343D6FC0"/>
    <w:rsid w:val="34445631"/>
    <w:rsid w:val="34525876"/>
    <w:rsid w:val="34545E8E"/>
    <w:rsid w:val="34565015"/>
    <w:rsid w:val="346C54C4"/>
    <w:rsid w:val="34A6189E"/>
    <w:rsid w:val="34E353BC"/>
    <w:rsid w:val="3587701E"/>
    <w:rsid w:val="361479B3"/>
    <w:rsid w:val="362A341F"/>
    <w:rsid w:val="36CB51E2"/>
    <w:rsid w:val="36D33EE3"/>
    <w:rsid w:val="37075CEA"/>
    <w:rsid w:val="371F6C8E"/>
    <w:rsid w:val="372344BA"/>
    <w:rsid w:val="37334EA2"/>
    <w:rsid w:val="375C4DD9"/>
    <w:rsid w:val="375D3876"/>
    <w:rsid w:val="37663248"/>
    <w:rsid w:val="37966A72"/>
    <w:rsid w:val="37E5426D"/>
    <w:rsid w:val="37FF7133"/>
    <w:rsid w:val="38114125"/>
    <w:rsid w:val="38176CB5"/>
    <w:rsid w:val="38252AC8"/>
    <w:rsid w:val="389B5401"/>
    <w:rsid w:val="38B32843"/>
    <w:rsid w:val="39625ABB"/>
    <w:rsid w:val="39750C1A"/>
    <w:rsid w:val="39815D3F"/>
    <w:rsid w:val="39C97754"/>
    <w:rsid w:val="39CB16C6"/>
    <w:rsid w:val="39CE6D77"/>
    <w:rsid w:val="39CF3432"/>
    <w:rsid w:val="39DA2245"/>
    <w:rsid w:val="3A102EB3"/>
    <w:rsid w:val="3A1559AB"/>
    <w:rsid w:val="3A1716A8"/>
    <w:rsid w:val="3A2C25BF"/>
    <w:rsid w:val="3A4100A2"/>
    <w:rsid w:val="3A420ECD"/>
    <w:rsid w:val="3A6F5040"/>
    <w:rsid w:val="3AEA62F0"/>
    <w:rsid w:val="3B164E12"/>
    <w:rsid w:val="3B433FA0"/>
    <w:rsid w:val="3B8024AE"/>
    <w:rsid w:val="3BCA2CB8"/>
    <w:rsid w:val="3C201861"/>
    <w:rsid w:val="3C351081"/>
    <w:rsid w:val="3C4F7E8A"/>
    <w:rsid w:val="3C545991"/>
    <w:rsid w:val="3C795E81"/>
    <w:rsid w:val="3C9C06C9"/>
    <w:rsid w:val="3CF212C3"/>
    <w:rsid w:val="3D0F5AAD"/>
    <w:rsid w:val="3D4E0D02"/>
    <w:rsid w:val="3D575D1D"/>
    <w:rsid w:val="3D615C4A"/>
    <w:rsid w:val="3D9D29AC"/>
    <w:rsid w:val="3DD06792"/>
    <w:rsid w:val="3E6216DB"/>
    <w:rsid w:val="3E6D2368"/>
    <w:rsid w:val="3E8C50F6"/>
    <w:rsid w:val="3E9E6EFC"/>
    <w:rsid w:val="3EA147B7"/>
    <w:rsid w:val="3EAA1A98"/>
    <w:rsid w:val="3ED64314"/>
    <w:rsid w:val="3EDA3818"/>
    <w:rsid w:val="3EEF2E69"/>
    <w:rsid w:val="3F267EF6"/>
    <w:rsid w:val="3F544D41"/>
    <w:rsid w:val="3F7635AF"/>
    <w:rsid w:val="3FEA64CB"/>
    <w:rsid w:val="3FF57D0C"/>
    <w:rsid w:val="3FFB782D"/>
    <w:rsid w:val="401A75E2"/>
    <w:rsid w:val="40333ECA"/>
    <w:rsid w:val="40A601F0"/>
    <w:rsid w:val="40B345F0"/>
    <w:rsid w:val="40BF08B4"/>
    <w:rsid w:val="411D0018"/>
    <w:rsid w:val="413328ED"/>
    <w:rsid w:val="41392B4A"/>
    <w:rsid w:val="413F1DCA"/>
    <w:rsid w:val="41C31E09"/>
    <w:rsid w:val="41D47B54"/>
    <w:rsid w:val="42096DA4"/>
    <w:rsid w:val="42427E61"/>
    <w:rsid w:val="42571ED3"/>
    <w:rsid w:val="42A12AD7"/>
    <w:rsid w:val="42B31FAB"/>
    <w:rsid w:val="42C15BDB"/>
    <w:rsid w:val="431B4412"/>
    <w:rsid w:val="4331043E"/>
    <w:rsid w:val="4331172A"/>
    <w:rsid w:val="433E53DA"/>
    <w:rsid w:val="439E58A0"/>
    <w:rsid w:val="43B31C0B"/>
    <w:rsid w:val="43DA60A1"/>
    <w:rsid w:val="43E35A87"/>
    <w:rsid w:val="43EC55F4"/>
    <w:rsid w:val="44316F05"/>
    <w:rsid w:val="4477148F"/>
    <w:rsid w:val="44947B97"/>
    <w:rsid w:val="44A75A3C"/>
    <w:rsid w:val="44B519AF"/>
    <w:rsid w:val="44E367C1"/>
    <w:rsid w:val="4502587E"/>
    <w:rsid w:val="458429FA"/>
    <w:rsid w:val="45F5517B"/>
    <w:rsid w:val="46061326"/>
    <w:rsid w:val="46150F00"/>
    <w:rsid w:val="463C0677"/>
    <w:rsid w:val="46773189"/>
    <w:rsid w:val="467C4988"/>
    <w:rsid w:val="468D35B1"/>
    <w:rsid w:val="46C060ED"/>
    <w:rsid w:val="46C16C66"/>
    <w:rsid w:val="46CD3069"/>
    <w:rsid w:val="46DC7BF5"/>
    <w:rsid w:val="46EF6089"/>
    <w:rsid w:val="46F85ECC"/>
    <w:rsid w:val="47187FE4"/>
    <w:rsid w:val="4719630E"/>
    <w:rsid w:val="47310F34"/>
    <w:rsid w:val="47352FEC"/>
    <w:rsid w:val="47413DCB"/>
    <w:rsid w:val="47463708"/>
    <w:rsid w:val="477C5B9E"/>
    <w:rsid w:val="4780431E"/>
    <w:rsid w:val="479235C6"/>
    <w:rsid w:val="47A153A1"/>
    <w:rsid w:val="47E91974"/>
    <w:rsid w:val="481E12C4"/>
    <w:rsid w:val="482F22FC"/>
    <w:rsid w:val="483A153F"/>
    <w:rsid w:val="48714DBB"/>
    <w:rsid w:val="48D013E2"/>
    <w:rsid w:val="49114E70"/>
    <w:rsid w:val="49540677"/>
    <w:rsid w:val="49926C6C"/>
    <w:rsid w:val="499C53B9"/>
    <w:rsid w:val="49AA4FB0"/>
    <w:rsid w:val="49DB78B5"/>
    <w:rsid w:val="49E97A04"/>
    <w:rsid w:val="49EA569C"/>
    <w:rsid w:val="4A494A22"/>
    <w:rsid w:val="4A7C6CC7"/>
    <w:rsid w:val="4A911B79"/>
    <w:rsid w:val="4AB80380"/>
    <w:rsid w:val="4ADF223E"/>
    <w:rsid w:val="4AF07DCC"/>
    <w:rsid w:val="4B1F21AD"/>
    <w:rsid w:val="4B257F2E"/>
    <w:rsid w:val="4B620F05"/>
    <w:rsid w:val="4BA42C32"/>
    <w:rsid w:val="4BAD0F90"/>
    <w:rsid w:val="4C2274BE"/>
    <w:rsid w:val="4CD95DD7"/>
    <w:rsid w:val="4D377F90"/>
    <w:rsid w:val="4D743394"/>
    <w:rsid w:val="4D7C0517"/>
    <w:rsid w:val="4DD86D52"/>
    <w:rsid w:val="4DDE7B5E"/>
    <w:rsid w:val="4E062159"/>
    <w:rsid w:val="4E473EF5"/>
    <w:rsid w:val="4E543FF1"/>
    <w:rsid w:val="4EC56144"/>
    <w:rsid w:val="4F044A24"/>
    <w:rsid w:val="4F0B6B33"/>
    <w:rsid w:val="4F2B1F6E"/>
    <w:rsid w:val="4F4437F3"/>
    <w:rsid w:val="4F610FE6"/>
    <w:rsid w:val="4F94752D"/>
    <w:rsid w:val="4F9668DE"/>
    <w:rsid w:val="4FD91C66"/>
    <w:rsid w:val="4FDF1ADA"/>
    <w:rsid w:val="4FE651D4"/>
    <w:rsid w:val="501660DD"/>
    <w:rsid w:val="50447FC0"/>
    <w:rsid w:val="505F24B0"/>
    <w:rsid w:val="50681DDC"/>
    <w:rsid w:val="507026E4"/>
    <w:rsid w:val="50C61171"/>
    <w:rsid w:val="51167CDE"/>
    <w:rsid w:val="51324DA9"/>
    <w:rsid w:val="513D358E"/>
    <w:rsid w:val="51AD2147"/>
    <w:rsid w:val="51D501ED"/>
    <w:rsid w:val="522D7F16"/>
    <w:rsid w:val="523952D8"/>
    <w:rsid w:val="523B2FBD"/>
    <w:rsid w:val="52400F9E"/>
    <w:rsid w:val="52473BB8"/>
    <w:rsid w:val="5288313B"/>
    <w:rsid w:val="52D27DE3"/>
    <w:rsid w:val="52EA2970"/>
    <w:rsid w:val="52F33045"/>
    <w:rsid w:val="530A66B6"/>
    <w:rsid w:val="531F408E"/>
    <w:rsid w:val="53406525"/>
    <w:rsid w:val="534B5C0F"/>
    <w:rsid w:val="53E44017"/>
    <w:rsid w:val="5432323D"/>
    <w:rsid w:val="54331B24"/>
    <w:rsid w:val="54583460"/>
    <w:rsid w:val="54686A39"/>
    <w:rsid w:val="54E641C3"/>
    <w:rsid w:val="54EC6DF6"/>
    <w:rsid w:val="54F16F78"/>
    <w:rsid w:val="55215714"/>
    <w:rsid w:val="554D7806"/>
    <w:rsid w:val="554F368F"/>
    <w:rsid w:val="55876BE5"/>
    <w:rsid w:val="559A5ACA"/>
    <w:rsid w:val="55A94050"/>
    <w:rsid w:val="55CA36B6"/>
    <w:rsid w:val="55D65B5E"/>
    <w:rsid w:val="56653C93"/>
    <w:rsid w:val="56764C4B"/>
    <w:rsid w:val="567F5F3C"/>
    <w:rsid w:val="56DA342C"/>
    <w:rsid w:val="56DB6AC7"/>
    <w:rsid w:val="56DF16DC"/>
    <w:rsid w:val="57184CF1"/>
    <w:rsid w:val="57780B5F"/>
    <w:rsid w:val="57B96494"/>
    <w:rsid w:val="57DD76E9"/>
    <w:rsid w:val="57FC658A"/>
    <w:rsid w:val="57FE5FE5"/>
    <w:rsid w:val="586A1F97"/>
    <w:rsid w:val="589C6ECF"/>
    <w:rsid w:val="59597413"/>
    <w:rsid w:val="595D49BE"/>
    <w:rsid w:val="59BA4CD4"/>
    <w:rsid w:val="59EE5797"/>
    <w:rsid w:val="5AC272A3"/>
    <w:rsid w:val="5B307B0A"/>
    <w:rsid w:val="5B557E8F"/>
    <w:rsid w:val="5BB1110B"/>
    <w:rsid w:val="5C2B7BE1"/>
    <w:rsid w:val="5C621337"/>
    <w:rsid w:val="5C7F01BD"/>
    <w:rsid w:val="5D6C33D5"/>
    <w:rsid w:val="5DA25547"/>
    <w:rsid w:val="5DC5227C"/>
    <w:rsid w:val="5DD07D0C"/>
    <w:rsid w:val="5DD32B36"/>
    <w:rsid w:val="5DEC6C8E"/>
    <w:rsid w:val="5DF951D1"/>
    <w:rsid w:val="5DFA4819"/>
    <w:rsid w:val="5ED864A3"/>
    <w:rsid w:val="5EFB79A1"/>
    <w:rsid w:val="5F2A616C"/>
    <w:rsid w:val="5F3C052E"/>
    <w:rsid w:val="5F6C71D0"/>
    <w:rsid w:val="5F785148"/>
    <w:rsid w:val="5FA8049F"/>
    <w:rsid w:val="5FC04A97"/>
    <w:rsid w:val="5FE94B7D"/>
    <w:rsid w:val="5FF2718E"/>
    <w:rsid w:val="5FFF4EA8"/>
    <w:rsid w:val="602B2726"/>
    <w:rsid w:val="60417BB4"/>
    <w:rsid w:val="60B2650C"/>
    <w:rsid w:val="611D40E2"/>
    <w:rsid w:val="614462DE"/>
    <w:rsid w:val="61B516C4"/>
    <w:rsid w:val="61DE1268"/>
    <w:rsid w:val="61EF4764"/>
    <w:rsid w:val="625904A9"/>
    <w:rsid w:val="62A64AED"/>
    <w:rsid w:val="62BE2B8C"/>
    <w:rsid w:val="632D32DF"/>
    <w:rsid w:val="636B778B"/>
    <w:rsid w:val="63713FBD"/>
    <w:rsid w:val="638251B8"/>
    <w:rsid w:val="63950102"/>
    <w:rsid w:val="641D5FD9"/>
    <w:rsid w:val="64566E62"/>
    <w:rsid w:val="647677D7"/>
    <w:rsid w:val="64770209"/>
    <w:rsid w:val="65042865"/>
    <w:rsid w:val="651144BD"/>
    <w:rsid w:val="651360F5"/>
    <w:rsid w:val="651B024D"/>
    <w:rsid w:val="65571260"/>
    <w:rsid w:val="65620EA6"/>
    <w:rsid w:val="65AB3C61"/>
    <w:rsid w:val="65B25CB4"/>
    <w:rsid w:val="65CE2481"/>
    <w:rsid w:val="65FB616C"/>
    <w:rsid w:val="661125F2"/>
    <w:rsid w:val="6611695D"/>
    <w:rsid w:val="66194DC3"/>
    <w:rsid w:val="66267FAE"/>
    <w:rsid w:val="668D09A2"/>
    <w:rsid w:val="669764AC"/>
    <w:rsid w:val="66D55C0F"/>
    <w:rsid w:val="672A40B7"/>
    <w:rsid w:val="6746660F"/>
    <w:rsid w:val="6749451C"/>
    <w:rsid w:val="674A4227"/>
    <w:rsid w:val="67642FCA"/>
    <w:rsid w:val="679300D6"/>
    <w:rsid w:val="67F03BF2"/>
    <w:rsid w:val="67FD51CC"/>
    <w:rsid w:val="684478D1"/>
    <w:rsid w:val="686109FC"/>
    <w:rsid w:val="686801CC"/>
    <w:rsid w:val="688C32E6"/>
    <w:rsid w:val="68D84C26"/>
    <w:rsid w:val="69127129"/>
    <w:rsid w:val="694A3F4B"/>
    <w:rsid w:val="694D466A"/>
    <w:rsid w:val="695143FB"/>
    <w:rsid w:val="698A3A01"/>
    <w:rsid w:val="698D0D6B"/>
    <w:rsid w:val="69E6116E"/>
    <w:rsid w:val="6A051C1C"/>
    <w:rsid w:val="6A461941"/>
    <w:rsid w:val="6A773014"/>
    <w:rsid w:val="6AA33CF1"/>
    <w:rsid w:val="6AAE5669"/>
    <w:rsid w:val="6ABD1719"/>
    <w:rsid w:val="6ACC25CE"/>
    <w:rsid w:val="6B275374"/>
    <w:rsid w:val="6BEB28AD"/>
    <w:rsid w:val="6C1D1BAE"/>
    <w:rsid w:val="6C32108A"/>
    <w:rsid w:val="6C495CD7"/>
    <w:rsid w:val="6C6C7186"/>
    <w:rsid w:val="6C71153E"/>
    <w:rsid w:val="6CA67BC0"/>
    <w:rsid w:val="6CD429A0"/>
    <w:rsid w:val="6CE10EDA"/>
    <w:rsid w:val="6D4F01B3"/>
    <w:rsid w:val="6D9B0E92"/>
    <w:rsid w:val="6DC319FF"/>
    <w:rsid w:val="6E1844B8"/>
    <w:rsid w:val="6E541954"/>
    <w:rsid w:val="6E6D5C0E"/>
    <w:rsid w:val="6E7C3113"/>
    <w:rsid w:val="6EA67FA2"/>
    <w:rsid w:val="6F957251"/>
    <w:rsid w:val="70484BFD"/>
    <w:rsid w:val="706C3E14"/>
    <w:rsid w:val="706D7292"/>
    <w:rsid w:val="70921C55"/>
    <w:rsid w:val="71283ECD"/>
    <w:rsid w:val="713D11CB"/>
    <w:rsid w:val="7147364E"/>
    <w:rsid w:val="71502437"/>
    <w:rsid w:val="71E362C3"/>
    <w:rsid w:val="7219039A"/>
    <w:rsid w:val="72477928"/>
    <w:rsid w:val="72B2763B"/>
    <w:rsid w:val="731775B6"/>
    <w:rsid w:val="73BA11B9"/>
    <w:rsid w:val="73D60472"/>
    <w:rsid w:val="73F53D48"/>
    <w:rsid w:val="7496752E"/>
    <w:rsid w:val="754B4D66"/>
    <w:rsid w:val="755B54D7"/>
    <w:rsid w:val="75765328"/>
    <w:rsid w:val="75A177EE"/>
    <w:rsid w:val="75B570E6"/>
    <w:rsid w:val="75D86CD4"/>
    <w:rsid w:val="760E7139"/>
    <w:rsid w:val="76420C5D"/>
    <w:rsid w:val="76496AA8"/>
    <w:rsid w:val="76745CA5"/>
    <w:rsid w:val="768559AF"/>
    <w:rsid w:val="76A05F87"/>
    <w:rsid w:val="76A730E4"/>
    <w:rsid w:val="76F33AE6"/>
    <w:rsid w:val="76F41191"/>
    <w:rsid w:val="77034291"/>
    <w:rsid w:val="777F1C78"/>
    <w:rsid w:val="779352B4"/>
    <w:rsid w:val="77C011B5"/>
    <w:rsid w:val="77DF2692"/>
    <w:rsid w:val="77E65FB7"/>
    <w:rsid w:val="77EC1D59"/>
    <w:rsid w:val="781F64BC"/>
    <w:rsid w:val="783E6571"/>
    <w:rsid w:val="78502F65"/>
    <w:rsid w:val="786E6C4A"/>
    <w:rsid w:val="789D2BB8"/>
    <w:rsid w:val="78DB6555"/>
    <w:rsid w:val="78FD20DF"/>
    <w:rsid w:val="794D77BB"/>
    <w:rsid w:val="795654B4"/>
    <w:rsid w:val="798B42E3"/>
    <w:rsid w:val="79E24199"/>
    <w:rsid w:val="7A281851"/>
    <w:rsid w:val="7A550F13"/>
    <w:rsid w:val="7A773BB5"/>
    <w:rsid w:val="7AD20151"/>
    <w:rsid w:val="7B345817"/>
    <w:rsid w:val="7B5D3DBD"/>
    <w:rsid w:val="7B62786A"/>
    <w:rsid w:val="7BA82BE6"/>
    <w:rsid w:val="7BAD7F79"/>
    <w:rsid w:val="7BE82E7A"/>
    <w:rsid w:val="7C047330"/>
    <w:rsid w:val="7C1A0DC0"/>
    <w:rsid w:val="7C614B37"/>
    <w:rsid w:val="7CE039CF"/>
    <w:rsid w:val="7D54267F"/>
    <w:rsid w:val="7D7C739E"/>
    <w:rsid w:val="7DBD5F66"/>
    <w:rsid w:val="7DC17EA6"/>
    <w:rsid w:val="7E0D5B2C"/>
    <w:rsid w:val="7E2115B9"/>
    <w:rsid w:val="7E7F66A4"/>
    <w:rsid w:val="7EA72D17"/>
    <w:rsid w:val="7ED71E7C"/>
    <w:rsid w:val="7EE04C7B"/>
    <w:rsid w:val="7F277A16"/>
    <w:rsid w:val="7F2F2002"/>
    <w:rsid w:val="7FEC742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semiHidden="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qFormat="1" w:unhideWhenUsed="0" w:uiPriority="99" w:semiHidden="0" w:name="Salutation"/>
    <w:lsdException w:qFormat="1" w:unhideWhenUsed="0" w:uiPriority="99" w:semiHidden="0" w:name="Date"/>
    <w:lsdException w:qFormat="1" w:unhideWhenUsed="0" w:uiPriority="0"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57" w:lineRule="atLeast"/>
      <w:jc w:val="both"/>
      <w:textAlignment w:val="baseline"/>
    </w:pPr>
    <w:rPr>
      <w:rFonts w:ascii="Times New Roman" w:hAnsi="Times New Roman" w:eastAsia="宋体" w:cs="Times New Roman"/>
      <w:color w:val="000000"/>
      <w:sz w:val="21"/>
      <w:lang w:val="en-US" w:eastAsia="zh-CN" w:bidi="ar-SA"/>
    </w:rPr>
  </w:style>
  <w:style w:type="paragraph" w:styleId="4">
    <w:name w:val="heading 4"/>
    <w:basedOn w:val="1"/>
    <w:next w:val="1"/>
    <w:unhideWhenUsed/>
    <w:qFormat/>
    <w:locked/>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99"/>
    <w:pPr>
      <w:spacing w:line="240" w:lineRule="auto"/>
      <w:ind w:firstLine="420"/>
    </w:pPr>
  </w:style>
  <w:style w:type="paragraph" w:styleId="3">
    <w:name w:val="Body Text Indent"/>
    <w:basedOn w:val="1"/>
    <w:next w:val="1"/>
    <w:qFormat/>
    <w:uiPriority w:val="99"/>
    <w:pPr>
      <w:ind w:left="420" w:leftChars="200"/>
    </w:pPr>
  </w:style>
  <w:style w:type="paragraph" w:styleId="5">
    <w:name w:val="Normal Indent"/>
    <w:basedOn w:val="1"/>
    <w:next w:val="6"/>
    <w:qFormat/>
    <w:uiPriority w:val="0"/>
    <w:pPr>
      <w:ind w:firstLine="420"/>
    </w:pPr>
  </w:style>
  <w:style w:type="paragraph" w:customStyle="1" w:styleId="6">
    <w:name w:val="正文首行缩进 21"/>
    <w:basedOn w:val="3"/>
    <w:next w:val="1"/>
    <w:qFormat/>
    <w:uiPriority w:val="0"/>
    <w:pPr>
      <w:spacing w:afterLines="0"/>
      <w:ind w:left="420" w:firstLine="420" w:firstLineChars="200"/>
    </w:pPr>
    <w:rPr>
      <w:lang w:eastAsia="zh-CN" w:bidi="ar-SA"/>
    </w:rPr>
  </w:style>
  <w:style w:type="paragraph" w:styleId="7">
    <w:name w:val="annotation text"/>
    <w:basedOn w:val="1"/>
    <w:qFormat/>
    <w:uiPriority w:val="0"/>
    <w:pPr>
      <w:jc w:val="left"/>
    </w:pPr>
  </w:style>
  <w:style w:type="paragraph" w:styleId="8">
    <w:name w:val="Salutation"/>
    <w:basedOn w:val="1"/>
    <w:next w:val="1"/>
    <w:qFormat/>
    <w:uiPriority w:val="99"/>
  </w:style>
  <w:style w:type="paragraph" w:styleId="9">
    <w:name w:val="Body Text"/>
    <w:basedOn w:val="1"/>
    <w:link w:val="22"/>
    <w:qFormat/>
    <w:uiPriority w:val="99"/>
    <w:pPr>
      <w:spacing w:after="120"/>
    </w:pPr>
    <w:rPr>
      <w:rFonts w:ascii="Calibri" w:hAnsi="Calibri"/>
      <w:szCs w:val="22"/>
    </w:rPr>
  </w:style>
  <w:style w:type="paragraph" w:styleId="10">
    <w:name w:val="Date"/>
    <w:basedOn w:val="1"/>
    <w:next w:val="1"/>
    <w:link w:val="23"/>
    <w:qFormat/>
    <w:uiPriority w:val="99"/>
    <w:pPr>
      <w:ind w:left="100" w:leftChars="2500"/>
    </w:pPr>
  </w:style>
  <w:style w:type="paragraph" w:styleId="11">
    <w:name w:val="footer"/>
    <w:basedOn w:val="1"/>
    <w:link w:val="24"/>
    <w:qFormat/>
    <w:uiPriority w:val="99"/>
    <w:pPr>
      <w:tabs>
        <w:tab w:val="center" w:pos="4153"/>
        <w:tab w:val="right" w:pos="8306"/>
      </w:tabs>
      <w:snapToGrid w:val="0"/>
      <w:jc w:val="left"/>
    </w:pPr>
    <w:rPr>
      <w:sz w:val="18"/>
    </w:rPr>
  </w:style>
  <w:style w:type="paragraph" w:styleId="12">
    <w:name w:val="header"/>
    <w:basedOn w:val="1"/>
    <w:link w:val="25"/>
    <w:qFormat/>
    <w:uiPriority w:val="99"/>
    <w:pPr>
      <w:pBdr>
        <w:bottom w:val="single" w:color="000000" w:sz="6" w:space="1"/>
      </w:pBdr>
      <w:tabs>
        <w:tab w:val="center" w:pos="4153"/>
        <w:tab w:val="right" w:pos="8306"/>
      </w:tabs>
      <w:snapToGrid w:val="0"/>
      <w:spacing w:line="240" w:lineRule="atLeast"/>
      <w:jc w:val="center"/>
    </w:pPr>
    <w:rPr>
      <w:sz w:val="18"/>
      <w:szCs w:val="18"/>
    </w:rPr>
  </w:style>
  <w:style w:type="paragraph" w:styleId="13">
    <w:name w:val="Body Text 2"/>
    <w:basedOn w:val="1"/>
    <w:next w:val="1"/>
    <w:qFormat/>
    <w:uiPriority w:val="0"/>
    <w:rPr>
      <w:sz w:val="24"/>
      <w:szCs w:val="22"/>
    </w:rPr>
  </w:style>
  <w:style w:type="paragraph" w:styleId="14">
    <w:name w:val="Body Text First Indent"/>
    <w:basedOn w:val="9"/>
    <w:next w:val="1"/>
    <w:qFormat/>
    <w:uiPriority w:val="0"/>
    <w:pPr>
      <w:spacing w:after="120"/>
      <w:ind w:firstLine="420" w:firstLineChars="100"/>
    </w:pPr>
  </w:style>
  <w:style w:type="character" w:styleId="17">
    <w:name w:val="Strong"/>
    <w:basedOn w:val="18"/>
    <w:qFormat/>
    <w:uiPriority w:val="99"/>
    <w:rPr>
      <w:rFonts w:cs="Times New Roman"/>
      <w:b/>
    </w:rPr>
  </w:style>
  <w:style w:type="character" w:customStyle="1" w:styleId="18">
    <w:name w:val="NormalCharacter"/>
    <w:semiHidden/>
    <w:qFormat/>
    <w:uiPriority w:val="99"/>
  </w:style>
  <w:style w:type="character" w:styleId="19">
    <w:name w:val="annotation reference"/>
    <w:qFormat/>
    <w:uiPriority w:val="0"/>
    <w:rPr>
      <w:sz w:val="21"/>
      <w:szCs w:val="21"/>
    </w:rPr>
  </w:style>
  <w:style w:type="paragraph" w:customStyle="1" w:styleId="20">
    <w:name w:val="样式 正文缩进正文缩进2正文缩进 Char Char正文缩进 Char Char Char Char正文缩进 Char ..."/>
    <w:basedOn w:val="5"/>
    <w:qFormat/>
    <w:uiPriority w:val="0"/>
    <w:pPr>
      <w:widowControl/>
      <w:spacing w:before="0" w:after="0" w:line="360" w:lineRule="auto"/>
      <w:ind w:firstLine="200"/>
      <w:jc w:val="left"/>
      <w:textAlignment w:val="auto"/>
    </w:pPr>
    <w:rPr>
      <w:rFonts w:ascii="Times New Roman" w:hAnsi="Times New Roman" w:cs="宋体"/>
      <w:spacing w:val="0"/>
      <w:szCs w:val="22"/>
    </w:rPr>
  </w:style>
  <w:style w:type="paragraph" w:customStyle="1" w:styleId="21">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2">
    <w:name w:val="正文文本 Char"/>
    <w:basedOn w:val="16"/>
    <w:link w:val="9"/>
    <w:semiHidden/>
    <w:qFormat/>
    <w:uiPriority w:val="99"/>
    <w:rPr>
      <w:color w:val="000000"/>
      <w:kern w:val="0"/>
      <w:szCs w:val="20"/>
    </w:rPr>
  </w:style>
  <w:style w:type="character" w:customStyle="1" w:styleId="23">
    <w:name w:val="日期 Char"/>
    <w:basedOn w:val="16"/>
    <w:link w:val="10"/>
    <w:semiHidden/>
    <w:qFormat/>
    <w:uiPriority w:val="99"/>
    <w:rPr>
      <w:color w:val="000000"/>
      <w:kern w:val="0"/>
      <w:szCs w:val="20"/>
    </w:rPr>
  </w:style>
  <w:style w:type="character" w:customStyle="1" w:styleId="24">
    <w:name w:val="页脚 Char"/>
    <w:basedOn w:val="18"/>
    <w:link w:val="11"/>
    <w:qFormat/>
    <w:locked/>
    <w:uiPriority w:val="99"/>
    <w:rPr>
      <w:rFonts w:cs="Times New Roman"/>
      <w:color w:val="000000"/>
      <w:sz w:val="18"/>
    </w:rPr>
  </w:style>
  <w:style w:type="character" w:customStyle="1" w:styleId="25">
    <w:name w:val="页眉 Char"/>
    <w:basedOn w:val="18"/>
    <w:link w:val="12"/>
    <w:qFormat/>
    <w:locked/>
    <w:uiPriority w:val="99"/>
    <w:rPr>
      <w:rFonts w:cs="Times New Roman"/>
      <w:color w:val="000000"/>
      <w:sz w:val="18"/>
      <w:szCs w:val="18"/>
    </w:rPr>
  </w:style>
  <w:style w:type="paragraph" w:customStyle="1" w:styleId="26">
    <w:name w:val="BodyText"/>
    <w:basedOn w:val="1"/>
    <w:qFormat/>
    <w:uiPriority w:val="99"/>
    <w:pPr>
      <w:spacing w:after="120"/>
    </w:pPr>
    <w:rPr>
      <w:rFonts w:ascii="Calibri" w:hAnsi="Calibri"/>
      <w:szCs w:val="22"/>
    </w:rPr>
  </w:style>
  <w:style w:type="table" w:customStyle="1" w:styleId="27">
    <w:name w:val="TableNormal"/>
    <w:semiHidden/>
    <w:qFormat/>
    <w:uiPriority w:val="99"/>
    <w:tblPr>
      <w:tblCellMar>
        <w:top w:w="0" w:type="dxa"/>
        <w:left w:w="0" w:type="dxa"/>
        <w:bottom w:w="0" w:type="dxa"/>
        <w:right w:w="0" w:type="dxa"/>
      </w:tblCellMar>
    </w:tblPr>
  </w:style>
  <w:style w:type="character" w:customStyle="1" w:styleId="28">
    <w:name w:val="UserStyle_0"/>
    <w:basedOn w:val="18"/>
    <w:qFormat/>
    <w:uiPriority w:val="99"/>
    <w:rPr>
      <w:rFonts w:ascii="Times New Roman" w:eastAsia="宋体" w:cs="Times New Roman"/>
      <w:color w:val="0000FF"/>
      <w:sz w:val="21"/>
      <w:u w:val="single"/>
      <w:lang w:val="en-US" w:eastAsia="zh-CN"/>
    </w:rPr>
  </w:style>
  <w:style w:type="character" w:customStyle="1" w:styleId="29">
    <w:name w:val="AnnotationReference"/>
    <w:qFormat/>
    <w:uiPriority w:val="99"/>
    <w:rPr>
      <w:sz w:val="21"/>
    </w:rPr>
  </w:style>
  <w:style w:type="character" w:customStyle="1" w:styleId="30">
    <w:name w:val="UserStyle_2"/>
    <w:basedOn w:val="18"/>
    <w:qFormat/>
    <w:uiPriority w:val="99"/>
    <w:rPr>
      <w:rFonts w:ascii="Times New Roman" w:eastAsia="宋体" w:cs="Times New Roman"/>
      <w:color w:val="0000FF"/>
      <w:sz w:val="21"/>
      <w:u w:val="single"/>
      <w:lang w:val="en-US" w:eastAsia="zh-CN"/>
    </w:rPr>
  </w:style>
  <w:style w:type="character" w:customStyle="1" w:styleId="31">
    <w:name w:val="UserStyle_3"/>
    <w:semiHidden/>
    <w:qFormat/>
    <w:uiPriority w:val="99"/>
    <w:rPr>
      <w:rFonts w:ascii="Times New Roman" w:hAnsi="Times New Roman" w:eastAsia="宋体"/>
      <w:kern w:val="2"/>
      <w:sz w:val="21"/>
      <w:lang w:val="en-US" w:eastAsia="zh-CN"/>
    </w:rPr>
  </w:style>
  <w:style w:type="paragraph" w:customStyle="1" w:styleId="32">
    <w:name w:val="UserStyle_5"/>
    <w:basedOn w:val="1"/>
    <w:next w:val="33"/>
    <w:qFormat/>
    <w:uiPriority w:val="99"/>
    <w:pPr>
      <w:spacing w:before="566" w:after="544" w:line="566" w:lineRule="atLeast"/>
      <w:jc w:val="center"/>
    </w:pPr>
    <w:rPr>
      <w:rFonts w:ascii="Arial" w:eastAsia="黑体"/>
      <w:sz w:val="54"/>
    </w:rPr>
  </w:style>
  <w:style w:type="paragraph" w:customStyle="1" w:styleId="33">
    <w:name w:val="UserStyle_6"/>
    <w:basedOn w:val="1"/>
    <w:next w:val="34"/>
    <w:qFormat/>
    <w:uiPriority w:val="99"/>
    <w:pPr>
      <w:spacing w:before="187" w:after="175" w:line="374" w:lineRule="atLeast"/>
      <w:jc w:val="center"/>
    </w:pPr>
    <w:rPr>
      <w:sz w:val="36"/>
    </w:rPr>
  </w:style>
  <w:style w:type="paragraph" w:customStyle="1" w:styleId="34">
    <w:name w:val="UserStyle_16"/>
    <w:basedOn w:val="1"/>
    <w:next w:val="35"/>
    <w:qFormat/>
    <w:uiPriority w:val="99"/>
    <w:pPr>
      <w:spacing w:before="158" w:after="153" w:line="323" w:lineRule="atLeast"/>
      <w:jc w:val="center"/>
    </w:pPr>
    <w:rPr>
      <w:rFonts w:ascii="Arial" w:eastAsia="黑体"/>
      <w:sz w:val="31"/>
    </w:rPr>
  </w:style>
  <w:style w:type="paragraph" w:customStyle="1" w:styleId="35">
    <w:name w:val="UserStyle_10"/>
    <w:basedOn w:val="1"/>
    <w:next w:val="36"/>
    <w:qFormat/>
    <w:uiPriority w:val="99"/>
    <w:pPr>
      <w:spacing w:line="289" w:lineRule="atLeast"/>
      <w:jc w:val="center"/>
    </w:pPr>
    <w:rPr>
      <w:sz w:val="28"/>
    </w:rPr>
  </w:style>
  <w:style w:type="paragraph" w:customStyle="1" w:styleId="36">
    <w:name w:val="UserStyle_11"/>
    <w:basedOn w:val="1"/>
    <w:next w:val="1"/>
    <w:qFormat/>
    <w:uiPriority w:val="99"/>
    <w:pPr>
      <w:spacing w:before="175" w:after="102" w:line="351" w:lineRule="atLeast"/>
    </w:pPr>
    <w:rPr>
      <w:rFonts w:eastAsia="黑体"/>
    </w:rPr>
  </w:style>
  <w:style w:type="paragraph" w:customStyle="1" w:styleId="37">
    <w:name w:val="UserStyle_7"/>
    <w:basedOn w:val="1"/>
    <w:next w:val="1"/>
    <w:qFormat/>
    <w:uiPriority w:val="99"/>
    <w:pPr>
      <w:tabs>
        <w:tab w:val="left" w:leader="dot" w:pos="8503"/>
      </w:tabs>
      <w:spacing w:line="317" w:lineRule="atLeast"/>
      <w:ind w:firstLine="629"/>
    </w:pPr>
  </w:style>
  <w:style w:type="paragraph" w:customStyle="1" w:styleId="38">
    <w:name w:val="UserStyle_8"/>
    <w:basedOn w:val="1"/>
    <w:next w:val="1"/>
    <w:qFormat/>
    <w:uiPriority w:val="99"/>
    <w:pPr>
      <w:spacing w:before="566" w:after="544" w:line="566" w:lineRule="atLeast"/>
      <w:ind w:firstLine="419"/>
      <w:jc w:val="center"/>
    </w:pPr>
    <w:rPr>
      <w:rFonts w:ascii="Arial" w:eastAsia="黑体"/>
      <w:spacing w:val="566"/>
      <w:sz w:val="54"/>
    </w:rPr>
  </w:style>
  <w:style w:type="paragraph" w:customStyle="1" w:styleId="39">
    <w:name w:val="HtmlNormal"/>
    <w:basedOn w:val="1"/>
    <w:qFormat/>
    <w:uiPriority w:val="99"/>
    <w:pPr>
      <w:spacing w:before="100" w:beforeAutospacing="1" w:after="100" w:afterAutospacing="1" w:line="240" w:lineRule="auto"/>
      <w:jc w:val="left"/>
      <w:textAlignment w:val="auto"/>
    </w:pPr>
    <w:rPr>
      <w:rFonts w:ascii="宋体" w:hAnsi="宋体"/>
      <w:sz w:val="24"/>
      <w:szCs w:val="24"/>
    </w:rPr>
  </w:style>
  <w:style w:type="paragraph" w:customStyle="1" w:styleId="40">
    <w:name w:val="UserStyle_9"/>
    <w:basedOn w:val="1"/>
    <w:next w:val="1"/>
    <w:qFormat/>
    <w:uiPriority w:val="99"/>
    <w:pPr>
      <w:tabs>
        <w:tab w:val="left" w:leader="dot" w:pos="8503"/>
      </w:tabs>
      <w:spacing w:line="317" w:lineRule="atLeast"/>
      <w:ind w:firstLine="419"/>
    </w:pPr>
  </w:style>
  <w:style w:type="paragraph" w:customStyle="1" w:styleId="41">
    <w:name w:val="UserStyle_12"/>
    <w:basedOn w:val="1"/>
    <w:next w:val="1"/>
    <w:qFormat/>
    <w:uiPriority w:val="99"/>
    <w:pPr>
      <w:tabs>
        <w:tab w:val="left" w:leader="dot" w:pos="8503"/>
      </w:tabs>
      <w:spacing w:after="136" w:line="289" w:lineRule="atLeast"/>
      <w:jc w:val="left"/>
    </w:pPr>
    <w:rPr>
      <w:rFonts w:ascii="Arial" w:eastAsia="黑体"/>
      <w:sz w:val="28"/>
    </w:rPr>
  </w:style>
  <w:style w:type="paragraph" w:customStyle="1" w:styleId="42">
    <w:name w:val="UserStyle_13"/>
    <w:basedOn w:val="1"/>
    <w:qFormat/>
    <w:uiPriority w:val="99"/>
    <w:pPr>
      <w:spacing w:line="240" w:lineRule="auto"/>
      <w:textAlignment w:val="auto"/>
    </w:pPr>
    <w:rPr>
      <w:sz w:val="32"/>
      <w:szCs w:val="32"/>
    </w:rPr>
  </w:style>
  <w:style w:type="paragraph" w:customStyle="1" w:styleId="43">
    <w:name w:val="UserStyle_14"/>
    <w:basedOn w:val="1"/>
    <w:qFormat/>
    <w:uiPriority w:val="99"/>
    <w:pPr>
      <w:spacing w:line="600" w:lineRule="atLeast"/>
      <w:jc w:val="center"/>
      <w:textAlignment w:val="auto"/>
    </w:pPr>
    <w:rPr>
      <w:rFonts w:ascii="Arial" w:hAnsi="Arial"/>
      <w:sz w:val="24"/>
      <w:szCs w:val="24"/>
    </w:rPr>
  </w:style>
  <w:style w:type="paragraph" w:customStyle="1" w:styleId="44">
    <w:name w:val="UserStyle_15"/>
    <w:basedOn w:val="1"/>
    <w:next w:val="1"/>
    <w:qFormat/>
    <w:uiPriority w:val="99"/>
    <w:pPr>
      <w:tabs>
        <w:tab w:val="left" w:leader="dot" w:pos="8503"/>
      </w:tabs>
      <w:spacing w:line="317" w:lineRule="atLeast"/>
      <w:ind w:firstLine="209"/>
    </w:pPr>
  </w:style>
  <w:style w:type="paragraph" w:customStyle="1" w:styleId="45">
    <w:name w:val="UserStyle_17"/>
    <w:basedOn w:val="1"/>
    <w:qFormat/>
    <w:uiPriority w:val="99"/>
    <w:pPr>
      <w:spacing w:line="480" w:lineRule="exact"/>
      <w:ind w:firstLine="420" w:firstLineChars="200"/>
      <w:textAlignment w:val="auto"/>
    </w:pPr>
    <w:rPr>
      <w:kern w:val="2"/>
      <w:sz w:val="24"/>
      <w:szCs w:val="24"/>
    </w:rPr>
  </w:style>
  <w:style w:type="table" w:customStyle="1" w:styleId="46">
    <w:name w:val="TableGrid"/>
    <w:basedOn w:val="27"/>
    <w:qFormat/>
    <w:uiPriority w:val="99"/>
    <w:tblPr>
      <w:tblCellMar>
        <w:top w:w="0" w:type="dxa"/>
        <w:left w:w="0" w:type="dxa"/>
        <w:bottom w:w="0" w:type="dxa"/>
        <w:right w:w="0" w:type="dxa"/>
      </w:tblCellMar>
    </w:tblPr>
  </w:style>
  <w:style w:type="paragraph" w:customStyle="1" w:styleId="47">
    <w:name w:val="BodyTextIndent"/>
    <w:basedOn w:val="1"/>
    <w:qFormat/>
    <w:uiPriority w:val="99"/>
    <w:pPr>
      <w:spacing w:after="120"/>
      <w:ind w:left="420" w:leftChars="200"/>
    </w:pPr>
  </w:style>
  <w:style w:type="paragraph" w:customStyle="1" w:styleId="48">
    <w:name w:val="BodyText1I2"/>
    <w:basedOn w:val="47"/>
    <w:qFormat/>
    <w:uiPriority w:val="99"/>
    <w:pPr>
      <w:ind w:firstLine="420" w:firstLineChars="200"/>
    </w:pPr>
  </w:style>
  <w:style w:type="paragraph" w:customStyle="1" w:styleId="49">
    <w:name w:val="ZSZW-正文"/>
    <w:basedOn w:val="1"/>
    <w:qFormat/>
    <w:uiPriority w:val="0"/>
    <w:pPr>
      <w:adjustRightInd w:val="0"/>
      <w:snapToGrid w:val="0"/>
      <w:spacing w:line="360" w:lineRule="auto"/>
      <w:ind w:firstLine="200" w:firstLineChars="200"/>
    </w:pPr>
    <w:rPr>
      <w:color w:val="000000"/>
      <w:kern w:val="0"/>
      <w:sz w:val="24"/>
    </w:rPr>
  </w:style>
  <w:style w:type="paragraph" w:customStyle="1" w:styleId="50">
    <w:name w:val="Table Paragraph"/>
    <w:basedOn w:val="1"/>
    <w:qFormat/>
    <w:uiPriority w:val="1"/>
  </w:style>
  <w:style w:type="paragraph" w:customStyle="1" w:styleId="51">
    <w:name w:val="新正文"/>
    <w:basedOn w:val="1"/>
    <w:qFormat/>
    <w:uiPriority w:val="0"/>
    <w:pPr>
      <w:tabs>
        <w:tab w:val="left" w:pos="8295"/>
      </w:tabs>
      <w:spacing w:line="360" w:lineRule="auto"/>
      <w:ind w:firstLine="200" w:firstLineChars="200"/>
    </w:pPr>
    <w:rPr>
      <w:sz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1282</Words>
  <Characters>1399</Characters>
  <Lines>10</Lines>
  <Paragraphs>3</Paragraphs>
  <TotalTime>20</TotalTime>
  <ScaleCrop>false</ScaleCrop>
  <LinksUpToDate>false</LinksUpToDate>
  <CharactersWithSpaces>1539</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2020-08-18T07:58:00Z</dcterms:created>
  <dc:creator>Administrator</dc:creator>
  <cp:lastModifiedBy>苏</cp:lastModifiedBy>
  <cp:lastPrinted>2023-09-04T03:10:09Z</cp:lastPrinted>
  <dcterms:modified xsi:type="dcterms:W3CDTF">2023-09-04T03:10:20Z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4B223CA2B5B24F0BBC3925F45DAE3489</vt:lpwstr>
  </property>
</Properties>
</file>