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4"/>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34</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内蒙古正邦能源有限公司LNG加气站</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新建项目加油站、加气站、充电桩</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lang w:eastAsia="zh-CN"/>
        </w:rPr>
        <w:t>建设</w:t>
      </w:r>
      <w:r>
        <w:rPr>
          <w:rStyle w:val="16"/>
          <w:rFonts w:hint="eastAsia" w:ascii="宋体" w:hAnsi="宋体"/>
          <w:b/>
          <w:bCs w:val="0"/>
          <w:color w:val="auto"/>
          <w:sz w:val="44"/>
          <w:szCs w:val="44"/>
        </w:rPr>
        <w:t>项目</w:t>
      </w:r>
      <w:r>
        <w:rPr>
          <w:rStyle w:val="16"/>
          <w:rFonts w:hint="eastAsia" w:ascii="宋体" w:hAnsi="宋体" w:eastAsia="宋体" w:cs="宋体"/>
          <w:b/>
          <w:bCs w:val="0"/>
          <w:color w:val="auto"/>
          <w:sz w:val="44"/>
          <w:szCs w:val="44"/>
        </w:rPr>
        <w:t>环境影响报告表的批复</w:t>
      </w:r>
    </w:p>
    <w:p>
      <w:pPr>
        <w:spacing w:line="360" w:lineRule="auto"/>
        <w:textAlignment w:val="auto"/>
        <w:rPr>
          <w:rStyle w:val="16"/>
          <w:rFonts w:hint="eastAsia" w:ascii="仿宋" w:hAnsi="仿宋" w:eastAsia="仿宋"/>
          <w:sz w:val="32"/>
          <w:szCs w:val="32"/>
          <w:lang w:eastAsia="zh-CN"/>
        </w:rPr>
      </w:pPr>
    </w:p>
    <w:p>
      <w:pPr>
        <w:spacing w:line="360" w:lineRule="auto"/>
        <w:ind w:left="0" w:leftChars="0" w:firstLine="0" w:firstLineChars="0"/>
        <w:rPr>
          <w:rStyle w:val="16"/>
          <w:rFonts w:hint="eastAsia" w:ascii="仿宋" w:hAnsi="仿宋" w:eastAsia="仿宋" w:cs="Times New Roman"/>
          <w:sz w:val="32"/>
          <w:szCs w:val="32"/>
          <w:lang w:eastAsia="zh-CN"/>
        </w:rPr>
      </w:pPr>
      <w:r>
        <w:rPr>
          <w:rStyle w:val="16"/>
          <w:rFonts w:hint="eastAsia" w:ascii="仿宋" w:hAnsi="仿宋" w:eastAsia="仿宋"/>
          <w:sz w:val="32"/>
          <w:szCs w:val="32"/>
        </w:rPr>
        <w:t>内蒙古正邦能源有限公司</w:t>
      </w:r>
      <w:r>
        <w:rPr>
          <w:rStyle w:val="16"/>
          <w:rFonts w:hint="eastAsia" w:ascii="仿宋" w:hAnsi="仿宋" w:eastAsia="仿宋" w:cs="Times New Roman"/>
          <w:sz w:val="32"/>
          <w:szCs w:val="32"/>
          <w:lang w:eastAsia="zh-CN"/>
        </w:rPr>
        <w:t>：</w:t>
      </w:r>
    </w:p>
    <w:p>
      <w:pPr>
        <w:spacing w:line="360" w:lineRule="auto"/>
        <w:ind w:firstLine="640" w:firstLineChars="200"/>
        <w:jc w:val="both"/>
        <w:rPr>
          <w:rStyle w:val="16"/>
          <w:rFonts w:hint="eastAsia" w:ascii="仿宋" w:hAnsi="仿宋" w:eastAsia="仿宋"/>
          <w:sz w:val="32"/>
          <w:szCs w:val="32"/>
          <w:lang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报送的由内蒙古绿水生态环境科技有限公司</w:t>
      </w:r>
      <w:r>
        <w:rPr>
          <w:rStyle w:val="16"/>
          <w:rFonts w:hint="eastAsia" w:ascii="仿宋" w:hAnsi="仿宋" w:eastAsia="仿宋"/>
          <w:sz w:val="32"/>
          <w:szCs w:val="32"/>
          <w:lang w:val="en-US" w:eastAsia="zh-CN"/>
        </w:rPr>
        <w:t>编</w:t>
      </w:r>
      <w:r>
        <w:rPr>
          <w:rStyle w:val="16"/>
          <w:rFonts w:hint="eastAsia" w:ascii="仿宋" w:hAnsi="仿宋" w:eastAsia="仿宋"/>
          <w:sz w:val="32"/>
          <w:szCs w:val="32"/>
        </w:rPr>
        <w:t>制的《内蒙古正邦能源有限公司LNG加气站新建项目加油站、加气站、充电桩</w:t>
      </w:r>
      <w:r>
        <w:rPr>
          <w:rStyle w:val="16"/>
          <w:rFonts w:hint="eastAsia" w:ascii="仿宋" w:hAnsi="仿宋" w:eastAsia="仿宋"/>
          <w:sz w:val="32"/>
          <w:szCs w:val="32"/>
          <w:lang w:eastAsia="zh-CN"/>
        </w:rPr>
        <w:t>建设</w:t>
      </w:r>
      <w:r>
        <w:rPr>
          <w:rStyle w:val="16"/>
          <w:rFonts w:hint="default" w:ascii="仿宋" w:hAnsi="仿宋" w:eastAsia="仿宋"/>
          <w:sz w:val="32"/>
          <w:szCs w:val="32"/>
          <w:lang w:eastAsia="zh-CN"/>
        </w:rPr>
        <w:t>项目</w:t>
      </w:r>
      <w:r>
        <w:rPr>
          <w:rStyle w:val="16"/>
          <w:rFonts w:hint="eastAsia" w:ascii="仿宋" w:hAnsi="仿宋" w:eastAsia="仿宋"/>
          <w:sz w:val="32"/>
          <w:szCs w:val="32"/>
        </w:rPr>
        <w:t>环境影响报告表》（以下简称《报告表》）已收悉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rPr>
        <w:t>该项目属于新建项目，位于东胜区铜川镇109南铺二路南、铜川村四路东</w:t>
      </w:r>
      <w:r>
        <w:rPr>
          <w:rStyle w:val="16"/>
          <w:rFonts w:hint="eastAsia" w:ascii="仿宋" w:hAnsi="仿宋" w:eastAsia="仿宋"/>
          <w:sz w:val="32"/>
          <w:szCs w:val="32"/>
          <w:lang w:val="en-US" w:eastAsia="zh-CN"/>
        </w:rPr>
        <w:t>。项目总</w:t>
      </w:r>
      <w:r>
        <w:rPr>
          <w:rStyle w:val="16"/>
          <w:rFonts w:hint="eastAsia" w:ascii="仿宋" w:hAnsi="仿宋" w:eastAsia="仿宋" w:cs="Times New Roman"/>
          <w:sz w:val="32"/>
          <w:szCs w:val="32"/>
          <w:lang w:eastAsia="zh-CN"/>
        </w:rPr>
        <w:t>占地面</w:t>
      </w:r>
      <w:r>
        <w:rPr>
          <w:rStyle w:val="16"/>
          <w:rFonts w:hint="eastAsia" w:ascii="仿宋" w:hAnsi="仿宋" w:eastAsia="仿宋"/>
          <w:sz w:val="32"/>
          <w:szCs w:val="32"/>
          <w:lang w:eastAsia="zh-CN"/>
        </w:rPr>
        <w:t>积</w:t>
      </w:r>
      <w:r>
        <w:rPr>
          <w:rStyle w:val="16"/>
          <w:rFonts w:hint="eastAsia" w:ascii="仿宋" w:hAnsi="仿宋" w:eastAsia="仿宋"/>
          <w:sz w:val="32"/>
          <w:szCs w:val="32"/>
        </w:rPr>
        <w:t>5627.26</w:t>
      </w:r>
      <w:r>
        <w:rPr>
          <w:rStyle w:val="16"/>
          <w:rFonts w:hint="eastAsia" w:ascii="仿宋" w:hAnsi="仿宋" w:eastAsia="仿宋"/>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2782.05</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99.5万元</w:t>
      </w:r>
      <w:r>
        <w:rPr>
          <w:rStyle w:val="16"/>
          <w:rFonts w:hint="eastAsia" w:ascii="仿宋" w:hAnsi="仿宋" w:eastAsia="仿宋"/>
          <w:sz w:val="32"/>
          <w:szCs w:val="32"/>
        </w:rPr>
        <w:t>。</w:t>
      </w:r>
      <w:r>
        <w:rPr>
          <w:rStyle w:val="16"/>
          <w:rFonts w:hint="eastAsia" w:ascii="仿宋" w:hAnsi="仿宋" w:eastAsia="仿宋" w:cs="Times New Roman"/>
          <w:color w:val="auto"/>
          <w:sz w:val="32"/>
          <w:szCs w:val="32"/>
          <w:lang w:eastAsia="zh-CN"/>
        </w:rPr>
        <w:t>主要建设内容及规模：</w:t>
      </w:r>
      <w:r>
        <w:rPr>
          <w:rStyle w:val="16"/>
          <w:rFonts w:hint="eastAsia" w:ascii="仿宋" w:hAnsi="仿宋" w:eastAsia="仿宋"/>
          <w:sz w:val="32"/>
          <w:szCs w:val="32"/>
        </w:rPr>
        <w:t>新建1座罩棚，投影面积1700</w:t>
      </w:r>
      <w:r>
        <w:rPr>
          <w:rStyle w:val="16"/>
          <w:rFonts w:hint="eastAsia" w:ascii="仿宋" w:hAnsi="仿宋" w:eastAsia="仿宋"/>
          <w:sz w:val="32"/>
          <w:szCs w:val="32"/>
          <w:lang w:eastAsia="zh-CN"/>
        </w:rPr>
        <w:t>平方米</w:t>
      </w:r>
      <w:r>
        <w:rPr>
          <w:rStyle w:val="16"/>
          <w:rFonts w:hint="eastAsia" w:ascii="仿宋" w:hAnsi="仿宋" w:eastAsia="仿宋"/>
          <w:sz w:val="32"/>
          <w:szCs w:val="32"/>
        </w:rPr>
        <w:t>，罩棚吊顶高度8米</w:t>
      </w:r>
      <w:r>
        <w:rPr>
          <w:rStyle w:val="16"/>
          <w:rFonts w:hint="eastAsia" w:ascii="仿宋" w:hAnsi="仿宋" w:eastAsia="仿宋"/>
          <w:sz w:val="32"/>
          <w:szCs w:val="32"/>
          <w:lang w:eastAsia="zh-CN"/>
        </w:rPr>
        <w:t>，罩棚内</w:t>
      </w:r>
      <w:r>
        <w:rPr>
          <w:rStyle w:val="16"/>
          <w:rFonts w:hint="eastAsia" w:ascii="仿宋" w:hAnsi="仿宋" w:eastAsia="仿宋"/>
          <w:sz w:val="32"/>
          <w:szCs w:val="32"/>
        </w:rPr>
        <w:t>新建7座加油岛</w:t>
      </w:r>
      <w:r>
        <w:rPr>
          <w:rStyle w:val="16"/>
          <w:rFonts w:hint="eastAsia" w:ascii="仿宋" w:hAnsi="仿宋" w:eastAsia="仿宋"/>
          <w:sz w:val="32"/>
          <w:szCs w:val="32"/>
          <w:lang w:eastAsia="zh-CN"/>
        </w:rPr>
        <w:t>、</w:t>
      </w:r>
      <w:r>
        <w:rPr>
          <w:rStyle w:val="16"/>
          <w:rFonts w:hint="eastAsia" w:ascii="仿宋" w:hAnsi="仿宋" w:eastAsia="仿宋"/>
          <w:sz w:val="32"/>
          <w:szCs w:val="32"/>
        </w:rPr>
        <w:t>2座加气岛。储油区共设7个埋地式双层储油罐</w:t>
      </w:r>
      <w:r>
        <w:rPr>
          <w:rStyle w:val="16"/>
          <w:rFonts w:hint="eastAsia" w:ascii="仿宋" w:hAnsi="仿宋" w:eastAsia="仿宋"/>
          <w:sz w:val="32"/>
          <w:szCs w:val="32"/>
          <w:lang w:eastAsia="zh-CN"/>
        </w:rPr>
        <w:t>，容积均为10</w:t>
      </w:r>
      <w:r>
        <w:rPr>
          <w:rStyle w:val="16"/>
          <w:rFonts w:hint="eastAsia" w:ascii="仿宋" w:hAnsi="仿宋" w:eastAsia="仿宋"/>
          <w:sz w:val="32"/>
          <w:szCs w:val="32"/>
          <w:lang w:val="en-US" w:eastAsia="zh-CN"/>
        </w:rPr>
        <w:t>立方米</w:t>
      </w:r>
      <w:r>
        <w:rPr>
          <w:rStyle w:val="16"/>
          <w:rFonts w:hint="eastAsia" w:ascii="仿宋" w:hAnsi="仿宋" w:eastAsia="仿宋"/>
          <w:sz w:val="32"/>
          <w:szCs w:val="32"/>
          <w:lang w:eastAsia="zh-CN"/>
        </w:rPr>
        <w:t>，油罐总容积为45</w:t>
      </w:r>
      <w:r>
        <w:rPr>
          <w:rStyle w:val="16"/>
          <w:rFonts w:hint="eastAsia" w:ascii="仿宋" w:hAnsi="仿宋" w:eastAsia="仿宋"/>
          <w:sz w:val="32"/>
          <w:szCs w:val="32"/>
          <w:lang w:val="en-US" w:eastAsia="zh-CN"/>
        </w:rPr>
        <w:t>立方米</w:t>
      </w:r>
      <w:r>
        <w:rPr>
          <w:rStyle w:val="16"/>
          <w:rFonts w:hint="eastAsia" w:ascii="仿宋" w:hAnsi="仿宋" w:eastAsia="仿宋"/>
          <w:sz w:val="32"/>
          <w:szCs w:val="32"/>
          <w:lang w:eastAsia="zh-CN"/>
        </w:rPr>
        <w:t>（柴油罐折半计算）。储气区设1座LNG立式储罐，占地面积为123平方米</w:t>
      </w:r>
      <w:r>
        <w:rPr>
          <w:rStyle w:val="16"/>
          <w:rFonts w:hint="eastAsia" w:ascii="仿宋" w:hAnsi="仿宋" w:eastAsia="仿宋"/>
          <w:sz w:val="32"/>
          <w:szCs w:val="32"/>
          <w:highlight w:val="none"/>
          <w:lang w:eastAsia="zh-CN"/>
        </w:rPr>
        <w:t>，布置于站区东北角，储罐容积为60</w:t>
      </w:r>
      <w:r>
        <w:rPr>
          <w:rStyle w:val="16"/>
          <w:rFonts w:hint="eastAsia" w:ascii="仿宋" w:hAnsi="仿宋" w:eastAsia="仿宋"/>
          <w:sz w:val="32"/>
          <w:szCs w:val="32"/>
          <w:lang w:val="en-US" w:eastAsia="zh-CN"/>
        </w:rPr>
        <w:t>立方米</w:t>
      </w:r>
      <w:r>
        <w:rPr>
          <w:rStyle w:val="16"/>
          <w:rFonts w:hint="eastAsia" w:ascii="仿宋" w:hAnsi="仿宋" w:eastAsia="仿宋"/>
          <w:sz w:val="32"/>
          <w:szCs w:val="32"/>
          <w:highlight w:val="none"/>
          <w:vertAlign w:val="baseline"/>
          <w:lang w:eastAsia="zh-CN"/>
        </w:rPr>
        <w:t>。</w:t>
      </w:r>
      <w:r>
        <w:rPr>
          <w:rStyle w:val="16"/>
          <w:rFonts w:hint="eastAsia" w:ascii="仿宋" w:hAnsi="仿宋" w:eastAsia="仿宋"/>
          <w:sz w:val="32"/>
          <w:szCs w:val="32"/>
          <w:highlight w:val="none"/>
        </w:rPr>
        <w:t>新建</w:t>
      </w:r>
      <w:r>
        <w:rPr>
          <w:rStyle w:val="16"/>
          <w:rFonts w:hint="eastAsia" w:ascii="仿宋" w:hAnsi="仿宋" w:eastAsia="仿宋"/>
          <w:sz w:val="32"/>
          <w:szCs w:val="32"/>
        </w:rPr>
        <w:t>1座容积为90</w:t>
      </w:r>
      <w:r>
        <w:rPr>
          <w:rStyle w:val="16"/>
          <w:rFonts w:hint="eastAsia" w:ascii="仿宋" w:hAnsi="仿宋" w:eastAsia="仿宋"/>
          <w:sz w:val="32"/>
          <w:szCs w:val="32"/>
          <w:lang w:val="en-US" w:eastAsia="zh-CN"/>
        </w:rPr>
        <w:t>立方米</w:t>
      </w:r>
      <w:r>
        <w:rPr>
          <w:rStyle w:val="16"/>
          <w:rFonts w:hint="eastAsia" w:ascii="仿宋" w:hAnsi="仿宋" w:eastAsia="仿宋"/>
          <w:sz w:val="32"/>
          <w:szCs w:val="32"/>
        </w:rPr>
        <w:t>的事故水池</w:t>
      </w:r>
      <w:r>
        <w:rPr>
          <w:rStyle w:val="16"/>
          <w:rFonts w:hint="eastAsia" w:ascii="仿宋" w:hAnsi="仿宋" w:eastAsia="仿宋"/>
          <w:sz w:val="32"/>
          <w:szCs w:val="32"/>
          <w:lang w:eastAsia="zh-CN"/>
        </w:rPr>
        <w:t>；</w:t>
      </w:r>
      <w:r>
        <w:rPr>
          <w:rStyle w:val="16"/>
          <w:rFonts w:hint="eastAsia" w:ascii="仿宋" w:hAnsi="仿宋" w:eastAsia="仿宋"/>
          <w:sz w:val="32"/>
          <w:szCs w:val="32"/>
        </w:rPr>
        <w:t>新建1座10</w:t>
      </w:r>
      <w:r>
        <w:rPr>
          <w:rStyle w:val="16"/>
          <w:rFonts w:hint="eastAsia" w:ascii="仿宋" w:hAnsi="仿宋" w:eastAsia="仿宋"/>
          <w:sz w:val="32"/>
          <w:szCs w:val="32"/>
          <w:lang w:eastAsia="zh-CN"/>
        </w:rPr>
        <w:t>平方米</w:t>
      </w:r>
      <w:r>
        <w:rPr>
          <w:rStyle w:val="16"/>
          <w:rFonts w:hint="eastAsia" w:ascii="仿宋" w:hAnsi="仿宋" w:eastAsia="仿宋"/>
          <w:sz w:val="32"/>
          <w:szCs w:val="32"/>
        </w:rPr>
        <w:t>危废暂存间</w:t>
      </w:r>
      <w:r>
        <w:rPr>
          <w:rStyle w:val="16"/>
          <w:rFonts w:hint="eastAsia" w:ascii="仿宋" w:hAnsi="仿宋" w:eastAsia="仿宋"/>
          <w:sz w:val="32"/>
          <w:szCs w:val="32"/>
          <w:lang w:eastAsia="zh-CN"/>
        </w:rPr>
        <w:t>。配套建设公辅工程、环保工程等。</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6"/>
          <w:rFonts w:ascii="仿宋" w:hAnsi="仿宋" w:eastAsia="仿宋"/>
          <w:sz w:val="32"/>
          <w:szCs w:val="32"/>
        </w:rPr>
        <w:t xml:space="preserve"> </w:t>
      </w:r>
      <w:r>
        <w:rPr>
          <w:rStyle w:val="16"/>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rFonts w:ascii="仿宋" w:hAnsi="仿宋" w:eastAsia="仿宋" w:cs="仿宋"/>
          <w:color w:val="FF0000"/>
          <w:sz w:val="32"/>
          <w:szCs w:val="32"/>
        </w:rPr>
      </w:pP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bCs/>
          <w:sz w:val="24"/>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运营期</w:t>
      </w:r>
      <w:r>
        <w:rPr>
          <w:rFonts w:hint="eastAsia" w:ascii="仿宋" w:hAnsi="仿宋" w:eastAsia="仿宋" w:cs="仿宋"/>
          <w:color w:val="auto"/>
          <w:sz w:val="32"/>
          <w:szCs w:val="32"/>
          <w:lang w:eastAsia="zh-CN"/>
        </w:rPr>
        <w:t>废气经</w:t>
      </w:r>
      <w:r>
        <w:rPr>
          <w:rFonts w:hint="eastAsia" w:ascii="仿宋" w:hAnsi="仿宋" w:eastAsia="仿宋" w:cs="仿宋"/>
          <w:color w:val="auto"/>
          <w:sz w:val="32"/>
          <w:szCs w:val="32"/>
        </w:rPr>
        <w:t>油气</w:t>
      </w:r>
      <w:r>
        <w:rPr>
          <w:rFonts w:hint="eastAsia" w:ascii="仿宋" w:hAnsi="仿宋" w:eastAsia="仿宋" w:cs="仿宋"/>
          <w:color w:val="auto"/>
          <w:sz w:val="32"/>
          <w:szCs w:val="32"/>
          <w:lang w:eastAsia="zh-CN"/>
        </w:rPr>
        <w:t>回收装置处理</w:t>
      </w:r>
      <w:r>
        <w:rPr>
          <w:rFonts w:hint="eastAsia" w:ascii="仿宋" w:hAnsi="仿宋" w:eastAsia="仿宋" w:cs="仿宋"/>
          <w:color w:val="auto"/>
          <w:sz w:val="32"/>
          <w:szCs w:val="32"/>
          <w:lang w:val="en-US" w:eastAsia="zh-CN"/>
        </w:rPr>
        <w:t>由</w:t>
      </w:r>
      <w:r>
        <w:rPr>
          <w:rFonts w:hint="eastAsia" w:ascii="仿宋" w:hAnsi="仿宋" w:eastAsia="仿宋" w:cs="仿宋"/>
          <w:color w:val="auto"/>
          <w:sz w:val="32"/>
          <w:szCs w:val="32"/>
          <w:lang w:eastAsia="zh-CN"/>
        </w:rPr>
        <w:t>排气筒排放，</w:t>
      </w:r>
      <w:r>
        <w:rPr>
          <w:rFonts w:hint="eastAsia" w:ascii="仿宋" w:hAnsi="仿宋" w:eastAsia="仿宋" w:cs="仿宋"/>
          <w:color w:val="auto"/>
          <w:sz w:val="32"/>
          <w:szCs w:val="32"/>
        </w:rPr>
        <w:t>执行《加油站大气污染物排放标准》(GB20952-2020)；</w:t>
      </w:r>
      <w:r>
        <w:rPr>
          <w:rFonts w:hint="eastAsia" w:ascii="仿宋" w:hAnsi="仿宋" w:eastAsia="仿宋" w:cs="仿宋"/>
          <w:color w:val="auto"/>
          <w:sz w:val="32"/>
          <w:szCs w:val="32"/>
          <w:lang w:eastAsia="zh-CN"/>
        </w:rPr>
        <w:t>项目废气</w:t>
      </w:r>
      <w:r>
        <w:rPr>
          <w:rFonts w:hint="eastAsia" w:ascii="仿宋" w:hAnsi="仿宋" w:eastAsia="仿宋" w:cs="仿宋"/>
          <w:color w:val="auto"/>
          <w:sz w:val="32"/>
          <w:szCs w:val="32"/>
        </w:rPr>
        <w:t>无组织排放执行《加油站大气污染物排放标准》(GB20952-2020)表3</w:t>
      </w:r>
      <w:r>
        <w:rPr>
          <w:rFonts w:hint="eastAsia" w:ascii="仿宋" w:hAnsi="仿宋" w:eastAsia="仿宋" w:cs="仿宋"/>
          <w:color w:val="auto"/>
          <w:sz w:val="32"/>
          <w:szCs w:val="32"/>
          <w:lang w:eastAsia="zh-CN"/>
        </w:rPr>
        <w:t>油气浓度无组织排放限值</w:t>
      </w:r>
      <w:r>
        <w:rPr>
          <w:rFonts w:hint="eastAsia" w:ascii="仿宋" w:hAnsi="仿宋" w:eastAsia="仿宋" w:cs="仿宋"/>
          <w:color w:val="auto"/>
          <w:sz w:val="32"/>
          <w:szCs w:val="32"/>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s="Times New Roman"/>
          <w:color w:val="auto"/>
          <w:sz w:val="32"/>
          <w:szCs w:val="32"/>
          <w:lang w:val="en-US" w:eastAsia="zh-CN"/>
        </w:rPr>
      </w:pP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lang w:val="en-US" w:eastAsia="zh-CN"/>
        </w:rPr>
        <w:t>不产生生产废水，生活污水经化粪池处理后</w:t>
      </w:r>
      <w:bookmarkStart w:id="0" w:name="_GoBack"/>
      <w:bookmarkEnd w:id="0"/>
      <w:r>
        <w:rPr>
          <w:rStyle w:val="16"/>
          <w:rFonts w:hint="eastAsia" w:ascii="仿宋" w:hAnsi="仿宋" w:eastAsia="仿宋" w:cs="Times New Roman"/>
          <w:color w:val="auto"/>
          <w:sz w:val="32"/>
          <w:szCs w:val="32"/>
          <w:lang w:val="en-US" w:eastAsia="zh-CN"/>
        </w:rPr>
        <w:t>排入市政污水管网。</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pPr>
      <w:r>
        <w:rPr>
          <w:rStyle w:val="16"/>
          <w:rFonts w:hint="eastAsia" w:ascii="仿宋" w:hAnsi="仿宋" w:eastAsia="仿宋"/>
          <w:color w:val="auto"/>
          <w:sz w:val="32"/>
          <w:szCs w:val="32"/>
          <w:lang w:val="en-US" w:eastAsia="zh-CN"/>
        </w:rPr>
        <w:t>地面须按相关要求做好防渗措施，确保不会对地下水造成影响。</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项目建设必须严格执行环境保护“三同时”制度。项目竣工后，须按照规定程序实施竣工环境保护验收。</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eastAsia="仿宋"/>
          <w:color w:val="auto"/>
          <w:sz w:val="32"/>
          <w:szCs w:val="32"/>
        </w:rPr>
        <w:t>你</w:t>
      </w:r>
      <w:r>
        <w:rPr>
          <w:rStyle w:val="16"/>
          <w:rFonts w:hint="eastAsia" w:eastAsia="仿宋"/>
          <w:color w:val="auto"/>
          <w:sz w:val="32"/>
          <w:szCs w:val="32"/>
        </w:rPr>
        <w:t>单位</w:t>
      </w:r>
      <w:r>
        <w:rPr>
          <w:rStyle w:val="16"/>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6"/>
          <w:rFonts w:hint="eastAsia" w:eastAsia="仿宋"/>
          <w:color w:val="auto"/>
          <w:sz w:val="32"/>
          <w:szCs w:val="32"/>
        </w:rPr>
        <w:t>该项目的</w:t>
      </w:r>
      <w:r>
        <w:rPr>
          <w:rStyle w:val="16"/>
          <w:rFonts w:eastAsia="仿宋"/>
          <w:color w:val="auto"/>
          <w:sz w:val="32"/>
          <w:szCs w:val="32"/>
        </w:rPr>
        <w:t>事中事后监管</w:t>
      </w:r>
      <w:r>
        <w:rPr>
          <w:rFonts w:eastAsia="仿宋"/>
          <w:color w:val="auto"/>
          <w:sz w:val="32"/>
          <w:szCs w:val="32"/>
        </w:rPr>
        <w:t>。</w:t>
      </w:r>
      <w:r>
        <w:rPr>
          <w:rStyle w:val="16"/>
          <w:rFonts w:ascii="仿宋" w:hAnsi="仿宋" w:eastAsia="仿宋"/>
          <w:color w:val="auto"/>
          <w:sz w:val="32"/>
          <w:szCs w:val="32"/>
        </w:rPr>
        <w:t xml:space="preserve">                                                                                                 </w:t>
      </w:r>
    </w:p>
    <w:p>
      <w:pPr>
        <w:pStyle w:val="1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
        <w:spacing w:line="360" w:lineRule="auto"/>
        <w:ind w:firstLine="0"/>
        <w:rPr>
          <w:color w:val="auto"/>
        </w:rPr>
      </w:pPr>
    </w:p>
    <w:p>
      <w:pPr>
        <w:pStyle w:val="18"/>
        <w:ind w:left="0" w:leftChars="0" w:firstLine="0" w:firstLineChars="0"/>
        <w:rPr>
          <w:color w:val="auto"/>
        </w:rPr>
      </w:pPr>
    </w:p>
    <w:p>
      <w:pPr>
        <w:pStyle w:val="18"/>
        <w:rPr>
          <w:color w:val="auto"/>
        </w:rPr>
      </w:pPr>
    </w:p>
    <w:p/>
    <w:p>
      <w:pPr>
        <w:pStyle w:val="12"/>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9</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9</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- 2 -</w:t>
                    </w:r>
                    <w:r>
                      <w:fldChar w:fldCharType="end"/>
                    </w:r>
                  </w:p>
                </w:txbxContent>
              </v:textbox>
            </v:shape>
          </w:pict>
        </mc:Fallback>
      </mc:AlternateContent>
    </w:r>
  </w:p>
  <w:p>
    <w:pPr>
      <w:pStyle w:val="8"/>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A3D33B0"/>
    <w:rsid w:val="0A5D0D80"/>
    <w:rsid w:val="0A667AEF"/>
    <w:rsid w:val="0A6D53BD"/>
    <w:rsid w:val="0A9A115F"/>
    <w:rsid w:val="0AA477AD"/>
    <w:rsid w:val="0B0658AB"/>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591826"/>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690919"/>
    <w:rsid w:val="1EB145A4"/>
    <w:rsid w:val="1EB26A2F"/>
    <w:rsid w:val="1F197ECC"/>
    <w:rsid w:val="1F7A6B27"/>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AE19A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67D32"/>
    <w:rsid w:val="2A4A7282"/>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048E9"/>
    <w:rsid w:val="32A41A78"/>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10A46"/>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7D4972"/>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B125F29"/>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923B67"/>
    <w:rsid w:val="68D84C26"/>
    <w:rsid w:val="694D466A"/>
    <w:rsid w:val="695143FB"/>
    <w:rsid w:val="698A3A01"/>
    <w:rsid w:val="698D0D6B"/>
    <w:rsid w:val="69E6116E"/>
    <w:rsid w:val="6A051C1C"/>
    <w:rsid w:val="6A0C4D51"/>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F957251"/>
    <w:rsid w:val="70921C55"/>
    <w:rsid w:val="71283ECD"/>
    <w:rsid w:val="713D11CB"/>
    <w:rsid w:val="7147364E"/>
    <w:rsid w:val="71502437"/>
    <w:rsid w:val="71E362C3"/>
    <w:rsid w:val="7219039A"/>
    <w:rsid w:val="731775B6"/>
    <w:rsid w:val="73BA11B9"/>
    <w:rsid w:val="73D60472"/>
    <w:rsid w:val="73F53D48"/>
    <w:rsid w:val="74713C15"/>
    <w:rsid w:val="7496752E"/>
    <w:rsid w:val="755B54D7"/>
    <w:rsid w:val="75765328"/>
    <w:rsid w:val="75A177EE"/>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customStyle="1" w:styleId="3">
    <w:name w:val="正文首行缩进 21"/>
    <w:basedOn w:val="4"/>
    <w:next w:val="1"/>
    <w:qFormat/>
    <w:uiPriority w:val="0"/>
    <w:pPr>
      <w:spacing w:afterLines="0"/>
      <w:ind w:left="420" w:firstLine="420" w:firstLineChars="200"/>
    </w:pPr>
    <w:rPr>
      <w:lang w:eastAsia="zh-CN" w:bidi="ar-SA"/>
    </w:r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0"/>
    <w:qFormat/>
    <w:uiPriority w:val="99"/>
    <w:pPr>
      <w:spacing w:after="120"/>
    </w:pPr>
    <w:rPr>
      <w:rFonts w:ascii="Calibri" w:hAnsi="Calibri"/>
      <w:szCs w:val="22"/>
    </w:rPr>
  </w:style>
  <w:style w:type="paragraph" w:styleId="7">
    <w:name w:val="Date"/>
    <w:basedOn w:val="1"/>
    <w:next w:val="1"/>
    <w:link w:val="21"/>
    <w:qFormat/>
    <w:uiPriority w:val="99"/>
    <w:pPr>
      <w:ind w:left="100" w:leftChars="2500"/>
    </w:pPr>
  </w:style>
  <w:style w:type="paragraph" w:styleId="8">
    <w:name w:val="footer"/>
    <w:basedOn w:val="1"/>
    <w:link w:val="22"/>
    <w:qFormat/>
    <w:uiPriority w:val="99"/>
    <w:pPr>
      <w:tabs>
        <w:tab w:val="center" w:pos="4153"/>
        <w:tab w:val="right" w:pos="8306"/>
      </w:tabs>
      <w:snapToGrid w:val="0"/>
      <w:jc w:val="left"/>
    </w:pPr>
    <w:rPr>
      <w:sz w:val="18"/>
    </w:rPr>
  </w:style>
  <w:style w:type="paragraph" w:styleId="9">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0">
    <w:name w:val="Body Text 2"/>
    <w:basedOn w:val="1"/>
    <w:next w:val="1"/>
    <w:qFormat/>
    <w:uiPriority w:val="0"/>
    <w:rPr>
      <w:sz w:val="24"/>
      <w:szCs w:val="22"/>
    </w:rPr>
  </w:style>
  <w:style w:type="paragraph" w:styleId="11">
    <w:name w:val="Body Text First Indent"/>
    <w:basedOn w:val="6"/>
    <w:next w:val="1"/>
    <w:qFormat/>
    <w:uiPriority w:val="0"/>
    <w:pPr>
      <w:spacing w:after="120"/>
      <w:ind w:firstLine="420" w:firstLineChars="100"/>
    </w:pPr>
  </w:style>
  <w:style w:type="paragraph" w:styleId="12">
    <w:name w:val="Body Text First Indent 2"/>
    <w:basedOn w:val="4"/>
    <w:next w:val="1"/>
    <w:qFormat/>
    <w:uiPriority w:val="99"/>
    <w:pPr>
      <w:spacing w:line="240" w:lineRule="auto"/>
      <w:ind w:firstLine="42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4"/>
    <w:link w:val="6"/>
    <w:semiHidden/>
    <w:qFormat/>
    <w:uiPriority w:val="99"/>
    <w:rPr>
      <w:color w:val="000000"/>
      <w:kern w:val="0"/>
      <w:szCs w:val="20"/>
    </w:rPr>
  </w:style>
  <w:style w:type="character" w:customStyle="1" w:styleId="21">
    <w:name w:val="日期 Char"/>
    <w:basedOn w:val="14"/>
    <w:link w:val="7"/>
    <w:semiHidden/>
    <w:qFormat/>
    <w:uiPriority w:val="99"/>
    <w:rPr>
      <w:color w:val="000000"/>
      <w:kern w:val="0"/>
      <w:szCs w:val="20"/>
    </w:rPr>
  </w:style>
  <w:style w:type="character" w:customStyle="1" w:styleId="22">
    <w:name w:val="页脚 Char"/>
    <w:basedOn w:val="16"/>
    <w:link w:val="8"/>
    <w:qFormat/>
    <w:locked/>
    <w:uiPriority w:val="99"/>
    <w:rPr>
      <w:rFonts w:cs="Times New Roman"/>
      <w:color w:val="000000"/>
      <w:sz w:val="18"/>
    </w:rPr>
  </w:style>
  <w:style w:type="character" w:customStyle="1" w:styleId="23">
    <w:name w:val="页眉 Char"/>
    <w:basedOn w:val="16"/>
    <w:link w:val="9"/>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6"/>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6"/>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1451</Words>
  <Characters>1593</Characters>
  <Lines>10</Lines>
  <Paragraphs>3</Paragraphs>
  <TotalTime>3</TotalTime>
  <ScaleCrop>false</ScaleCrop>
  <LinksUpToDate>false</LinksUpToDate>
  <CharactersWithSpaces>1735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2023-09-04T02:49:00Z</cp:lastPrinted>
  <dcterms:modified xsi:type="dcterms:W3CDTF">2023-09-04T03:00:24Z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