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4"/>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32</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eastAsia" w:ascii="宋体" w:hAnsi="宋体" w:eastAsia="宋体" w:cs="Times New Roman"/>
          <w:b/>
          <w:bCs w:val="0"/>
          <w:color w:val="auto"/>
          <w:sz w:val="44"/>
          <w:szCs w:val="44"/>
          <w:lang w:eastAsia="zh-CN"/>
        </w:rPr>
      </w:pPr>
      <w:r>
        <w:rPr>
          <w:rStyle w:val="16"/>
          <w:rFonts w:hint="eastAsia" w:ascii="宋体" w:hAnsi="宋体" w:eastAsia="宋体" w:cs="Times New Roman"/>
          <w:b/>
          <w:bCs w:val="0"/>
          <w:color w:val="auto"/>
          <w:sz w:val="44"/>
          <w:szCs w:val="44"/>
          <w:lang w:eastAsia="zh-CN"/>
        </w:rPr>
        <w:t>发动机缸盖线30万扩产技术改造</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Times New Roman"/>
          <w:b/>
          <w:bCs w:val="0"/>
          <w:color w:val="auto"/>
          <w:sz w:val="44"/>
          <w:szCs w:val="44"/>
          <w:lang w:eastAsia="zh-CN"/>
        </w:rPr>
        <w:t>建设项目</w:t>
      </w:r>
      <w:r>
        <w:rPr>
          <w:rStyle w:val="16"/>
          <w:rFonts w:hint="eastAsia" w:ascii="宋体" w:hAnsi="宋体" w:eastAsia="宋体" w:cs="宋体"/>
          <w:b/>
          <w:bCs w:val="0"/>
          <w:color w:val="auto"/>
          <w:sz w:val="44"/>
          <w:szCs w:val="44"/>
        </w:rPr>
        <w:t>环境影响报告表的批复</w:t>
      </w:r>
    </w:p>
    <w:p>
      <w:pPr>
        <w:spacing w:line="360" w:lineRule="auto"/>
        <w:textAlignment w:val="auto"/>
        <w:rPr>
          <w:rStyle w:val="16"/>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Style w:val="16"/>
          <w:rFonts w:hint="eastAsia" w:ascii="仿宋" w:hAnsi="仿宋" w:eastAsia="仿宋"/>
          <w:sz w:val="32"/>
          <w:szCs w:val="32"/>
          <w:lang w:eastAsia="zh-CN"/>
        </w:rPr>
      </w:pPr>
      <w:r>
        <w:rPr>
          <w:rStyle w:val="16"/>
          <w:rFonts w:hint="eastAsia" w:ascii="仿宋" w:hAnsi="仿宋" w:eastAsia="仿宋"/>
          <w:sz w:val="32"/>
          <w:szCs w:val="32"/>
        </w:rPr>
        <w:t>瑞隆汽车动力有限公司</w:t>
      </w:r>
      <w:r>
        <w:rPr>
          <w:rStyle w:val="16"/>
          <w:rFonts w:hint="eastAsia" w:ascii="仿宋" w:hAnsi="仿宋" w:eastAsia="仿宋"/>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报送的</w:t>
      </w:r>
      <w:r>
        <w:rPr>
          <w:rStyle w:val="16"/>
          <w:rFonts w:hint="eastAsia" w:ascii="仿宋" w:hAnsi="仿宋" w:eastAsia="仿宋"/>
          <w:sz w:val="32"/>
          <w:szCs w:val="32"/>
          <w:lang w:eastAsia="zh-CN"/>
        </w:rPr>
        <w:t>由内蒙古首环环保技术有限公司</w:t>
      </w:r>
      <w:r>
        <w:rPr>
          <w:rStyle w:val="16"/>
          <w:rFonts w:hint="eastAsia" w:ascii="仿宋" w:hAnsi="仿宋" w:eastAsia="仿宋"/>
          <w:sz w:val="32"/>
          <w:szCs w:val="32"/>
          <w:lang w:val="en-US" w:eastAsia="zh-CN"/>
        </w:rPr>
        <w:t>编</w:t>
      </w:r>
      <w:r>
        <w:rPr>
          <w:rStyle w:val="16"/>
          <w:rFonts w:hint="eastAsia" w:ascii="仿宋" w:hAnsi="仿宋" w:eastAsia="仿宋"/>
          <w:sz w:val="32"/>
          <w:szCs w:val="32"/>
          <w:lang w:eastAsia="zh-CN"/>
        </w:rPr>
        <w:t>制的《发动机缸盖线30万扩产技术改造建设项目环境影响报告表》（以下简称《报告表》）已收悉。该项目属于扩建项目，位于鄂</w:t>
      </w:r>
      <w:r>
        <w:rPr>
          <w:rStyle w:val="16"/>
          <w:rFonts w:hint="eastAsia" w:ascii="仿宋" w:hAnsi="仿宋" w:eastAsia="仿宋"/>
          <w:sz w:val="32"/>
          <w:szCs w:val="32"/>
        </w:rPr>
        <w:t>尔多斯高新技术产业开发区装备制造产业园动力大道7号瑞隆汽车动力有限公司现有发变联合厂房内</w:t>
      </w:r>
      <w:r>
        <w:rPr>
          <w:rStyle w:val="16"/>
          <w:rFonts w:hint="eastAsia" w:ascii="仿宋" w:hAnsi="仿宋" w:eastAsia="仿宋"/>
          <w:sz w:val="32"/>
          <w:szCs w:val="32"/>
          <w:lang w:val="en-US" w:eastAsia="zh-CN"/>
        </w:rPr>
        <w:t>。项目总占地面积680平方米，</w:t>
      </w:r>
      <w:r>
        <w:rPr>
          <w:rStyle w:val="16"/>
          <w:rFonts w:hint="default" w:ascii="仿宋" w:hAnsi="仿宋" w:eastAsia="仿宋"/>
          <w:sz w:val="32"/>
          <w:szCs w:val="32"/>
          <w:lang w:val="en-US" w:eastAsia="zh-CN"/>
        </w:rPr>
        <w:t>总投资</w:t>
      </w:r>
      <w:r>
        <w:rPr>
          <w:rStyle w:val="16"/>
          <w:rFonts w:hint="eastAsia" w:ascii="仿宋" w:hAnsi="仿宋" w:eastAsia="仿宋"/>
          <w:sz w:val="32"/>
          <w:szCs w:val="32"/>
          <w:lang w:val="en-US" w:eastAsia="zh-CN"/>
        </w:rPr>
        <w:t>5000万</w:t>
      </w:r>
      <w:r>
        <w:rPr>
          <w:rStyle w:val="16"/>
          <w:rFonts w:hint="default" w:ascii="仿宋" w:hAnsi="仿宋" w:eastAsia="仿宋"/>
          <w:sz w:val="32"/>
          <w:szCs w:val="32"/>
          <w:lang w:val="en-US" w:eastAsia="zh-CN"/>
        </w:rPr>
        <w:t>元，</w:t>
      </w:r>
      <w:r>
        <w:rPr>
          <w:rStyle w:val="16"/>
          <w:rFonts w:hint="eastAsia" w:ascii="仿宋" w:hAnsi="仿宋" w:eastAsia="仿宋"/>
          <w:sz w:val="32"/>
          <w:szCs w:val="32"/>
          <w:lang w:val="en-US" w:eastAsia="zh-CN"/>
        </w:rPr>
        <w:t>其中</w:t>
      </w:r>
      <w:r>
        <w:rPr>
          <w:rStyle w:val="16"/>
          <w:rFonts w:hint="default" w:ascii="仿宋" w:hAnsi="仿宋" w:eastAsia="仿宋"/>
          <w:sz w:val="32"/>
          <w:szCs w:val="32"/>
          <w:lang w:val="en-US" w:eastAsia="zh-CN"/>
        </w:rPr>
        <w:t>环保投资</w:t>
      </w:r>
      <w:r>
        <w:rPr>
          <w:rStyle w:val="16"/>
          <w:rFonts w:hint="eastAsia" w:ascii="仿宋" w:hAnsi="仿宋" w:eastAsia="仿宋"/>
          <w:sz w:val="32"/>
          <w:szCs w:val="32"/>
          <w:lang w:val="en-US" w:eastAsia="zh-CN"/>
        </w:rPr>
        <w:t>34万元。主</w:t>
      </w:r>
      <w:r>
        <w:rPr>
          <w:rStyle w:val="16"/>
          <w:rFonts w:hint="eastAsia" w:ascii="仿宋" w:hAnsi="仿宋" w:eastAsia="仿宋"/>
          <w:sz w:val="32"/>
          <w:szCs w:val="32"/>
          <w:lang w:eastAsia="zh-CN"/>
        </w:rPr>
        <w:t>要建设内容及规模：</w:t>
      </w:r>
      <w:r>
        <w:rPr>
          <w:rStyle w:val="16"/>
          <w:rFonts w:hint="eastAsia" w:ascii="仿宋" w:hAnsi="仿宋" w:eastAsia="仿宋"/>
          <w:sz w:val="32"/>
          <w:szCs w:val="32"/>
        </w:rPr>
        <w:t>在现有缸盖15万套/年的产能基础上，新购买液压夹具、AGV小车、1台加工中心、1台导管座圈压装机，并对现有加工中心及辅机进行优化调整，同时</w:t>
      </w:r>
      <w:bookmarkStart w:id="0" w:name="_GoBack"/>
      <w:bookmarkEnd w:id="0"/>
      <w:r>
        <w:rPr>
          <w:rStyle w:val="16"/>
          <w:rFonts w:hint="eastAsia" w:ascii="仿宋" w:hAnsi="仿宋" w:eastAsia="仿宋"/>
          <w:sz w:val="32"/>
          <w:szCs w:val="32"/>
        </w:rPr>
        <w:t>配套建设公辅工程及环保工程。</w:t>
      </w:r>
      <w:r>
        <w:rPr>
          <w:rStyle w:val="16"/>
          <w:rFonts w:hint="eastAsia" w:ascii="仿宋" w:hAnsi="仿宋" w:eastAsia="仿宋"/>
          <w:sz w:val="32"/>
          <w:szCs w:val="32"/>
          <w:lang w:val="en-US" w:eastAsia="zh-CN"/>
        </w:rPr>
        <w:t>项目</w:t>
      </w:r>
      <w:r>
        <w:rPr>
          <w:rStyle w:val="16"/>
          <w:rFonts w:hint="eastAsia" w:ascii="仿宋" w:hAnsi="仿宋" w:eastAsia="仿宋"/>
          <w:sz w:val="32"/>
          <w:szCs w:val="32"/>
        </w:rPr>
        <w:t>建成后</w:t>
      </w:r>
      <w:r>
        <w:rPr>
          <w:rStyle w:val="16"/>
          <w:rFonts w:hint="eastAsia" w:ascii="仿宋" w:hAnsi="仿宋" w:eastAsia="仿宋"/>
          <w:sz w:val="32"/>
          <w:szCs w:val="32"/>
          <w:lang w:val="en-US" w:eastAsia="zh-CN"/>
        </w:rPr>
        <w:t>年产</w:t>
      </w:r>
      <w:r>
        <w:rPr>
          <w:rStyle w:val="16"/>
          <w:rFonts w:hint="eastAsia" w:ascii="仿宋" w:hAnsi="仿宋" w:eastAsia="仿宋"/>
          <w:sz w:val="32"/>
          <w:szCs w:val="32"/>
        </w:rPr>
        <w:t>E4缸盖30万套。</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6"/>
          <w:rFonts w:ascii="仿宋" w:hAnsi="仿宋" w:eastAsia="仿宋"/>
          <w:sz w:val="32"/>
          <w:szCs w:val="32"/>
        </w:rPr>
        <w:t xml:space="preserve"> </w:t>
      </w:r>
      <w:r>
        <w:rPr>
          <w:rStyle w:val="16"/>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hAnsi="宋体" w:eastAsia="宋体"/>
          <w:lang w:eastAsia="zh-CN"/>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6"/>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6"/>
          <w:rFonts w:hint="eastAsia" w:ascii="仿宋" w:hAnsi="仿宋" w:eastAsia="仿宋"/>
          <w:color w:val="auto"/>
          <w:sz w:val="32"/>
          <w:szCs w:val="32"/>
          <w:highlight w:val="none"/>
        </w:rPr>
      </w:pPr>
      <w:r>
        <w:rPr>
          <w:rStyle w:val="16"/>
          <w:rFonts w:hint="default" w:ascii="仿宋" w:hAnsi="仿宋" w:eastAsia="仿宋" w:cs="Times New Roman"/>
          <w:color w:val="auto"/>
          <w:sz w:val="32"/>
          <w:szCs w:val="32"/>
          <w:highlight w:val="none"/>
          <w:lang w:val="en-US" w:eastAsia="zh-CN"/>
        </w:rPr>
        <w:t>运营</w:t>
      </w:r>
      <w:r>
        <w:rPr>
          <w:rFonts w:hint="default" w:ascii="仿宋" w:hAnsi="仿宋" w:eastAsia="仿宋" w:cs="仿宋"/>
          <w:color w:val="auto"/>
          <w:sz w:val="32"/>
          <w:szCs w:val="32"/>
          <w:lang w:val="en-US" w:eastAsia="zh-CN"/>
        </w:rPr>
        <w:t>期</w:t>
      </w:r>
      <w:r>
        <w:rPr>
          <w:rStyle w:val="16"/>
          <w:rFonts w:hint="eastAsia" w:ascii="仿宋" w:hAnsi="仿宋" w:eastAsia="仿宋"/>
          <w:color w:val="auto"/>
          <w:sz w:val="32"/>
          <w:szCs w:val="32"/>
          <w:highlight w:val="none"/>
          <w:lang w:val="en-US" w:eastAsia="zh-CN"/>
        </w:rPr>
        <w:t>湿式机加工废气经设备自带静电式油雾分离器处理后无组织</w:t>
      </w:r>
      <w:r>
        <w:rPr>
          <w:rStyle w:val="16"/>
          <w:rFonts w:hint="eastAsia" w:ascii="仿宋" w:hAnsi="仿宋" w:eastAsia="仿宋"/>
          <w:color w:val="000000" w:themeColor="text1"/>
          <w:sz w:val="32"/>
          <w:szCs w:val="32"/>
          <w:highlight w:val="none"/>
          <w:lang w:val="en-US" w:eastAsia="zh-CN"/>
          <w14:textFill>
            <w14:solidFill>
              <w14:schemeClr w14:val="tx1"/>
            </w14:solidFill>
          </w14:textFill>
        </w:rPr>
        <w:t>排放，</w:t>
      </w:r>
      <w:r>
        <w:rPr>
          <w:rStyle w:val="16"/>
          <w:rFonts w:hint="eastAsia" w:ascii="仿宋" w:hAnsi="仿宋" w:eastAsia="仿宋"/>
          <w:color w:val="000000" w:themeColor="text1"/>
          <w:sz w:val="32"/>
          <w:szCs w:val="32"/>
          <w:highlight w:val="none"/>
          <w14:textFill>
            <w14:solidFill>
              <w14:schemeClr w14:val="tx1"/>
            </w14:solidFill>
          </w14:textFill>
        </w:rPr>
        <w:t>涂胶工序废气</w:t>
      </w:r>
      <w:r>
        <w:rPr>
          <w:rStyle w:val="16"/>
          <w:rFonts w:hint="eastAsia" w:ascii="仿宋" w:hAnsi="仿宋" w:eastAsia="仿宋"/>
          <w:color w:val="000000" w:themeColor="text1"/>
          <w:sz w:val="32"/>
          <w:szCs w:val="32"/>
          <w:highlight w:val="none"/>
          <w:lang w:val="en-US" w:eastAsia="zh-CN"/>
          <w14:textFill>
            <w14:solidFill>
              <w14:schemeClr w14:val="tx1"/>
            </w14:solidFill>
          </w14:textFill>
        </w:rPr>
        <w:t>无组织排放，均执行《</w:t>
      </w:r>
      <w:r>
        <w:rPr>
          <w:rStyle w:val="16"/>
          <w:rFonts w:hint="eastAsia" w:ascii="仿宋" w:hAnsi="仿宋" w:eastAsia="仿宋"/>
          <w:color w:val="000000" w:themeColor="text1"/>
          <w:sz w:val="32"/>
          <w:szCs w:val="32"/>
          <w:highlight w:val="none"/>
          <w14:textFill>
            <w14:solidFill>
              <w14:schemeClr w14:val="tx1"/>
            </w14:solidFill>
          </w14:textFill>
        </w:rPr>
        <w:t>大气污染物综合排放标准》（GB16297-1996）</w:t>
      </w:r>
      <w:r>
        <w:rPr>
          <w:rFonts w:ascii="仿宋" w:hAnsi="仿宋" w:eastAsia="仿宋" w:cs="仿宋"/>
          <w:color w:val="000000" w:themeColor="text1"/>
          <w:sz w:val="32"/>
          <w:szCs w:val="32"/>
          <w:highlight w:val="none"/>
          <w14:textFill>
            <w14:solidFill>
              <w14:schemeClr w14:val="tx1"/>
            </w14:solidFill>
          </w14:textFill>
        </w:rPr>
        <w:t>表2</w:t>
      </w:r>
      <w:r>
        <w:rPr>
          <w:rFonts w:hint="eastAsia" w:ascii="仿宋" w:hAnsi="仿宋" w:eastAsia="仿宋" w:cs="仿宋"/>
          <w:color w:val="000000" w:themeColor="text1"/>
          <w:sz w:val="32"/>
          <w:szCs w:val="32"/>
          <w:highlight w:val="none"/>
          <w14:textFill>
            <w14:solidFill>
              <w14:schemeClr w14:val="tx1"/>
            </w14:solidFill>
          </w14:textFill>
        </w:rPr>
        <w:t>中</w:t>
      </w:r>
      <w:r>
        <w:rPr>
          <w:rStyle w:val="16"/>
          <w:rFonts w:hint="eastAsia" w:ascii="仿宋" w:hAnsi="仿宋" w:eastAsia="仿宋"/>
          <w:color w:val="000000" w:themeColor="text1"/>
          <w:sz w:val="32"/>
          <w:szCs w:val="32"/>
          <w:highlight w:val="none"/>
          <w14:textFill>
            <w14:solidFill>
              <w14:schemeClr w14:val="tx1"/>
            </w14:solidFill>
          </w14:textFill>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6"/>
          <w:rFonts w:hint="eastAsia" w:ascii="仿宋" w:hAnsi="仿宋" w:eastAsia="仿宋" w:cs="Times New Roman"/>
          <w:color w:val="auto"/>
          <w:sz w:val="32"/>
          <w:szCs w:val="32"/>
          <w:lang w:val="en-US" w:eastAsia="zh-CN"/>
        </w:rPr>
      </w:pPr>
      <w:r>
        <w:rPr>
          <w:rStyle w:val="16"/>
          <w:rFonts w:hint="default" w:ascii="仿宋" w:hAnsi="仿宋" w:eastAsia="仿宋" w:cs="Times New Roman"/>
          <w:color w:val="auto"/>
          <w:sz w:val="32"/>
          <w:szCs w:val="32"/>
          <w:lang w:val="en-US" w:eastAsia="zh-CN"/>
        </w:rPr>
        <w:t>运</w:t>
      </w:r>
      <w:r>
        <w:rPr>
          <w:rStyle w:val="16"/>
          <w:rFonts w:hint="eastAsia" w:ascii="仿宋" w:hAnsi="仿宋" w:eastAsia="仿宋" w:cs="Times New Roman"/>
          <w:color w:val="auto"/>
          <w:sz w:val="32"/>
          <w:szCs w:val="32"/>
          <w:lang w:val="en-US" w:eastAsia="zh-CN"/>
        </w:rPr>
        <w:t>营</w:t>
      </w:r>
      <w:r>
        <w:rPr>
          <w:rStyle w:val="16"/>
          <w:rFonts w:hint="default" w:ascii="仿宋" w:hAnsi="仿宋" w:eastAsia="仿宋" w:cs="Times New Roman"/>
          <w:color w:val="auto"/>
          <w:sz w:val="32"/>
          <w:szCs w:val="32"/>
          <w:lang w:val="en-US" w:eastAsia="zh-CN"/>
        </w:rPr>
        <w:t>期</w:t>
      </w:r>
      <w:r>
        <w:rPr>
          <w:rStyle w:val="16"/>
          <w:rFonts w:hint="eastAsia" w:ascii="仿宋" w:hAnsi="仿宋" w:eastAsia="仿宋" w:cs="Times New Roman"/>
          <w:color w:val="auto"/>
          <w:sz w:val="32"/>
          <w:szCs w:val="32"/>
          <w:lang w:val="en-US" w:eastAsia="zh-CN"/>
        </w:rPr>
        <w:t>生活污水、生产废水进入厂区污水处理站处理，达到《污水综合排放标准》（GB8978-1996）中三级标准后</w:t>
      </w:r>
      <w:r>
        <w:rPr>
          <w:rStyle w:val="16"/>
          <w:rFonts w:hint="default" w:ascii="仿宋" w:hAnsi="仿宋" w:eastAsia="仿宋" w:cs="Times New Roman"/>
          <w:color w:val="auto"/>
          <w:sz w:val="32"/>
          <w:szCs w:val="32"/>
          <w:lang w:val="en-US" w:eastAsia="zh-CN"/>
        </w:rPr>
        <w:t>经管网排入</w:t>
      </w:r>
      <w:r>
        <w:rPr>
          <w:rStyle w:val="16"/>
          <w:rFonts w:hint="eastAsia" w:ascii="仿宋" w:hAnsi="仿宋" w:eastAsia="仿宋" w:cs="Times New Roman"/>
          <w:color w:val="auto"/>
          <w:sz w:val="32"/>
          <w:szCs w:val="32"/>
          <w:lang w:val="en-US" w:eastAsia="zh-CN"/>
        </w:rPr>
        <w:t>园区污水处理厂</w:t>
      </w:r>
      <w:r>
        <w:rPr>
          <w:rStyle w:val="16"/>
          <w:rFonts w:hint="default" w:ascii="仿宋" w:hAnsi="仿宋" w:eastAsia="仿宋" w:cs="Times New Roman"/>
          <w:color w:val="auto"/>
          <w:sz w:val="32"/>
          <w:szCs w:val="32"/>
          <w:lang w:val="en-US" w:eastAsia="zh-CN"/>
        </w:rPr>
        <w:t>处理</w:t>
      </w:r>
      <w:r>
        <w:rPr>
          <w:rStyle w:val="16"/>
          <w:rFonts w:hint="eastAsia" w:ascii="仿宋" w:hAnsi="仿宋" w:eastAsia="仿宋" w:cs="Times New Roman"/>
          <w:color w:val="auto"/>
          <w:sz w:val="32"/>
          <w:szCs w:val="32"/>
          <w:lang w:val="en-US"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6"/>
          <w:rFonts w:hint="eastAsia" w:ascii="仿宋" w:hAnsi="仿宋" w:eastAsia="仿宋"/>
          <w:color w:val="auto"/>
          <w:sz w:val="32"/>
          <w:szCs w:val="32"/>
          <w:highlight w:val="none"/>
        </w:rPr>
      </w:pPr>
      <w:r>
        <w:rPr>
          <w:rStyle w:val="16"/>
          <w:rFonts w:hint="eastAsia" w:ascii="仿宋" w:hAnsi="仿宋" w:eastAsia="仿宋"/>
          <w:color w:val="auto"/>
          <w:sz w:val="32"/>
          <w:szCs w:val="32"/>
          <w:highlight w:val="none"/>
        </w:rPr>
        <w:t>运营期厂界噪声执行《工业企业厂界环境噪声排放</w:t>
      </w:r>
      <w:r>
        <w:rPr>
          <w:rStyle w:val="16"/>
          <w:rFonts w:hint="eastAsia" w:ascii="仿宋" w:hAnsi="仿宋" w:eastAsia="仿宋"/>
          <w:color w:val="auto"/>
          <w:sz w:val="32"/>
          <w:szCs w:val="32"/>
          <w:highlight w:val="none"/>
          <w:lang w:val="en-US" w:eastAsia="zh-CN"/>
        </w:rPr>
        <w:t>标</w:t>
      </w:r>
      <w:r>
        <w:rPr>
          <w:rStyle w:val="16"/>
          <w:rFonts w:hint="eastAsia" w:ascii="仿宋" w:hAnsi="仿宋" w:eastAsia="仿宋"/>
          <w:color w:val="auto"/>
          <w:sz w:val="32"/>
          <w:szCs w:val="32"/>
          <w:highlight w:val="none"/>
        </w:rPr>
        <w:t>准》（GB12348-2008）中</w:t>
      </w:r>
      <w:r>
        <w:rPr>
          <w:rStyle w:val="16"/>
          <w:rFonts w:hint="eastAsia" w:ascii="仿宋" w:hAnsi="仿宋" w:eastAsia="仿宋"/>
          <w:color w:val="auto"/>
          <w:sz w:val="32"/>
          <w:szCs w:val="32"/>
          <w:highlight w:val="none"/>
          <w:lang w:val="en-US" w:eastAsia="zh-CN"/>
        </w:rPr>
        <w:t>3</w:t>
      </w:r>
      <w:r>
        <w:rPr>
          <w:rStyle w:val="16"/>
          <w:rFonts w:hint="eastAsia" w:ascii="仿宋" w:hAnsi="仿宋" w:eastAsia="仿宋"/>
          <w:color w:val="auto"/>
          <w:sz w:val="32"/>
          <w:szCs w:val="32"/>
          <w:highlight w:val="none"/>
        </w:rPr>
        <w:t>类标准。</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textAlignment w:val="auto"/>
        <w:rPr>
          <w:highlight w:val="none"/>
        </w:rPr>
      </w:pPr>
      <w:r>
        <w:rPr>
          <w:rStyle w:val="16"/>
          <w:rFonts w:hint="eastAsia" w:ascii="仿宋" w:hAnsi="仿宋" w:eastAsia="仿宋"/>
          <w:color w:val="auto"/>
          <w:sz w:val="32"/>
          <w:szCs w:val="32"/>
          <w:highlight w:val="none"/>
          <w:lang w:val="en-US" w:eastAsia="zh-CN"/>
        </w:rPr>
        <w:t>地面须按相关要求做好防渗措施，确保不会对地下水造成影响。</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6"/>
          <w:rFonts w:ascii="仿宋" w:hAnsi="仿宋" w:eastAsia="仿宋"/>
          <w:color w:val="auto"/>
          <w:sz w:val="32"/>
          <w:szCs w:val="32"/>
        </w:rPr>
      </w:pPr>
      <w:r>
        <w:rPr>
          <w:rStyle w:val="16"/>
          <w:rFonts w:hint="eastAsia" w:ascii="仿宋" w:hAnsi="仿宋" w:eastAsia="仿宋"/>
          <w:color w:val="auto"/>
          <w:sz w:val="32"/>
          <w:szCs w:val="32"/>
        </w:rPr>
        <w:t>项目建设必须严格执行环境保护“三同时”制度。项目竣工后，须按照规定程序实施竣工环境保护验收。</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6"/>
          <w:rFonts w:ascii="仿宋" w:hAnsi="仿宋" w:eastAsia="仿宋"/>
          <w:color w:val="auto"/>
          <w:sz w:val="32"/>
          <w:szCs w:val="32"/>
        </w:rPr>
      </w:pPr>
      <w:r>
        <w:rPr>
          <w:rStyle w:val="16"/>
          <w:rFonts w:eastAsia="仿宋"/>
          <w:color w:val="auto"/>
          <w:sz w:val="32"/>
          <w:szCs w:val="32"/>
        </w:rPr>
        <w:t>你</w:t>
      </w:r>
      <w:r>
        <w:rPr>
          <w:rStyle w:val="16"/>
          <w:rFonts w:hint="eastAsia" w:eastAsia="仿宋"/>
          <w:color w:val="auto"/>
          <w:sz w:val="32"/>
          <w:szCs w:val="32"/>
        </w:rPr>
        <w:t>单位</w:t>
      </w:r>
      <w:r>
        <w:rPr>
          <w:rStyle w:val="16"/>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6"/>
          <w:rFonts w:hint="eastAsia" w:eastAsia="仿宋"/>
          <w:color w:val="auto"/>
          <w:sz w:val="32"/>
          <w:szCs w:val="32"/>
        </w:rPr>
        <w:t>该项目的</w:t>
      </w:r>
      <w:r>
        <w:rPr>
          <w:rStyle w:val="16"/>
          <w:rFonts w:eastAsia="仿宋"/>
          <w:color w:val="auto"/>
          <w:sz w:val="32"/>
          <w:szCs w:val="32"/>
        </w:rPr>
        <w:t>事中事后监管</w:t>
      </w:r>
      <w:r>
        <w:rPr>
          <w:rFonts w:eastAsia="仿宋"/>
          <w:color w:val="auto"/>
          <w:sz w:val="32"/>
          <w:szCs w:val="32"/>
        </w:rPr>
        <w:t>。</w:t>
      </w:r>
      <w:r>
        <w:rPr>
          <w:rStyle w:val="16"/>
          <w:rFonts w:ascii="仿宋" w:hAnsi="仿宋" w:eastAsia="仿宋"/>
          <w:color w:val="auto"/>
          <w:sz w:val="32"/>
          <w:szCs w:val="32"/>
        </w:rPr>
        <w:t xml:space="preserve">                                                                                                 </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6"/>
          <w:rFonts w:ascii="仿宋" w:hAnsi="仿宋" w:eastAsia="仿宋"/>
          <w:color w:val="auto"/>
          <w:sz w:val="32"/>
          <w:szCs w:val="32"/>
        </w:rPr>
      </w:pP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4"/>
        <w:spacing w:line="360" w:lineRule="auto"/>
        <w:ind w:firstLine="0"/>
        <w:rPr>
          <w:color w:val="auto"/>
        </w:rPr>
      </w:pPr>
    </w:p>
    <w:p>
      <w:pPr>
        <w:pStyle w:val="2"/>
        <w:rPr>
          <w:color w:val="auto"/>
        </w:rPr>
      </w:pPr>
    </w:p>
    <w:p/>
    <w:p/>
    <w:p>
      <w:pPr>
        <w:pStyle w:val="2"/>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8</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3</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8</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3</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91F80"/>
    <w:rsid w:val="06CA02D1"/>
    <w:rsid w:val="06CC5F39"/>
    <w:rsid w:val="06E35A8B"/>
    <w:rsid w:val="06F42603"/>
    <w:rsid w:val="06F55023"/>
    <w:rsid w:val="071479B9"/>
    <w:rsid w:val="075C516B"/>
    <w:rsid w:val="075E259A"/>
    <w:rsid w:val="075F5B44"/>
    <w:rsid w:val="07E24DC5"/>
    <w:rsid w:val="08660559"/>
    <w:rsid w:val="088554D8"/>
    <w:rsid w:val="08A1120A"/>
    <w:rsid w:val="08AD4A87"/>
    <w:rsid w:val="08B51389"/>
    <w:rsid w:val="08C6543B"/>
    <w:rsid w:val="08CE2C2B"/>
    <w:rsid w:val="08EA5D86"/>
    <w:rsid w:val="08FE4C90"/>
    <w:rsid w:val="090362EF"/>
    <w:rsid w:val="090866C9"/>
    <w:rsid w:val="09102B5A"/>
    <w:rsid w:val="097134F8"/>
    <w:rsid w:val="098F5074"/>
    <w:rsid w:val="09B06929"/>
    <w:rsid w:val="0A233323"/>
    <w:rsid w:val="0A3D33B0"/>
    <w:rsid w:val="0A5D0D80"/>
    <w:rsid w:val="0A667AEF"/>
    <w:rsid w:val="0A6D53BD"/>
    <w:rsid w:val="0A9A115F"/>
    <w:rsid w:val="0AA477AD"/>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A33FF"/>
    <w:rsid w:val="0EB72A51"/>
    <w:rsid w:val="0EC36AE6"/>
    <w:rsid w:val="0EF75580"/>
    <w:rsid w:val="0F1A028E"/>
    <w:rsid w:val="0F1B51C5"/>
    <w:rsid w:val="0F6C393E"/>
    <w:rsid w:val="0F7E2F3B"/>
    <w:rsid w:val="0F8B77A7"/>
    <w:rsid w:val="0FB279DE"/>
    <w:rsid w:val="0FD03B40"/>
    <w:rsid w:val="101C23A5"/>
    <w:rsid w:val="103352A9"/>
    <w:rsid w:val="10376624"/>
    <w:rsid w:val="10395A2B"/>
    <w:rsid w:val="10674965"/>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3EC00B3"/>
    <w:rsid w:val="13F84916"/>
    <w:rsid w:val="144C07C7"/>
    <w:rsid w:val="1562595D"/>
    <w:rsid w:val="15652C35"/>
    <w:rsid w:val="156D1455"/>
    <w:rsid w:val="15E91737"/>
    <w:rsid w:val="16015C16"/>
    <w:rsid w:val="16041455"/>
    <w:rsid w:val="168C74C9"/>
    <w:rsid w:val="16FF6904"/>
    <w:rsid w:val="171F5F2F"/>
    <w:rsid w:val="1747459A"/>
    <w:rsid w:val="178F5508"/>
    <w:rsid w:val="17D90483"/>
    <w:rsid w:val="17E15C23"/>
    <w:rsid w:val="181C5F12"/>
    <w:rsid w:val="18207E93"/>
    <w:rsid w:val="18A37FC9"/>
    <w:rsid w:val="18AE27A5"/>
    <w:rsid w:val="18CC5434"/>
    <w:rsid w:val="18E54146"/>
    <w:rsid w:val="19473B43"/>
    <w:rsid w:val="19AC1F9C"/>
    <w:rsid w:val="19EA6791"/>
    <w:rsid w:val="19F825D9"/>
    <w:rsid w:val="1A437161"/>
    <w:rsid w:val="1A514D80"/>
    <w:rsid w:val="1A6C6995"/>
    <w:rsid w:val="1A805ECF"/>
    <w:rsid w:val="1AFA27E4"/>
    <w:rsid w:val="1BBA357C"/>
    <w:rsid w:val="1BBC5800"/>
    <w:rsid w:val="1BDD6112"/>
    <w:rsid w:val="1BF630B5"/>
    <w:rsid w:val="1C0715F0"/>
    <w:rsid w:val="1C1972D1"/>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EBB6C6C"/>
    <w:rsid w:val="1F197ECC"/>
    <w:rsid w:val="1F9A03FC"/>
    <w:rsid w:val="1F9F4FD0"/>
    <w:rsid w:val="1FB13B43"/>
    <w:rsid w:val="1FFD3A90"/>
    <w:rsid w:val="203E5C2F"/>
    <w:rsid w:val="20723F75"/>
    <w:rsid w:val="208B0C0A"/>
    <w:rsid w:val="209F2E8C"/>
    <w:rsid w:val="20C94FCD"/>
    <w:rsid w:val="20CF0133"/>
    <w:rsid w:val="21500F9E"/>
    <w:rsid w:val="21613AFB"/>
    <w:rsid w:val="217D77E0"/>
    <w:rsid w:val="21EF70BE"/>
    <w:rsid w:val="220E66BC"/>
    <w:rsid w:val="221B45B1"/>
    <w:rsid w:val="2265588B"/>
    <w:rsid w:val="228C2292"/>
    <w:rsid w:val="22DD3655"/>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8150F91"/>
    <w:rsid w:val="288E0726"/>
    <w:rsid w:val="289A0EE5"/>
    <w:rsid w:val="28A2177B"/>
    <w:rsid w:val="28C50E13"/>
    <w:rsid w:val="28DA25CC"/>
    <w:rsid w:val="2956242B"/>
    <w:rsid w:val="29625978"/>
    <w:rsid w:val="29BE7B24"/>
    <w:rsid w:val="29EC1002"/>
    <w:rsid w:val="2A173A82"/>
    <w:rsid w:val="2A27019D"/>
    <w:rsid w:val="2A4A7282"/>
    <w:rsid w:val="2A77431C"/>
    <w:rsid w:val="2AB8571B"/>
    <w:rsid w:val="2ABD6442"/>
    <w:rsid w:val="2ACD268E"/>
    <w:rsid w:val="2AF53CB3"/>
    <w:rsid w:val="2B496FAB"/>
    <w:rsid w:val="2B5F7DC4"/>
    <w:rsid w:val="2BD26C46"/>
    <w:rsid w:val="2BDE5B5E"/>
    <w:rsid w:val="2C3F708C"/>
    <w:rsid w:val="2C871D94"/>
    <w:rsid w:val="2CAE4D3A"/>
    <w:rsid w:val="2CE7407F"/>
    <w:rsid w:val="2CFB6C68"/>
    <w:rsid w:val="2D5C4C74"/>
    <w:rsid w:val="2D5F771D"/>
    <w:rsid w:val="2DD40FB1"/>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9B79FE"/>
    <w:rsid w:val="30C776F3"/>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87701E"/>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483652"/>
    <w:rsid w:val="3AEA62F0"/>
    <w:rsid w:val="3B164E12"/>
    <w:rsid w:val="3B433FA0"/>
    <w:rsid w:val="3B7405F8"/>
    <w:rsid w:val="3B8024AE"/>
    <w:rsid w:val="3BCA2CB8"/>
    <w:rsid w:val="3C201861"/>
    <w:rsid w:val="3C351081"/>
    <w:rsid w:val="3C4F7E8A"/>
    <w:rsid w:val="3C545991"/>
    <w:rsid w:val="3C795E81"/>
    <w:rsid w:val="3C9C06C9"/>
    <w:rsid w:val="3CF212C3"/>
    <w:rsid w:val="3D4E0D02"/>
    <w:rsid w:val="3D615C4A"/>
    <w:rsid w:val="3D9D29AC"/>
    <w:rsid w:val="3DD06792"/>
    <w:rsid w:val="3E6216DB"/>
    <w:rsid w:val="3E6D2368"/>
    <w:rsid w:val="3E8C50F6"/>
    <w:rsid w:val="3E9E6EFC"/>
    <w:rsid w:val="3EA147B7"/>
    <w:rsid w:val="3EAA1A98"/>
    <w:rsid w:val="3ED64314"/>
    <w:rsid w:val="3EDA3818"/>
    <w:rsid w:val="3EEF2E69"/>
    <w:rsid w:val="3F267EF6"/>
    <w:rsid w:val="3F544D41"/>
    <w:rsid w:val="3F7635AF"/>
    <w:rsid w:val="3F7B1DD4"/>
    <w:rsid w:val="3FEA64CB"/>
    <w:rsid w:val="3FF57D0C"/>
    <w:rsid w:val="3FFB782D"/>
    <w:rsid w:val="401A75E2"/>
    <w:rsid w:val="40333ECA"/>
    <w:rsid w:val="40A601F0"/>
    <w:rsid w:val="40B345F0"/>
    <w:rsid w:val="40BF08B4"/>
    <w:rsid w:val="411D0018"/>
    <w:rsid w:val="41200E85"/>
    <w:rsid w:val="413328ED"/>
    <w:rsid w:val="41392B4A"/>
    <w:rsid w:val="413F1DCA"/>
    <w:rsid w:val="41C31E09"/>
    <w:rsid w:val="41D47B54"/>
    <w:rsid w:val="42096DA4"/>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957B12"/>
    <w:rsid w:val="44A75A3C"/>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9540677"/>
    <w:rsid w:val="49926C6C"/>
    <w:rsid w:val="49AA4FB0"/>
    <w:rsid w:val="49DB78B5"/>
    <w:rsid w:val="49E97A04"/>
    <w:rsid w:val="49EA569C"/>
    <w:rsid w:val="4A494A22"/>
    <w:rsid w:val="4A911B79"/>
    <w:rsid w:val="4ADF223E"/>
    <w:rsid w:val="4AF07DCC"/>
    <w:rsid w:val="4AFD3FE5"/>
    <w:rsid w:val="4B620F05"/>
    <w:rsid w:val="4BA42C32"/>
    <w:rsid w:val="4BAD0F90"/>
    <w:rsid w:val="4C2274BE"/>
    <w:rsid w:val="4CD95DD7"/>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0CF6A18"/>
    <w:rsid w:val="510F1690"/>
    <w:rsid w:val="51103864"/>
    <w:rsid w:val="51167CDE"/>
    <w:rsid w:val="51324DA9"/>
    <w:rsid w:val="51AD2147"/>
    <w:rsid w:val="51CE1891"/>
    <w:rsid w:val="51D501ED"/>
    <w:rsid w:val="51DA6E2E"/>
    <w:rsid w:val="522D7F16"/>
    <w:rsid w:val="523952D8"/>
    <w:rsid w:val="523B2FBD"/>
    <w:rsid w:val="52400F9E"/>
    <w:rsid w:val="52473BB8"/>
    <w:rsid w:val="5288313B"/>
    <w:rsid w:val="52D27DE3"/>
    <w:rsid w:val="52F33045"/>
    <w:rsid w:val="531F408E"/>
    <w:rsid w:val="53406525"/>
    <w:rsid w:val="534B5C0F"/>
    <w:rsid w:val="53C03946"/>
    <w:rsid w:val="53E44017"/>
    <w:rsid w:val="5432323D"/>
    <w:rsid w:val="54331B24"/>
    <w:rsid w:val="54583460"/>
    <w:rsid w:val="54686A39"/>
    <w:rsid w:val="54E641C3"/>
    <w:rsid w:val="54EC6DF6"/>
    <w:rsid w:val="54F16F78"/>
    <w:rsid w:val="55215714"/>
    <w:rsid w:val="554D7806"/>
    <w:rsid w:val="55876BE5"/>
    <w:rsid w:val="55A94050"/>
    <w:rsid w:val="55CA36B6"/>
    <w:rsid w:val="567F5F3C"/>
    <w:rsid w:val="56DB6AC7"/>
    <w:rsid w:val="56DF16DC"/>
    <w:rsid w:val="57184CF1"/>
    <w:rsid w:val="57780B5F"/>
    <w:rsid w:val="57B96494"/>
    <w:rsid w:val="57CF2C02"/>
    <w:rsid w:val="57DD76E9"/>
    <w:rsid w:val="57FC658A"/>
    <w:rsid w:val="57FE5FE5"/>
    <w:rsid w:val="586A1F97"/>
    <w:rsid w:val="589C6ECF"/>
    <w:rsid w:val="58C919AA"/>
    <w:rsid w:val="59597413"/>
    <w:rsid w:val="59BA4CD4"/>
    <w:rsid w:val="59EE5797"/>
    <w:rsid w:val="5AC272A3"/>
    <w:rsid w:val="5B307B0A"/>
    <w:rsid w:val="5B557E8F"/>
    <w:rsid w:val="5BB1110B"/>
    <w:rsid w:val="5BF714DE"/>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B2650C"/>
    <w:rsid w:val="611D40E2"/>
    <w:rsid w:val="614462DE"/>
    <w:rsid w:val="61B516C4"/>
    <w:rsid w:val="61EF4764"/>
    <w:rsid w:val="625904A9"/>
    <w:rsid w:val="626F5370"/>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25CB4"/>
    <w:rsid w:val="65CE2481"/>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8FB795E"/>
    <w:rsid w:val="694D466A"/>
    <w:rsid w:val="695143FB"/>
    <w:rsid w:val="698A3A01"/>
    <w:rsid w:val="698D0D6B"/>
    <w:rsid w:val="69E6116E"/>
    <w:rsid w:val="6A051C1C"/>
    <w:rsid w:val="6A3377BA"/>
    <w:rsid w:val="6A461941"/>
    <w:rsid w:val="6AA33CF1"/>
    <w:rsid w:val="6AAE5669"/>
    <w:rsid w:val="6ABD1719"/>
    <w:rsid w:val="6ACC25CE"/>
    <w:rsid w:val="6B275374"/>
    <w:rsid w:val="6B3F558D"/>
    <w:rsid w:val="6BEB28AD"/>
    <w:rsid w:val="6C1D1BAE"/>
    <w:rsid w:val="6C32108A"/>
    <w:rsid w:val="6C495CD7"/>
    <w:rsid w:val="6C6C7186"/>
    <w:rsid w:val="6C71153E"/>
    <w:rsid w:val="6C96136B"/>
    <w:rsid w:val="6CA67BC0"/>
    <w:rsid w:val="6CE10EDA"/>
    <w:rsid w:val="6D3E606B"/>
    <w:rsid w:val="6D4F01B3"/>
    <w:rsid w:val="6D9B0E92"/>
    <w:rsid w:val="6DC319FF"/>
    <w:rsid w:val="6E1844B8"/>
    <w:rsid w:val="6E541954"/>
    <w:rsid w:val="6E6D5C0E"/>
    <w:rsid w:val="6E7C3113"/>
    <w:rsid w:val="6EA67FA2"/>
    <w:rsid w:val="6F957251"/>
    <w:rsid w:val="70921C55"/>
    <w:rsid w:val="71283ECD"/>
    <w:rsid w:val="713D11CB"/>
    <w:rsid w:val="7147364E"/>
    <w:rsid w:val="71502437"/>
    <w:rsid w:val="71E362C3"/>
    <w:rsid w:val="7219039A"/>
    <w:rsid w:val="72DF1A1E"/>
    <w:rsid w:val="731775B6"/>
    <w:rsid w:val="73BA11B9"/>
    <w:rsid w:val="73D60472"/>
    <w:rsid w:val="73F53D48"/>
    <w:rsid w:val="7496752E"/>
    <w:rsid w:val="755B54D7"/>
    <w:rsid w:val="75765328"/>
    <w:rsid w:val="75A177EE"/>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E08F6"/>
    <w:rsid w:val="781F64BC"/>
    <w:rsid w:val="783E6571"/>
    <w:rsid w:val="78502F65"/>
    <w:rsid w:val="786E6C4A"/>
    <w:rsid w:val="789D2BB8"/>
    <w:rsid w:val="78DB6555"/>
    <w:rsid w:val="78DF4BA6"/>
    <w:rsid w:val="78FD20DF"/>
    <w:rsid w:val="795654B4"/>
    <w:rsid w:val="79E24199"/>
    <w:rsid w:val="7A281851"/>
    <w:rsid w:val="7A550F13"/>
    <w:rsid w:val="7A773BB5"/>
    <w:rsid w:val="7AD20151"/>
    <w:rsid w:val="7B345817"/>
    <w:rsid w:val="7B5D3DBD"/>
    <w:rsid w:val="7B62786A"/>
    <w:rsid w:val="7BAD7F79"/>
    <w:rsid w:val="7BE82E7A"/>
    <w:rsid w:val="7C047330"/>
    <w:rsid w:val="7C1A0DC0"/>
    <w:rsid w:val="7C613B24"/>
    <w:rsid w:val="7C614B37"/>
    <w:rsid w:val="7C743857"/>
    <w:rsid w:val="7CE039CF"/>
    <w:rsid w:val="7D54267F"/>
    <w:rsid w:val="7D7C739E"/>
    <w:rsid w:val="7DBD5F66"/>
    <w:rsid w:val="7DC17EA6"/>
    <w:rsid w:val="7E0D5B2C"/>
    <w:rsid w:val="7E2115B9"/>
    <w:rsid w:val="7E7F66A4"/>
    <w:rsid w:val="7EA72D17"/>
    <w:rsid w:val="7EE04C7B"/>
    <w:rsid w:val="7F277A16"/>
    <w:rsid w:val="7F2F2002"/>
    <w:rsid w:val="7FE42AA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5"/>
    <w:qFormat/>
    <w:uiPriority w:val="0"/>
    <w:pPr>
      <w:ind w:firstLine="420"/>
    </w:pPr>
  </w:style>
  <w:style w:type="paragraph" w:customStyle="1" w:styleId="5">
    <w:name w:val="正文首行缩进 21"/>
    <w:basedOn w:val="3"/>
    <w:next w:val="1"/>
    <w:qFormat/>
    <w:uiPriority w:val="0"/>
    <w:pPr>
      <w:spacing w:afterLines="0"/>
      <w:ind w:left="420" w:firstLine="420" w:firstLineChars="200"/>
    </w:pPr>
    <w:rPr>
      <w:lang w:eastAsia="zh-CN" w:bidi="ar-SA"/>
    </w:rPr>
  </w:style>
  <w:style w:type="paragraph" w:styleId="6">
    <w:name w:val="annotation text"/>
    <w:basedOn w:val="1"/>
    <w:qFormat/>
    <w:uiPriority w:val="0"/>
    <w:pPr>
      <w:jc w:val="left"/>
    </w:pPr>
  </w:style>
  <w:style w:type="paragraph" w:styleId="7">
    <w:name w:val="Body Text"/>
    <w:basedOn w:val="1"/>
    <w:link w:val="20"/>
    <w:qFormat/>
    <w:uiPriority w:val="99"/>
    <w:pPr>
      <w:spacing w:after="120"/>
    </w:pPr>
    <w:rPr>
      <w:rFonts w:ascii="Calibri" w:hAnsi="Calibri"/>
      <w:szCs w:val="22"/>
    </w:rPr>
  </w:style>
  <w:style w:type="paragraph" w:styleId="8">
    <w:name w:val="Date"/>
    <w:basedOn w:val="1"/>
    <w:next w:val="1"/>
    <w:link w:val="21"/>
    <w:qFormat/>
    <w:uiPriority w:val="99"/>
    <w:pPr>
      <w:ind w:left="100" w:leftChars="2500"/>
    </w:pPr>
  </w:style>
  <w:style w:type="paragraph" w:styleId="9">
    <w:name w:val="footer"/>
    <w:basedOn w:val="1"/>
    <w:link w:val="22"/>
    <w:qFormat/>
    <w:uiPriority w:val="99"/>
    <w:pPr>
      <w:tabs>
        <w:tab w:val="center" w:pos="4153"/>
        <w:tab w:val="right" w:pos="8306"/>
      </w:tabs>
      <w:snapToGrid w:val="0"/>
      <w:jc w:val="left"/>
    </w:pPr>
    <w:rPr>
      <w:sz w:val="18"/>
    </w:rPr>
  </w:style>
  <w:style w:type="paragraph" w:styleId="10">
    <w:name w:val="header"/>
    <w:basedOn w:val="1"/>
    <w:link w:val="23"/>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7"/>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0">
    <w:name w:val="正文文本 Char"/>
    <w:basedOn w:val="14"/>
    <w:link w:val="7"/>
    <w:semiHidden/>
    <w:qFormat/>
    <w:uiPriority w:val="99"/>
    <w:rPr>
      <w:color w:val="000000"/>
      <w:kern w:val="0"/>
      <w:szCs w:val="20"/>
    </w:rPr>
  </w:style>
  <w:style w:type="character" w:customStyle="1" w:styleId="21">
    <w:name w:val="日期 Char"/>
    <w:basedOn w:val="14"/>
    <w:link w:val="8"/>
    <w:semiHidden/>
    <w:qFormat/>
    <w:uiPriority w:val="99"/>
    <w:rPr>
      <w:color w:val="000000"/>
      <w:kern w:val="0"/>
      <w:szCs w:val="20"/>
    </w:rPr>
  </w:style>
  <w:style w:type="character" w:customStyle="1" w:styleId="22">
    <w:name w:val="页脚 Char"/>
    <w:basedOn w:val="16"/>
    <w:link w:val="9"/>
    <w:qFormat/>
    <w:locked/>
    <w:uiPriority w:val="99"/>
    <w:rPr>
      <w:rFonts w:cs="Times New Roman"/>
      <w:color w:val="000000"/>
      <w:sz w:val="18"/>
    </w:rPr>
  </w:style>
  <w:style w:type="character" w:customStyle="1" w:styleId="23">
    <w:name w:val="页眉 Char"/>
    <w:basedOn w:val="16"/>
    <w:link w:val="10"/>
    <w:qFormat/>
    <w:locked/>
    <w:uiPriority w:val="99"/>
    <w:rPr>
      <w:rFonts w:cs="Times New Roman"/>
      <w:color w:val="000000"/>
      <w:sz w:val="18"/>
      <w:szCs w:val="18"/>
    </w:rPr>
  </w:style>
  <w:style w:type="paragraph" w:customStyle="1" w:styleId="24">
    <w:name w:val="BodyText"/>
    <w:basedOn w:val="1"/>
    <w:qFormat/>
    <w:uiPriority w:val="99"/>
    <w:pPr>
      <w:spacing w:after="120"/>
    </w:pPr>
    <w:rPr>
      <w:rFonts w:ascii="Calibri" w:hAnsi="Calibri"/>
      <w:szCs w:val="22"/>
    </w:rPr>
  </w:style>
  <w:style w:type="table" w:customStyle="1" w:styleId="25">
    <w:name w:val="TableNormal"/>
    <w:semiHidden/>
    <w:qFormat/>
    <w:uiPriority w:val="99"/>
    <w:tblPr>
      <w:tblCellMar>
        <w:top w:w="0" w:type="dxa"/>
        <w:left w:w="0" w:type="dxa"/>
        <w:bottom w:w="0" w:type="dxa"/>
        <w:right w:w="0" w:type="dxa"/>
      </w:tblCellMar>
    </w:tblPr>
  </w:style>
  <w:style w:type="character" w:customStyle="1" w:styleId="26">
    <w:name w:val="UserStyle_0"/>
    <w:basedOn w:val="16"/>
    <w:qFormat/>
    <w:uiPriority w:val="99"/>
    <w:rPr>
      <w:rFonts w:ascii="Times New Roman" w:eastAsia="宋体" w:cs="Times New Roman"/>
      <w:color w:val="0000FF"/>
      <w:sz w:val="21"/>
      <w:u w:val="single"/>
      <w:lang w:val="en-US" w:eastAsia="zh-CN"/>
    </w:rPr>
  </w:style>
  <w:style w:type="character" w:customStyle="1" w:styleId="27">
    <w:name w:val="AnnotationReference"/>
    <w:qFormat/>
    <w:uiPriority w:val="99"/>
    <w:rPr>
      <w:sz w:val="21"/>
    </w:rPr>
  </w:style>
  <w:style w:type="character" w:customStyle="1" w:styleId="28">
    <w:name w:val="UserStyle_2"/>
    <w:basedOn w:val="16"/>
    <w:qFormat/>
    <w:uiPriority w:val="99"/>
    <w:rPr>
      <w:rFonts w:ascii="Times New Roman" w:eastAsia="宋体" w:cs="Times New Roman"/>
      <w:color w:val="0000FF"/>
      <w:sz w:val="21"/>
      <w:u w:val="single"/>
      <w:lang w:val="en-US" w:eastAsia="zh-CN"/>
    </w:rPr>
  </w:style>
  <w:style w:type="character" w:customStyle="1" w:styleId="29">
    <w:name w:val="UserStyle_3"/>
    <w:semiHidden/>
    <w:qFormat/>
    <w:uiPriority w:val="99"/>
    <w:rPr>
      <w:rFonts w:ascii="Times New Roman" w:hAnsi="Times New Roman" w:eastAsia="宋体"/>
      <w:kern w:val="2"/>
      <w:sz w:val="21"/>
      <w:lang w:val="en-US" w:eastAsia="zh-CN"/>
    </w:rPr>
  </w:style>
  <w:style w:type="paragraph" w:customStyle="1" w:styleId="30">
    <w:name w:val="UserStyle_5"/>
    <w:basedOn w:val="1"/>
    <w:next w:val="31"/>
    <w:qFormat/>
    <w:uiPriority w:val="99"/>
    <w:pPr>
      <w:spacing w:before="566" w:after="544" w:line="566" w:lineRule="atLeast"/>
      <w:jc w:val="center"/>
    </w:pPr>
    <w:rPr>
      <w:rFonts w:ascii="Arial" w:eastAsia="黑体"/>
      <w:sz w:val="54"/>
    </w:rPr>
  </w:style>
  <w:style w:type="paragraph" w:customStyle="1" w:styleId="31">
    <w:name w:val="UserStyle_6"/>
    <w:basedOn w:val="1"/>
    <w:next w:val="32"/>
    <w:qFormat/>
    <w:uiPriority w:val="99"/>
    <w:pPr>
      <w:spacing w:before="187" w:after="175" w:line="374" w:lineRule="atLeast"/>
      <w:jc w:val="center"/>
    </w:pPr>
    <w:rPr>
      <w:sz w:val="36"/>
    </w:rPr>
  </w:style>
  <w:style w:type="paragraph" w:customStyle="1" w:styleId="32">
    <w:name w:val="UserStyle_16"/>
    <w:basedOn w:val="1"/>
    <w:next w:val="33"/>
    <w:qFormat/>
    <w:uiPriority w:val="99"/>
    <w:pPr>
      <w:spacing w:before="158" w:after="153" w:line="323" w:lineRule="atLeast"/>
      <w:jc w:val="center"/>
    </w:pPr>
    <w:rPr>
      <w:rFonts w:ascii="Arial" w:eastAsia="黑体"/>
      <w:sz w:val="31"/>
    </w:rPr>
  </w:style>
  <w:style w:type="paragraph" w:customStyle="1" w:styleId="33">
    <w:name w:val="UserStyle_10"/>
    <w:basedOn w:val="1"/>
    <w:next w:val="34"/>
    <w:qFormat/>
    <w:uiPriority w:val="99"/>
    <w:pPr>
      <w:spacing w:line="289" w:lineRule="atLeast"/>
      <w:jc w:val="center"/>
    </w:pPr>
    <w:rPr>
      <w:sz w:val="28"/>
    </w:rPr>
  </w:style>
  <w:style w:type="paragraph" w:customStyle="1" w:styleId="34">
    <w:name w:val="UserStyle_11"/>
    <w:basedOn w:val="1"/>
    <w:next w:val="1"/>
    <w:qFormat/>
    <w:uiPriority w:val="99"/>
    <w:pPr>
      <w:spacing w:before="175" w:after="102" w:line="351" w:lineRule="atLeast"/>
    </w:pPr>
    <w:rPr>
      <w:rFonts w:eastAsia="黑体"/>
    </w:rPr>
  </w:style>
  <w:style w:type="paragraph" w:customStyle="1" w:styleId="35">
    <w:name w:val="UserStyle_7"/>
    <w:basedOn w:val="1"/>
    <w:next w:val="1"/>
    <w:qFormat/>
    <w:uiPriority w:val="99"/>
    <w:pPr>
      <w:tabs>
        <w:tab w:val="left" w:leader="dot" w:pos="8503"/>
      </w:tabs>
      <w:spacing w:line="317" w:lineRule="atLeast"/>
      <w:ind w:firstLine="629"/>
    </w:pPr>
  </w:style>
  <w:style w:type="paragraph" w:customStyle="1" w:styleId="36">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7">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8">
    <w:name w:val="UserStyle_9"/>
    <w:basedOn w:val="1"/>
    <w:next w:val="1"/>
    <w:qFormat/>
    <w:uiPriority w:val="99"/>
    <w:pPr>
      <w:tabs>
        <w:tab w:val="left" w:leader="dot" w:pos="8503"/>
      </w:tabs>
      <w:spacing w:line="317" w:lineRule="atLeast"/>
      <w:ind w:firstLine="419"/>
    </w:pPr>
  </w:style>
  <w:style w:type="paragraph" w:customStyle="1" w:styleId="39">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0">
    <w:name w:val="UserStyle_13"/>
    <w:basedOn w:val="1"/>
    <w:qFormat/>
    <w:uiPriority w:val="99"/>
    <w:pPr>
      <w:spacing w:line="240" w:lineRule="auto"/>
      <w:textAlignment w:val="auto"/>
    </w:pPr>
    <w:rPr>
      <w:sz w:val="32"/>
      <w:szCs w:val="32"/>
    </w:rPr>
  </w:style>
  <w:style w:type="paragraph" w:customStyle="1" w:styleId="41">
    <w:name w:val="UserStyle_14"/>
    <w:basedOn w:val="1"/>
    <w:qFormat/>
    <w:uiPriority w:val="99"/>
    <w:pPr>
      <w:spacing w:line="600" w:lineRule="atLeast"/>
      <w:jc w:val="center"/>
      <w:textAlignment w:val="auto"/>
    </w:pPr>
    <w:rPr>
      <w:rFonts w:ascii="Arial" w:hAnsi="Arial"/>
      <w:sz w:val="24"/>
      <w:szCs w:val="24"/>
    </w:rPr>
  </w:style>
  <w:style w:type="paragraph" w:customStyle="1" w:styleId="42">
    <w:name w:val="UserStyle_15"/>
    <w:basedOn w:val="1"/>
    <w:next w:val="1"/>
    <w:qFormat/>
    <w:uiPriority w:val="99"/>
    <w:pPr>
      <w:tabs>
        <w:tab w:val="left" w:leader="dot" w:pos="8503"/>
      </w:tabs>
      <w:spacing w:line="317" w:lineRule="atLeast"/>
      <w:ind w:firstLine="209"/>
    </w:pPr>
  </w:style>
  <w:style w:type="paragraph" w:customStyle="1" w:styleId="43">
    <w:name w:val="UserStyle_17"/>
    <w:basedOn w:val="1"/>
    <w:qFormat/>
    <w:uiPriority w:val="99"/>
    <w:pPr>
      <w:spacing w:line="480" w:lineRule="exact"/>
      <w:ind w:firstLine="420" w:firstLineChars="200"/>
      <w:textAlignment w:val="auto"/>
    </w:pPr>
    <w:rPr>
      <w:kern w:val="2"/>
      <w:sz w:val="24"/>
      <w:szCs w:val="24"/>
    </w:rPr>
  </w:style>
  <w:style w:type="table" w:customStyle="1" w:styleId="44">
    <w:name w:val="TableGrid"/>
    <w:basedOn w:val="25"/>
    <w:qFormat/>
    <w:uiPriority w:val="99"/>
    <w:tblPr>
      <w:tblCellMar>
        <w:top w:w="0" w:type="dxa"/>
        <w:left w:w="0" w:type="dxa"/>
        <w:bottom w:w="0" w:type="dxa"/>
        <w:right w:w="0" w:type="dxa"/>
      </w:tblCellMar>
    </w:tblPr>
  </w:style>
  <w:style w:type="paragraph" w:customStyle="1" w:styleId="45">
    <w:name w:val="BodyTextIndent"/>
    <w:basedOn w:val="1"/>
    <w:qFormat/>
    <w:uiPriority w:val="99"/>
    <w:pPr>
      <w:spacing w:after="120"/>
      <w:ind w:left="420" w:leftChars="200"/>
    </w:pPr>
  </w:style>
  <w:style w:type="paragraph" w:customStyle="1" w:styleId="46">
    <w:name w:val="BodyText1I2"/>
    <w:basedOn w:val="45"/>
    <w:qFormat/>
    <w:uiPriority w:val="99"/>
    <w:pPr>
      <w:ind w:firstLine="420" w:firstLineChars="200"/>
    </w:pPr>
  </w:style>
  <w:style w:type="paragraph" w:customStyle="1" w:styleId="47">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8">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1270</Words>
  <Characters>1372</Characters>
  <Lines>10</Lines>
  <Paragraphs>3</Paragraphs>
  <TotalTime>11</TotalTime>
  <ScaleCrop>false</ScaleCrop>
  <LinksUpToDate>false</LinksUpToDate>
  <CharactersWithSpaces>1514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2023-08-03T08:48:18Z</cp:lastPrinted>
  <dcterms:modified xsi:type="dcterms:W3CDTF">2023-08-03T08:53:13Z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4B223CA2B5B24F0BBC3925F45DAE3489</vt:lpwstr>
  </property>
</Properties>
</file>