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4"/>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19</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jc w:val="center"/>
        <w:rPr>
          <w:rStyle w:val="16"/>
          <w:rFonts w:hint="eastAsia" w:ascii="宋体" w:hAnsi="宋体"/>
          <w:b/>
          <w:bCs w:val="0"/>
          <w:color w:val="auto"/>
          <w:sz w:val="44"/>
          <w:szCs w:val="44"/>
        </w:rPr>
      </w:pPr>
      <w:r>
        <w:rPr>
          <w:rStyle w:val="16"/>
          <w:rFonts w:hint="eastAsia" w:ascii="宋体" w:hAnsi="宋体"/>
          <w:b/>
          <w:bCs w:val="0"/>
          <w:color w:val="auto"/>
          <w:sz w:val="44"/>
          <w:szCs w:val="44"/>
        </w:rPr>
        <w:t>呼包鄂成品油管道鄂尔多斯末站与</w:t>
      </w:r>
    </w:p>
    <w:p>
      <w:pPr>
        <w:spacing w:line="600" w:lineRule="exact"/>
        <w:jc w:val="center"/>
        <w:rPr>
          <w:rStyle w:val="16"/>
          <w:rFonts w:hint="eastAsia" w:ascii="宋体" w:hAnsi="宋体"/>
          <w:b/>
          <w:bCs w:val="0"/>
          <w:color w:val="auto"/>
          <w:sz w:val="44"/>
          <w:szCs w:val="44"/>
          <w:lang w:eastAsia="zh-CN"/>
        </w:rPr>
      </w:pPr>
      <w:r>
        <w:rPr>
          <w:rStyle w:val="16"/>
          <w:rFonts w:hint="eastAsia" w:ascii="宋体" w:hAnsi="宋体"/>
          <w:b/>
          <w:bCs w:val="0"/>
          <w:color w:val="auto"/>
          <w:sz w:val="44"/>
          <w:szCs w:val="44"/>
        </w:rPr>
        <w:t>鄂尔多斯油库互联互通</w:t>
      </w:r>
      <w:r>
        <w:rPr>
          <w:rStyle w:val="16"/>
          <w:rFonts w:hint="eastAsia" w:ascii="宋体" w:hAnsi="宋体"/>
          <w:b/>
          <w:bCs w:val="0"/>
          <w:color w:val="auto"/>
          <w:sz w:val="44"/>
          <w:szCs w:val="44"/>
          <w:lang w:eastAsia="zh-CN"/>
        </w:rPr>
        <w:t>工程</w:t>
      </w:r>
      <w:r>
        <w:rPr>
          <w:rStyle w:val="16"/>
          <w:rFonts w:hint="eastAsia" w:ascii="宋体" w:hAnsi="宋体" w:eastAsia="宋体" w:cs="Times New Roman"/>
          <w:b/>
          <w:bCs w:val="0"/>
          <w:color w:val="auto"/>
          <w:sz w:val="44"/>
          <w:szCs w:val="44"/>
          <w:lang w:eastAsia="zh-CN"/>
        </w:rPr>
        <w:t>建设</w:t>
      </w:r>
    </w:p>
    <w:p>
      <w:pPr>
        <w:spacing w:line="600" w:lineRule="exact"/>
        <w:jc w:val="center"/>
        <w:rPr>
          <w:rStyle w:val="16"/>
          <w:rFonts w:hint="eastAsia" w:ascii="宋体" w:hAnsi="宋体" w:eastAsia="宋体" w:cs="宋体"/>
          <w:b/>
          <w:bCs w:val="0"/>
          <w:color w:val="auto"/>
          <w:sz w:val="44"/>
          <w:szCs w:val="44"/>
        </w:rPr>
      </w:pPr>
      <w:r>
        <w:rPr>
          <w:rStyle w:val="16"/>
          <w:rFonts w:hint="default" w:ascii="宋体" w:hAnsi="宋体" w:eastAsia="宋体" w:cs="Times New Roman"/>
          <w:b/>
          <w:bCs w:val="0"/>
          <w:color w:val="auto"/>
          <w:sz w:val="44"/>
          <w:szCs w:val="44"/>
          <w:lang w:eastAsia="zh-CN"/>
        </w:rPr>
        <w:t>项目</w:t>
      </w:r>
      <w:r>
        <w:rPr>
          <w:rStyle w:val="16"/>
          <w:rFonts w:hint="eastAsia" w:ascii="宋体" w:hAnsi="宋体" w:eastAsia="宋体" w:cs="宋体"/>
          <w:b/>
          <w:bCs w:val="0"/>
          <w:color w:val="auto"/>
          <w:sz w:val="44"/>
          <w:szCs w:val="44"/>
        </w:rPr>
        <w:t>环境影响报告表的批复</w:t>
      </w:r>
    </w:p>
    <w:p>
      <w:pPr>
        <w:spacing w:line="360" w:lineRule="auto"/>
        <w:textAlignment w:val="auto"/>
        <w:rPr>
          <w:rStyle w:val="16"/>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Style w:val="16"/>
          <w:rFonts w:hint="eastAsia" w:ascii="仿宋" w:hAnsi="仿宋" w:eastAsia="仿宋"/>
          <w:sz w:val="32"/>
          <w:szCs w:val="32"/>
          <w:lang w:val="en-US" w:eastAsia="zh-CN"/>
        </w:rPr>
      </w:pPr>
      <w:r>
        <w:rPr>
          <w:rStyle w:val="16"/>
          <w:rFonts w:hint="eastAsia" w:ascii="仿宋" w:hAnsi="仿宋" w:eastAsia="仿宋"/>
          <w:sz w:val="32"/>
          <w:szCs w:val="32"/>
        </w:rPr>
        <w:t>国家管网集团北方管道有限责任公司呼和浩特输油气分公司</w:t>
      </w:r>
      <w:r>
        <w:rPr>
          <w:rStyle w:val="16"/>
          <w:rFonts w:hint="eastAsia" w:ascii="仿宋" w:hAnsi="仿宋" w:eastAsia="仿宋"/>
          <w:sz w:val="32"/>
          <w:szCs w:val="32"/>
          <w:lang w:val="en-US"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报送的由青岛中油华东院安全环保有限公司</w:t>
      </w:r>
      <w:r>
        <w:rPr>
          <w:rStyle w:val="16"/>
          <w:rFonts w:hint="eastAsia" w:ascii="仿宋" w:hAnsi="仿宋" w:eastAsia="仿宋"/>
          <w:sz w:val="32"/>
          <w:szCs w:val="32"/>
          <w:lang w:val="en-US" w:eastAsia="zh-CN"/>
        </w:rPr>
        <w:t>编</w:t>
      </w:r>
      <w:r>
        <w:rPr>
          <w:rStyle w:val="16"/>
          <w:rFonts w:hint="eastAsia" w:ascii="仿宋" w:hAnsi="仿宋" w:eastAsia="仿宋"/>
          <w:sz w:val="32"/>
          <w:szCs w:val="32"/>
        </w:rPr>
        <w:t>制的《呼包鄂成品油管道鄂尔多斯末站与鄂尔多斯油库互联互通</w:t>
      </w:r>
      <w:r>
        <w:rPr>
          <w:rStyle w:val="16"/>
          <w:rFonts w:hint="eastAsia" w:ascii="仿宋" w:hAnsi="仿宋" w:eastAsia="仿宋"/>
          <w:sz w:val="32"/>
          <w:szCs w:val="32"/>
          <w:lang w:eastAsia="zh-CN"/>
        </w:rPr>
        <w:t>工程建设</w:t>
      </w:r>
      <w:r>
        <w:rPr>
          <w:rStyle w:val="16"/>
          <w:rFonts w:hint="default" w:ascii="仿宋" w:hAnsi="仿宋" w:eastAsia="仿宋"/>
          <w:sz w:val="32"/>
          <w:szCs w:val="32"/>
          <w:lang w:eastAsia="zh-CN"/>
        </w:rPr>
        <w:t>项目</w:t>
      </w:r>
      <w:r>
        <w:rPr>
          <w:rStyle w:val="16"/>
          <w:rFonts w:hint="eastAsia" w:ascii="仿宋" w:hAnsi="仿宋" w:eastAsia="仿宋"/>
          <w:sz w:val="32"/>
          <w:szCs w:val="32"/>
          <w:lang w:eastAsia="zh-CN"/>
        </w:rPr>
        <w:t>环境影响报</w:t>
      </w:r>
      <w:r>
        <w:rPr>
          <w:rStyle w:val="16"/>
          <w:rFonts w:hint="eastAsia" w:ascii="仿宋" w:hAnsi="仿宋" w:eastAsia="仿宋"/>
          <w:sz w:val="32"/>
          <w:szCs w:val="32"/>
        </w:rPr>
        <w:t>告表》（以下简称《报告表》）已收悉</w:t>
      </w:r>
      <w:r>
        <w:rPr>
          <w:rStyle w:val="16"/>
          <w:rFonts w:hint="eastAsia" w:ascii="仿宋" w:hAnsi="仿宋" w:eastAsia="仿宋"/>
          <w:sz w:val="32"/>
          <w:szCs w:val="32"/>
          <w:lang w:eastAsia="zh-CN"/>
        </w:rPr>
        <w:t>。</w:t>
      </w:r>
      <w:r>
        <w:rPr>
          <w:rStyle w:val="16"/>
          <w:rFonts w:hint="eastAsia" w:ascii="仿宋" w:hAnsi="仿宋" w:eastAsia="仿宋"/>
          <w:sz w:val="32"/>
          <w:szCs w:val="32"/>
        </w:rPr>
        <w:t>该项目属于</w:t>
      </w:r>
      <w:r>
        <w:rPr>
          <w:rStyle w:val="16"/>
          <w:rFonts w:hint="eastAsia" w:ascii="仿宋" w:hAnsi="仿宋" w:eastAsia="仿宋"/>
          <w:sz w:val="32"/>
          <w:szCs w:val="32"/>
          <w:lang w:eastAsia="zh-CN"/>
        </w:rPr>
        <w:t>技术</w:t>
      </w:r>
      <w:r>
        <w:rPr>
          <w:rStyle w:val="16"/>
          <w:rFonts w:hint="eastAsia" w:ascii="仿宋" w:hAnsi="仿宋" w:eastAsia="仿宋"/>
          <w:color w:val="auto"/>
          <w:sz w:val="32"/>
          <w:szCs w:val="32"/>
          <w:lang w:eastAsia="zh-CN"/>
        </w:rPr>
        <w:t>改造</w:t>
      </w:r>
      <w:r>
        <w:rPr>
          <w:rStyle w:val="16"/>
          <w:rFonts w:hint="eastAsia" w:ascii="仿宋" w:hAnsi="仿宋" w:eastAsia="仿宋"/>
          <w:color w:val="auto"/>
          <w:sz w:val="32"/>
          <w:szCs w:val="32"/>
        </w:rPr>
        <w:t>项目，位于东胜区罕台</w:t>
      </w:r>
      <w:r>
        <w:rPr>
          <w:rStyle w:val="16"/>
          <w:rFonts w:hint="eastAsia" w:ascii="仿宋" w:hAnsi="仿宋" w:eastAsia="仿宋"/>
          <w:color w:val="auto"/>
          <w:sz w:val="32"/>
          <w:szCs w:val="32"/>
          <w:lang w:eastAsia="zh-CN"/>
        </w:rPr>
        <w:t>镇</w:t>
      </w:r>
      <w:r>
        <w:rPr>
          <w:rStyle w:val="16"/>
          <w:rFonts w:hint="eastAsia" w:ascii="仿宋" w:hAnsi="仿宋" w:eastAsia="仿宋"/>
          <w:color w:val="auto"/>
          <w:sz w:val="32"/>
          <w:szCs w:val="32"/>
        </w:rPr>
        <w:t>查干村高家梁</w:t>
      </w:r>
      <w:r>
        <w:rPr>
          <w:rStyle w:val="16"/>
          <w:rFonts w:hint="eastAsia" w:ascii="仿宋" w:hAnsi="仿宋" w:eastAsia="仿宋"/>
          <w:color w:val="auto"/>
          <w:sz w:val="32"/>
          <w:szCs w:val="32"/>
          <w:lang w:val="en-US" w:eastAsia="zh-CN"/>
        </w:rPr>
        <w:t>。项目临时</w:t>
      </w:r>
      <w:r>
        <w:rPr>
          <w:rStyle w:val="16"/>
          <w:rFonts w:hint="eastAsia" w:ascii="仿宋" w:hAnsi="仿宋" w:eastAsia="仿宋"/>
          <w:color w:val="auto"/>
          <w:sz w:val="32"/>
          <w:szCs w:val="32"/>
          <w:lang w:eastAsia="zh-CN"/>
        </w:rPr>
        <w:t>占地面积</w:t>
      </w:r>
      <w:r>
        <w:rPr>
          <w:rStyle w:val="16"/>
          <w:rFonts w:hint="eastAsia" w:ascii="仿宋" w:hAnsi="仿宋" w:eastAsia="仿宋"/>
          <w:color w:val="auto"/>
          <w:sz w:val="32"/>
          <w:szCs w:val="32"/>
          <w:lang w:val="en-US" w:eastAsia="zh-CN"/>
        </w:rPr>
        <w:t>5000</w:t>
      </w:r>
      <w:r>
        <w:rPr>
          <w:rStyle w:val="16"/>
          <w:rFonts w:hint="eastAsia" w:ascii="仿宋" w:hAnsi="仿宋" w:eastAsia="仿宋"/>
          <w:color w:val="auto"/>
          <w:sz w:val="32"/>
          <w:szCs w:val="32"/>
          <w:lang w:eastAsia="zh-CN"/>
        </w:rPr>
        <w:t>平方米。</w:t>
      </w:r>
      <w:r>
        <w:rPr>
          <w:rStyle w:val="16"/>
          <w:rFonts w:hint="default" w:ascii="仿宋" w:hAnsi="仿宋" w:eastAsia="仿宋" w:cs="Times New Roman"/>
          <w:color w:val="auto"/>
          <w:sz w:val="32"/>
          <w:szCs w:val="32"/>
        </w:rPr>
        <w:t>总投</w:t>
      </w:r>
      <w:r>
        <w:rPr>
          <w:rStyle w:val="16"/>
          <w:rFonts w:hint="eastAsia" w:ascii="仿宋" w:hAnsi="仿宋" w:eastAsia="仿宋" w:cs="Times New Roman"/>
          <w:color w:val="auto"/>
          <w:sz w:val="32"/>
          <w:szCs w:val="32"/>
          <w:lang w:eastAsia="zh-CN"/>
        </w:rPr>
        <w:t>资</w:t>
      </w:r>
      <w:r>
        <w:rPr>
          <w:rStyle w:val="16"/>
          <w:rFonts w:hint="eastAsia" w:ascii="仿宋" w:hAnsi="仿宋" w:eastAsia="仿宋"/>
          <w:color w:val="auto"/>
          <w:sz w:val="32"/>
          <w:szCs w:val="32"/>
        </w:rPr>
        <w:t>879</w:t>
      </w:r>
      <w:r>
        <w:rPr>
          <w:rStyle w:val="16"/>
          <w:rFonts w:hint="eastAsia" w:ascii="仿宋" w:hAnsi="仿宋" w:eastAsia="仿宋"/>
          <w:color w:val="auto"/>
          <w:sz w:val="32"/>
          <w:szCs w:val="32"/>
          <w:lang w:val="en-US" w:eastAsia="zh-CN"/>
        </w:rPr>
        <w:t>万</w:t>
      </w:r>
      <w:r>
        <w:rPr>
          <w:rStyle w:val="16"/>
          <w:rFonts w:hint="default" w:ascii="仿宋" w:hAnsi="仿宋" w:eastAsia="仿宋"/>
          <w:color w:val="auto"/>
          <w:sz w:val="32"/>
          <w:szCs w:val="32"/>
          <w:lang w:eastAsia="zh-CN"/>
        </w:rPr>
        <w:t>元</w:t>
      </w:r>
      <w:r>
        <w:rPr>
          <w:rStyle w:val="16"/>
          <w:rFonts w:hint="default" w:ascii="仿宋" w:hAnsi="仿宋" w:eastAsia="仿宋"/>
          <w:color w:val="auto"/>
          <w:sz w:val="32"/>
          <w:szCs w:val="32"/>
        </w:rPr>
        <w:t>，</w:t>
      </w:r>
      <w:r>
        <w:rPr>
          <w:rStyle w:val="16"/>
          <w:rFonts w:hint="eastAsia" w:ascii="仿宋" w:hAnsi="仿宋" w:eastAsia="仿宋"/>
          <w:color w:val="auto"/>
          <w:sz w:val="32"/>
          <w:szCs w:val="32"/>
          <w:lang w:eastAsia="zh-CN"/>
        </w:rPr>
        <w:t>其中</w:t>
      </w:r>
      <w:r>
        <w:rPr>
          <w:rStyle w:val="16"/>
          <w:rFonts w:hint="default" w:ascii="仿宋" w:hAnsi="仿宋" w:eastAsia="仿宋"/>
          <w:color w:val="auto"/>
          <w:sz w:val="32"/>
          <w:szCs w:val="32"/>
        </w:rPr>
        <w:t>环保</w:t>
      </w:r>
      <w:r>
        <w:rPr>
          <w:rStyle w:val="16"/>
          <w:rFonts w:hint="default" w:ascii="仿宋" w:hAnsi="仿宋" w:eastAsia="仿宋" w:cs="Times New Roman"/>
          <w:color w:val="auto"/>
          <w:sz w:val="32"/>
          <w:szCs w:val="32"/>
          <w:lang w:eastAsia="zh-CN"/>
        </w:rPr>
        <w:t>投资</w:t>
      </w:r>
      <w:r>
        <w:rPr>
          <w:rStyle w:val="16"/>
          <w:rFonts w:hint="eastAsia" w:ascii="仿宋" w:hAnsi="仿宋" w:eastAsia="仿宋" w:cs="Times New Roman"/>
          <w:color w:val="auto"/>
          <w:sz w:val="32"/>
          <w:szCs w:val="32"/>
          <w:lang w:val="en-US" w:eastAsia="zh-CN"/>
        </w:rPr>
        <w:t>28万元</w:t>
      </w:r>
      <w:r>
        <w:rPr>
          <w:rStyle w:val="16"/>
          <w:rFonts w:hint="eastAsia" w:ascii="仿宋" w:hAnsi="仿宋" w:eastAsia="仿宋" w:cs="Times New Roman"/>
          <w:color w:val="auto"/>
          <w:sz w:val="32"/>
          <w:szCs w:val="32"/>
          <w:lang w:eastAsia="zh-CN"/>
        </w:rPr>
        <w:t>。主要建设内容</w:t>
      </w:r>
      <w:r>
        <w:rPr>
          <w:rStyle w:val="16"/>
          <w:rFonts w:hint="eastAsia" w:ascii="仿宋" w:hAnsi="仿宋" w:eastAsia="仿宋"/>
          <w:color w:val="auto"/>
          <w:sz w:val="32"/>
          <w:szCs w:val="32"/>
          <w:lang w:eastAsia="zh-CN"/>
        </w:rPr>
        <w:t>及规</w:t>
      </w:r>
      <w:bookmarkStart w:id="0" w:name="_GoBack"/>
      <w:bookmarkEnd w:id="0"/>
      <w:r>
        <w:rPr>
          <w:rStyle w:val="16"/>
          <w:rFonts w:hint="eastAsia" w:ascii="仿宋" w:hAnsi="仿宋" w:eastAsia="仿宋"/>
          <w:color w:val="auto"/>
          <w:sz w:val="32"/>
          <w:szCs w:val="32"/>
          <w:lang w:eastAsia="zh-CN"/>
        </w:rPr>
        <w:t>模：</w:t>
      </w:r>
      <w:r>
        <w:rPr>
          <w:rStyle w:val="16"/>
          <w:rFonts w:hint="eastAsia" w:ascii="仿宋" w:hAnsi="仿宋" w:eastAsia="仿宋"/>
          <w:color w:val="auto"/>
          <w:sz w:val="32"/>
          <w:szCs w:val="32"/>
        </w:rPr>
        <w:t>本工程在</w:t>
      </w:r>
      <w:r>
        <w:rPr>
          <w:rStyle w:val="16"/>
          <w:rFonts w:hint="eastAsia" w:ascii="仿宋" w:hAnsi="仿宋" w:eastAsia="仿宋"/>
          <w:color w:val="auto"/>
          <w:sz w:val="32"/>
          <w:szCs w:val="32"/>
          <w:lang w:val="ru-RU"/>
        </w:rPr>
        <w:t>鄂尔多斯末站</w:t>
      </w:r>
      <w:r>
        <w:rPr>
          <w:rStyle w:val="16"/>
          <w:rFonts w:hint="eastAsia" w:ascii="仿宋" w:hAnsi="仿宋" w:eastAsia="仿宋"/>
          <w:color w:val="auto"/>
          <w:sz w:val="32"/>
          <w:szCs w:val="32"/>
        </w:rPr>
        <w:t>工艺设备区柴油和汽油出站管线干线处设置动火点，</w:t>
      </w:r>
      <w:r>
        <w:rPr>
          <w:rStyle w:val="16"/>
          <w:rFonts w:hint="eastAsia" w:ascii="仿宋" w:hAnsi="仿宋" w:eastAsia="仿宋"/>
          <w:sz w:val="32"/>
          <w:szCs w:val="32"/>
        </w:rPr>
        <w:t>新建2条输油管道（柴油、汽油各一条）</w:t>
      </w:r>
      <w:r>
        <w:rPr>
          <w:rStyle w:val="16"/>
          <w:rFonts w:hint="eastAsia" w:ascii="仿宋" w:hAnsi="仿宋" w:eastAsia="仿宋"/>
          <w:sz w:val="32"/>
          <w:szCs w:val="32"/>
          <w:lang w:eastAsia="zh-CN"/>
        </w:rPr>
        <w:t>。</w:t>
      </w:r>
      <w:r>
        <w:rPr>
          <w:rStyle w:val="16"/>
          <w:rFonts w:hint="eastAsia" w:ascii="仿宋" w:hAnsi="仿宋" w:eastAsia="仿宋"/>
          <w:sz w:val="32"/>
          <w:szCs w:val="32"/>
        </w:rPr>
        <w:t>管道线路位于呼包鄂管道鄂尔多斯末站西侧，站内架空敷设，管道由鄂尔多斯末站西侧围墙出站，埋地敷设穿越站前道路，向北埋地敷设，到达铁路后埋地顶管穿越铁路，至中石化鄂尔多斯油库西侧外墙。管道路由全长约300m（双管管道长度总计约600米），设计管径D273.1mm，设计压力2MPa，设计输量15×10</w:t>
      </w:r>
      <w:r>
        <w:rPr>
          <w:rStyle w:val="16"/>
          <w:rFonts w:hint="eastAsia" w:ascii="仿宋" w:hAnsi="仿宋" w:eastAsia="仿宋"/>
          <w:sz w:val="32"/>
          <w:szCs w:val="32"/>
          <w:vertAlign w:val="superscript"/>
        </w:rPr>
        <w:t>4</w:t>
      </w:r>
      <w:r>
        <w:rPr>
          <w:rStyle w:val="16"/>
          <w:rFonts w:hint="eastAsia" w:ascii="仿宋" w:hAnsi="仿宋" w:eastAsia="仿宋"/>
          <w:sz w:val="32"/>
          <w:szCs w:val="32"/>
        </w:rPr>
        <w:t>t/a。本工程起点位于</w:t>
      </w:r>
      <w:r>
        <w:rPr>
          <w:rStyle w:val="16"/>
          <w:rFonts w:hint="eastAsia" w:ascii="仿宋" w:hAnsi="仿宋" w:eastAsia="仿宋"/>
          <w:sz w:val="32"/>
          <w:szCs w:val="32"/>
          <w:lang w:val="ru-RU"/>
        </w:rPr>
        <w:t>鄂尔多斯末站</w:t>
      </w:r>
      <w:r>
        <w:rPr>
          <w:rStyle w:val="16"/>
          <w:rFonts w:hint="eastAsia" w:ascii="仿宋" w:hAnsi="仿宋" w:eastAsia="仿宋"/>
          <w:sz w:val="32"/>
          <w:szCs w:val="32"/>
        </w:rPr>
        <w:t>工艺设备区柴油和汽油出站管线干线处，终点位于中石化鄂尔多斯油库西侧外墙。</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6"/>
          <w:rFonts w:ascii="仿宋" w:hAnsi="仿宋" w:eastAsia="仿宋"/>
          <w:sz w:val="32"/>
          <w:szCs w:val="32"/>
        </w:rPr>
        <w:t xml:space="preserve"> </w:t>
      </w:r>
      <w:r>
        <w:rPr>
          <w:rStyle w:val="16"/>
          <w:rFonts w:ascii="仿宋" w:hAnsi="仿宋" w:eastAsia="仿宋"/>
          <w:color w:val="auto"/>
          <w:sz w:val="32"/>
          <w:szCs w:val="32"/>
        </w:rPr>
        <w:t xml:space="preserve"> </w:t>
      </w:r>
    </w:p>
    <w:p>
      <w:pPr>
        <w:numPr>
          <w:ilvl w:val="0"/>
          <w:numId w:val="1"/>
        </w:numPr>
        <w:spacing w:line="360" w:lineRule="auto"/>
        <w:ind w:firstLine="640" w:firstLineChars="200"/>
        <w:textAlignment w:val="auto"/>
        <w:rPr>
          <w:rStyle w:val="16"/>
          <w:rFonts w:hint="eastAsia" w:ascii="仿宋" w:hAnsi="仿宋" w:eastAsia="仿宋"/>
          <w:sz w:val="32"/>
          <w:szCs w:val="32"/>
        </w:rPr>
      </w:pPr>
      <w:r>
        <w:rPr>
          <w:rStyle w:val="16"/>
          <w:rFonts w:hint="eastAsia" w:ascii="仿宋" w:hAnsi="仿宋" w:eastAsia="仿宋"/>
          <w:sz w:val="32"/>
          <w:szCs w:val="32"/>
        </w:rPr>
        <w:t>加强施工期环境管理，在土石方开挖过程中应严格按照设计要求施工，尽可能缩小施工活动范围，减少对植被和土壤的破坏</w:t>
      </w:r>
      <w:r>
        <w:rPr>
          <w:rStyle w:val="16"/>
          <w:rFonts w:hint="eastAsia" w:ascii="仿宋" w:hAnsi="仿宋" w:eastAsia="仿宋"/>
          <w:sz w:val="32"/>
          <w:szCs w:val="32"/>
          <w:lang w:eastAsia="zh-CN"/>
        </w:rPr>
        <w:t>。</w:t>
      </w:r>
      <w:r>
        <w:rPr>
          <w:rStyle w:val="16"/>
          <w:rFonts w:hint="eastAsia" w:ascii="仿宋" w:hAnsi="仿宋" w:eastAsia="仿宋"/>
          <w:sz w:val="32"/>
          <w:szCs w:val="32"/>
        </w:rPr>
        <w:t>施</w:t>
      </w:r>
      <w:r>
        <w:rPr>
          <w:rStyle w:val="16"/>
          <w:rFonts w:hint="eastAsia" w:ascii="仿宋" w:hAnsi="仿宋" w:eastAsia="仿宋"/>
          <w:sz w:val="32"/>
          <w:szCs w:val="32"/>
          <w:lang w:val="en-US" w:eastAsia="zh-CN"/>
        </w:rPr>
        <w:t>工时应</w:t>
      </w:r>
      <w:r>
        <w:rPr>
          <w:rStyle w:val="16"/>
          <w:rFonts w:hint="eastAsia" w:ascii="仿宋" w:hAnsi="仿宋" w:eastAsia="仿宋"/>
          <w:sz w:val="32"/>
          <w:szCs w:val="32"/>
        </w:rPr>
        <w:t>分层开挖、分层堆放和分层回填</w:t>
      </w:r>
      <w:r>
        <w:rPr>
          <w:rStyle w:val="16"/>
          <w:rFonts w:hint="eastAsia" w:ascii="仿宋" w:hAnsi="仿宋" w:eastAsia="仿宋"/>
          <w:sz w:val="32"/>
          <w:szCs w:val="32"/>
          <w:lang w:eastAsia="zh-CN"/>
        </w:rPr>
        <w:t>。</w:t>
      </w:r>
      <w:r>
        <w:rPr>
          <w:rStyle w:val="16"/>
          <w:rFonts w:hint="eastAsia" w:ascii="仿宋" w:hAnsi="仿宋" w:eastAsia="仿宋"/>
          <w:sz w:val="32"/>
          <w:szCs w:val="32"/>
        </w:rPr>
        <w:t>施工结束后，须尽快对施工营地和临时占地进行</w:t>
      </w:r>
      <w:r>
        <w:rPr>
          <w:rStyle w:val="16"/>
          <w:rFonts w:hint="eastAsia" w:ascii="仿宋" w:hAnsi="仿宋" w:eastAsia="仿宋"/>
          <w:sz w:val="32"/>
          <w:szCs w:val="32"/>
          <w:lang w:eastAsia="zh-CN"/>
        </w:rPr>
        <w:t>清理并</w:t>
      </w:r>
      <w:r>
        <w:rPr>
          <w:rStyle w:val="16"/>
          <w:rFonts w:hint="eastAsia" w:ascii="仿宋" w:hAnsi="仿宋" w:eastAsia="仿宋"/>
          <w:sz w:val="32"/>
          <w:szCs w:val="32"/>
        </w:rPr>
        <w:t>恢复植被。</w:t>
      </w:r>
    </w:p>
    <w:p>
      <w:pPr>
        <w:numPr>
          <w:ilvl w:val="0"/>
          <w:numId w:val="1"/>
        </w:numPr>
        <w:spacing w:line="360" w:lineRule="auto"/>
        <w:ind w:firstLine="640" w:firstLineChars="200"/>
        <w:textAlignment w:val="auto"/>
        <w:rPr>
          <w:rStyle w:val="16"/>
          <w:rFonts w:hint="eastAsia" w:ascii="仿宋" w:hAnsi="仿宋" w:eastAsia="仿宋" w:cs="Times New Roman"/>
          <w:sz w:val="32"/>
          <w:szCs w:val="32"/>
          <w:lang w:val="en-US" w:eastAsia="zh-CN"/>
        </w:rPr>
      </w:pPr>
      <w:r>
        <w:rPr>
          <w:rStyle w:val="16"/>
          <w:rFonts w:hint="eastAsia" w:ascii="仿宋" w:hAnsi="仿宋" w:eastAsia="仿宋"/>
          <w:sz w:val="32"/>
          <w:szCs w:val="32"/>
          <w:lang w:eastAsia="zh-CN"/>
        </w:rPr>
        <w:t>施工期</w:t>
      </w:r>
      <w:r>
        <w:rPr>
          <w:rStyle w:val="16"/>
          <w:rFonts w:hint="eastAsia" w:ascii="仿宋" w:hAnsi="仿宋" w:eastAsia="仿宋"/>
          <w:sz w:val="32"/>
          <w:szCs w:val="32"/>
        </w:rPr>
        <w:t>配备足够的洒水车、篷布等防尘设备，施工场地及表土临时堆放处，定期洒水抑尘</w:t>
      </w:r>
      <w:r>
        <w:rPr>
          <w:rStyle w:val="16"/>
          <w:rFonts w:hint="eastAsia" w:ascii="仿宋" w:hAnsi="仿宋" w:eastAsia="仿宋"/>
          <w:sz w:val="32"/>
          <w:szCs w:val="32"/>
          <w:lang w:eastAsia="zh-CN"/>
        </w:rPr>
        <w:t>；</w:t>
      </w:r>
      <w:r>
        <w:rPr>
          <w:rStyle w:val="16"/>
          <w:rFonts w:hint="eastAsia" w:ascii="仿宋" w:hAnsi="仿宋" w:eastAsia="仿宋"/>
          <w:sz w:val="32"/>
          <w:szCs w:val="32"/>
        </w:rPr>
        <w:t>对施工区进行围挡</w:t>
      </w:r>
      <w:r>
        <w:rPr>
          <w:rStyle w:val="16"/>
          <w:rFonts w:hint="eastAsia" w:ascii="仿宋" w:hAnsi="仿宋" w:eastAsia="仿宋"/>
          <w:sz w:val="32"/>
          <w:szCs w:val="32"/>
          <w:lang w:eastAsia="zh-CN"/>
        </w:rPr>
        <w:t>，</w:t>
      </w:r>
      <w:r>
        <w:rPr>
          <w:rStyle w:val="16"/>
          <w:rFonts w:hint="eastAsia" w:ascii="仿宋" w:hAnsi="仿宋" w:eastAsia="仿宋"/>
          <w:sz w:val="32"/>
          <w:szCs w:val="32"/>
        </w:rPr>
        <w:t>有效控制施工期产生的扬尘</w:t>
      </w:r>
      <w:r>
        <w:rPr>
          <w:rStyle w:val="16"/>
          <w:rFonts w:hint="eastAsia" w:ascii="仿宋" w:hAnsi="仿宋" w:eastAsia="仿宋"/>
          <w:sz w:val="32"/>
          <w:szCs w:val="32"/>
          <w:lang w:eastAsia="zh-CN"/>
        </w:rPr>
        <w:t>。</w:t>
      </w:r>
      <w:r>
        <w:rPr>
          <w:rStyle w:val="16"/>
          <w:rFonts w:hint="eastAsia" w:ascii="仿宋" w:hAnsi="仿宋" w:eastAsia="仿宋"/>
          <w:sz w:val="32"/>
          <w:szCs w:val="32"/>
        </w:rPr>
        <w:t>应避免大风天气进行土地开挖和回填作业，并随挖随填。施工期</w:t>
      </w:r>
      <w:r>
        <w:rPr>
          <w:rStyle w:val="16"/>
          <w:rFonts w:hint="eastAsia" w:ascii="仿宋" w:hAnsi="仿宋" w:eastAsia="仿宋"/>
          <w:sz w:val="32"/>
          <w:szCs w:val="32"/>
          <w:lang w:val="en-US" w:eastAsia="zh-CN"/>
        </w:rPr>
        <w:t>大气污染物</w:t>
      </w:r>
      <w:r>
        <w:rPr>
          <w:rStyle w:val="16"/>
          <w:rFonts w:hint="eastAsia" w:ascii="仿宋" w:hAnsi="仿宋" w:eastAsia="仿宋"/>
          <w:sz w:val="32"/>
          <w:szCs w:val="32"/>
        </w:rPr>
        <w:t>排放执行《大气污染物综合排放标准》（GB16297-1996）中表2无组织排放监控浓度限值</w:t>
      </w:r>
      <w:r>
        <w:rPr>
          <w:rStyle w:val="16"/>
          <w:rFonts w:hint="eastAsia" w:ascii="仿宋" w:hAnsi="仿宋" w:eastAsia="仿宋"/>
          <w:sz w:val="32"/>
          <w:szCs w:val="32"/>
          <w:lang w:eastAsia="zh-CN"/>
        </w:rPr>
        <w:t>。</w:t>
      </w:r>
    </w:p>
    <w:p>
      <w:pPr>
        <w:numPr>
          <w:ilvl w:val="0"/>
          <w:numId w:val="1"/>
        </w:numPr>
        <w:spacing w:line="360" w:lineRule="auto"/>
        <w:ind w:firstLine="640" w:firstLineChars="200"/>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施工期噪声执行《建筑施工场界环境噪声排放标准》（GB12523-2011）。</w:t>
      </w:r>
    </w:p>
    <w:p>
      <w:pPr>
        <w:numPr>
          <w:ilvl w:val="0"/>
          <w:numId w:val="1"/>
        </w:numPr>
        <w:spacing w:line="360" w:lineRule="auto"/>
        <w:ind w:firstLine="640" w:firstLineChars="200"/>
        <w:textAlignment w:val="auto"/>
        <w:rPr>
          <w:rStyle w:val="16"/>
          <w:rFonts w:hint="eastAsia" w:ascii="仿宋" w:hAnsi="仿宋" w:eastAsia="仿宋"/>
          <w:color w:val="auto"/>
          <w:sz w:val="32"/>
          <w:szCs w:val="32"/>
          <w:highlight w:val="none"/>
        </w:rPr>
      </w:pPr>
      <w:r>
        <w:rPr>
          <w:rStyle w:val="16"/>
          <w:rFonts w:hint="eastAsia" w:ascii="仿宋" w:hAnsi="仿宋" w:eastAsia="仿宋" w:cs="Times New Roman"/>
          <w:sz w:val="32"/>
          <w:szCs w:val="32"/>
          <w:highlight w:val="none"/>
          <w:lang w:val="en-US" w:eastAsia="zh-CN"/>
        </w:rPr>
        <w:t>施工期管道试压废水经沉淀处理后用于作业带洒水抑尘。</w:t>
      </w:r>
    </w:p>
    <w:p>
      <w:pPr>
        <w:numPr>
          <w:ilvl w:val="0"/>
          <w:numId w:val="1"/>
        </w:numPr>
        <w:spacing w:line="360" w:lineRule="auto"/>
        <w:ind w:firstLine="640" w:firstLineChars="200"/>
        <w:textAlignment w:val="auto"/>
        <w:rPr>
          <w:rStyle w:val="16"/>
          <w:rFonts w:hint="eastAsia" w:ascii="仿宋" w:hAnsi="仿宋" w:eastAsia="仿宋" w:cs="Times New Roman"/>
          <w:sz w:val="32"/>
          <w:szCs w:val="32"/>
          <w:highlight w:val="none"/>
          <w:lang w:val="en-US" w:eastAsia="zh-CN"/>
        </w:rPr>
      </w:pPr>
      <w:r>
        <w:rPr>
          <w:rStyle w:val="16"/>
          <w:rFonts w:hint="eastAsia" w:ascii="仿宋" w:hAnsi="仿宋" w:eastAsia="仿宋" w:cs="Times New Roman"/>
          <w:sz w:val="32"/>
          <w:szCs w:val="32"/>
          <w:highlight w:val="none"/>
          <w:lang w:val="en-US" w:eastAsia="zh-CN"/>
        </w:rPr>
        <w:t>运营期</w:t>
      </w:r>
      <w:r>
        <w:rPr>
          <w:rStyle w:val="16"/>
          <w:rFonts w:hint="eastAsia" w:ascii="仿宋" w:hAnsi="仿宋" w:eastAsia="仿宋"/>
          <w:color w:val="auto"/>
          <w:sz w:val="32"/>
          <w:szCs w:val="32"/>
          <w:highlight w:val="none"/>
        </w:rPr>
        <w:t>厂界噪声执行《工业企业厂界环境噪声排放</w:t>
      </w:r>
      <w:r>
        <w:rPr>
          <w:rStyle w:val="16"/>
          <w:rFonts w:hint="eastAsia" w:ascii="仿宋" w:hAnsi="仿宋" w:eastAsia="仿宋"/>
          <w:color w:val="auto"/>
          <w:sz w:val="32"/>
          <w:szCs w:val="32"/>
          <w:highlight w:val="none"/>
          <w:lang w:val="en-US" w:eastAsia="zh-CN"/>
        </w:rPr>
        <w:t>标</w:t>
      </w:r>
      <w:r>
        <w:rPr>
          <w:rStyle w:val="16"/>
          <w:rFonts w:hint="eastAsia" w:ascii="仿宋" w:hAnsi="仿宋" w:eastAsia="仿宋"/>
          <w:color w:val="auto"/>
          <w:sz w:val="32"/>
          <w:szCs w:val="32"/>
          <w:highlight w:val="none"/>
        </w:rPr>
        <w:t>准》（GB12348-2008）中</w:t>
      </w:r>
      <w:r>
        <w:rPr>
          <w:rStyle w:val="16"/>
          <w:rFonts w:hint="eastAsia" w:ascii="仿宋" w:hAnsi="仿宋" w:eastAsia="仿宋"/>
          <w:color w:val="auto"/>
          <w:sz w:val="32"/>
          <w:szCs w:val="32"/>
          <w:highlight w:val="none"/>
          <w:lang w:val="en-US" w:eastAsia="zh-CN"/>
        </w:rPr>
        <w:t>3</w:t>
      </w:r>
      <w:r>
        <w:rPr>
          <w:rStyle w:val="16"/>
          <w:rFonts w:hint="eastAsia" w:ascii="仿宋" w:hAnsi="仿宋" w:eastAsia="仿宋"/>
          <w:color w:val="auto"/>
          <w:sz w:val="32"/>
          <w:szCs w:val="32"/>
          <w:highlight w:val="none"/>
        </w:rPr>
        <w:t>类标准。</w:t>
      </w:r>
    </w:p>
    <w:p>
      <w:pPr>
        <w:numPr>
          <w:ilvl w:val="0"/>
          <w:numId w:val="1"/>
        </w:numPr>
        <w:spacing w:line="360" w:lineRule="auto"/>
        <w:ind w:firstLine="640" w:firstLineChars="200"/>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妥善处置各类固体废弃物。建设单位须严格按照《一般工业固体废物贮存和填埋污染控制标准》（GB18599-2020）处置一般固废，不得乱弃。</w:t>
      </w:r>
    </w:p>
    <w:p>
      <w:pPr>
        <w:numPr>
          <w:ilvl w:val="0"/>
          <w:numId w:val="1"/>
        </w:numPr>
        <w:spacing w:line="360" w:lineRule="auto"/>
        <w:ind w:firstLine="640" w:firstLineChars="200"/>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强化环境风险防范，制定突发环境事件应急预案，落实环境风险事故防范措施，提高事故风险防范和污染控制能力。</w:t>
      </w:r>
    </w:p>
    <w:p>
      <w:pPr>
        <w:numPr>
          <w:ilvl w:val="0"/>
          <w:numId w:val="1"/>
        </w:numPr>
        <w:spacing w:line="360" w:lineRule="auto"/>
        <w:ind w:firstLine="640" w:firstLineChars="200"/>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你单位应委托有相应资质的设计单位对建设项目重点环保设施进行设计，并在项目施工及运行过程中严格落实环保设施安全生产工作要求。</w:t>
      </w:r>
    </w:p>
    <w:p>
      <w:pPr>
        <w:numPr>
          <w:ilvl w:val="0"/>
          <w:numId w:val="1"/>
        </w:numPr>
        <w:spacing w:line="360" w:lineRule="auto"/>
        <w:ind w:firstLine="640" w:firstLineChars="200"/>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你单位在该项目环保申报过程中如有瞒报、假报情形，则是严重的违法行为，须承担因此产生的一切后果。</w:t>
      </w:r>
    </w:p>
    <w:p>
      <w:pPr>
        <w:numPr>
          <w:ilvl w:val="0"/>
          <w:numId w:val="1"/>
        </w:numPr>
        <w:spacing w:line="360" w:lineRule="auto"/>
        <w:ind w:firstLine="640" w:firstLineChars="200"/>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项目建设必须严格执行环境保护“三同时”制度。项目竣工后，须按照规定程序实施竣工环境保护验收。</w:t>
      </w:r>
    </w:p>
    <w:p>
      <w:pPr>
        <w:numPr>
          <w:ilvl w:val="0"/>
          <w:numId w:val="1"/>
        </w:numPr>
        <w:spacing w:line="360" w:lineRule="auto"/>
        <w:ind w:firstLine="640" w:firstLineChars="200"/>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 xml:space="preserve">你单位应在收到本批复20日内，将《报告表》（报批版）及批复文件送至鄂尔多斯市生态环境综合行政执法支队东胜区大队，由鄂尔多斯市生态环境综合行政执法支队东胜区大队负责该项目的事中事后监管。                                                                                               </w:t>
      </w:r>
    </w:p>
    <w:p>
      <w:pPr>
        <w:numPr>
          <w:ilvl w:val="0"/>
          <w:numId w:val="1"/>
        </w:numPr>
        <w:spacing w:line="360" w:lineRule="auto"/>
        <w:ind w:firstLine="640" w:firstLineChars="200"/>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该项目从批准之日起超过5年方决定开工建设，其环评文件应重新审核。如果建设地点、规模、防治污染和防止生态破坏的措施等发生重大变化时，需重新报批环评文件。</w:t>
      </w:r>
    </w:p>
    <w:p/>
    <w:p>
      <w:pPr>
        <w:pStyle w:val="2"/>
      </w:pPr>
    </w:p>
    <w:p/>
    <w:p>
      <w:pPr>
        <w:pStyle w:val="2"/>
      </w:pPr>
    </w:p>
    <w:p>
      <w:pPr>
        <w:pStyle w:val="2"/>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5</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16</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3</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5</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16</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B1E33C"/>
    <w:multiLevelType w:val="singleLevel"/>
    <w:tmpl w:val="5EB1E33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3ZTcxMzhiOTNkMDgyYjIxMjEyODQ5ZDVhMzNlNjcifQ=="/>
  </w:docVars>
  <w:rsids>
    <w:rsidRoot w:val="006F5E64"/>
    <w:rsid w:val="000961CD"/>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6843FC"/>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9F51EA"/>
    <w:rsid w:val="04F715EE"/>
    <w:rsid w:val="04F72C71"/>
    <w:rsid w:val="05337BE9"/>
    <w:rsid w:val="059A4722"/>
    <w:rsid w:val="05A54A82"/>
    <w:rsid w:val="05D94866"/>
    <w:rsid w:val="060A1C1B"/>
    <w:rsid w:val="06191689"/>
    <w:rsid w:val="06CA02D1"/>
    <w:rsid w:val="06CC5F39"/>
    <w:rsid w:val="06E35A8B"/>
    <w:rsid w:val="06F42603"/>
    <w:rsid w:val="06F55023"/>
    <w:rsid w:val="071479B9"/>
    <w:rsid w:val="075C516B"/>
    <w:rsid w:val="075E259A"/>
    <w:rsid w:val="075F5B44"/>
    <w:rsid w:val="07E24DC5"/>
    <w:rsid w:val="08660559"/>
    <w:rsid w:val="088554D8"/>
    <w:rsid w:val="08A1120A"/>
    <w:rsid w:val="08AD4A87"/>
    <w:rsid w:val="08B51389"/>
    <w:rsid w:val="08CE2C2B"/>
    <w:rsid w:val="08EA5D86"/>
    <w:rsid w:val="08FE4C90"/>
    <w:rsid w:val="090362EF"/>
    <w:rsid w:val="090640FC"/>
    <w:rsid w:val="090866C9"/>
    <w:rsid w:val="097134F8"/>
    <w:rsid w:val="098F5074"/>
    <w:rsid w:val="09B06929"/>
    <w:rsid w:val="0A3D33B0"/>
    <w:rsid w:val="0A5D0D80"/>
    <w:rsid w:val="0A667AEF"/>
    <w:rsid w:val="0A6D53BD"/>
    <w:rsid w:val="0A9A115F"/>
    <w:rsid w:val="0AA477AD"/>
    <w:rsid w:val="0B6446A4"/>
    <w:rsid w:val="0BA55642"/>
    <w:rsid w:val="0BD72E57"/>
    <w:rsid w:val="0BDE1694"/>
    <w:rsid w:val="0C2B3A73"/>
    <w:rsid w:val="0C301322"/>
    <w:rsid w:val="0C5555BE"/>
    <w:rsid w:val="0CAF1FCC"/>
    <w:rsid w:val="0CC65836"/>
    <w:rsid w:val="0CFC12E8"/>
    <w:rsid w:val="0D693F98"/>
    <w:rsid w:val="0D830185"/>
    <w:rsid w:val="0E2F5220"/>
    <w:rsid w:val="0E364873"/>
    <w:rsid w:val="0E385A18"/>
    <w:rsid w:val="0E570138"/>
    <w:rsid w:val="0E9A33FF"/>
    <w:rsid w:val="0EB72A51"/>
    <w:rsid w:val="0EC36AE6"/>
    <w:rsid w:val="0EF75580"/>
    <w:rsid w:val="0F1B51C5"/>
    <w:rsid w:val="0F7E2F3B"/>
    <w:rsid w:val="0F8B77A7"/>
    <w:rsid w:val="0FB279DE"/>
    <w:rsid w:val="0FD03B40"/>
    <w:rsid w:val="0FE8736A"/>
    <w:rsid w:val="101C23A5"/>
    <w:rsid w:val="103352A9"/>
    <w:rsid w:val="10376624"/>
    <w:rsid w:val="10395A2B"/>
    <w:rsid w:val="103E0BFC"/>
    <w:rsid w:val="107347CB"/>
    <w:rsid w:val="10830D1C"/>
    <w:rsid w:val="10B61351"/>
    <w:rsid w:val="10C26E79"/>
    <w:rsid w:val="10C7603A"/>
    <w:rsid w:val="10C86C16"/>
    <w:rsid w:val="11131BAC"/>
    <w:rsid w:val="11356D45"/>
    <w:rsid w:val="11534193"/>
    <w:rsid w:val="11611336"/>
    <w:rsid w:val="116C0377"/>
    <w:rsid w:val="11CD325E"/>
    <w:rsid w:val="11D2180D"/>
    <w:rsid w:val="12EA255A"/>
    <w:rsid w:val="13283777"/>
    <w:rsid w:val="13464D5E"/>
    <w:rsid w:val="1398649C"/>
    <w:rsid w:val="139A0B1F"/>
    <w:rsid w:val="13BE21AB"/>
    <w:rsid w:val="13C532EF"/>
    <w:rsid w:val="144C07C7"/>
    <w:rsid w:val="14A81E98"/>
    <w:rsid w:val="15513EF0"/>
    <w:rsid w:val="1562595D"/>
    <w:rsid w:val="15652C35"/>
    <w:rsid w:val="156D1455"/>
    <w:rsid w:val="15E91737"/>
    <w:rsid w:val="16015C16"/>
    <w:rsid w:val="16041455"/>
    <w:rsid w:val="16895CFA"/>
    <w:rsid w:val="168C74C9"/>
    <w:rsid w:val="169F094B"/>
    <w:rsid w:val="16FF6904"/>
    <w:rsid w:val="171F5F2F"/>
    <w:rsid w:val="1732013F"/>
    <w:rsid w:val="1747459A"/>
    <w:rsid w:val="178F5508"/>
    <w:rsid w:val="17D90483"/>
    <w:rsid w:val="17E15C23"/>
    <w:rsid w:val="18161068"/>
    <w:rsid w:val="181C5F12"/>
    <w:rsid w:val="18207E93"/>
    <w:rsid w:val="18A37FC9"/>
    <w:rsid w:val="18AE27A5"/>
    <w:rsid w:val="18CC5434"/>
    <w:rsid w:val="18E54146"/>
    <w:rsid w:val="19473B43"/>
    <w:rsid w:val="198861C3"/>
    <w:rsid w:val="19AC1F9C"/>
    <w:rsid w:val="19AF63CD"/>
    <w:rsid w:val="19C05ED6"/>
    <w:rsid w:val="19C87CE6"/>
    <w:rsid w:val="19EA6791"/>
    <w:rsid w:val="19F825D9"/>
    <w:rsid w:val="1A437161"/>
    <w:rsid w:val="1A6C6995"/>
    <w:rsid w:val="1A805ECF"/>
    <w:rsid w:val="1AB31597"/>
    <w:rsid w:val="1AFA27E4"/>
    <w:rsid w:val="1BBA357C"/>
    <w:rsid w:val="1BBC5800"/>
    <w:rsid w:val="1BD34CDC"/>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7821C2"/>
    <w:rsid w:val="1F9A03FC"/>
    <w:rsid w:val="1F9F4FD0"/>
    <w:rsid w:val="1FB13B43"/>
    <w:rsid w:val="1FFD3A90"/>
    <w:rsid w:val="203E5C2F"/>
    <w:rsid w:val="20723F75"/>
    <w:rsid w:val="208B0C0A"/>
    <w:rsid w:val="209F2E8C"/>
    <w:rsid w:val="20C94FCD"/>
    <w:rsid w:val="20CF0133"/>
    <w:rsid w:val="21500F9E"/>
    <w:rsid w:val="217D77E0"/>
    <w:rsid w:val="219B3761"/>
    <w:rsid w:val="21EF70BE"/>
    <w:rsid w:val="220E66BC"/>
    <w:rsid w:val="2265588B"/>
    <w:rsid w:val="228C2292"/>
    <w:rsid w:val="23541649"/>
    <w:rsid w:val="235E3785"/>
    <w:rsid w:val="23921405"/>
    <w:rsid w:val="23C9100A"/>
    <w:rsid w:val="23CD5478"/>
    <w:rsid w:val="24421E65"/>
    <w:rsid w:val="244E20AF"/>
    <w:rsid w:val="24855506"/>
    <w:rsid w:val="24C456C6"/>
    <w:rsid w:val="24CB5BE2"/>
    <w:rsid w:val="24F868A6"/>
    <w:rsid w:val="25125EFC"/>
    <w:rsid w:val="25366867"/>
    <w:rsid w:val="2537664C"/>
    <w:rsid w:val="253C64B1"/>
    <w:rsid w:val="25733248"/>
    <w:rsid w:val="25AA1BAB"/>
    <w:rsid w:val="25AF47C5"/>
    <w:rsid w:val="25C66622"/>
    <w:rsid w:val="25D60BC4"/>
    <w:rsid w:val="25D873ED"/>
    <w:rsid w:val="25F75335"/>
    <w:rsid w:val="260007C3"/>
    <w:rsid w:val="261325BB"/>
    <w:rsid w:val="267000E4"/>
    <w:rsid w:val="269E1BDF"/>
    <w:rsid w:val="26C86AE1"/>
    <w:rsid w:val="27063174"/>
    <w:rsid w:val="2745621A"/>
    <w:rsid w:val="274B306C"/>
    <w:rsid w:val="27D05ACD"/>
    <w:rsid w:val="28150F91"/>
    <w:rsid w:val="288E0726"/>
    <w:rsid w:val="289A0EE5"/>
    <w:rsid w:val="28A2177B"/>
    <w:rsid w:val="28DA25CC"/>
    <w:rsid w:val="2956242B"/>
    <w:rsid w:val="29625978"/>
    <w:rsid w:val="29BE7B24"/>
    <w:rsid w:val="29EC1002"/>
    <w:rsid w:val="2A173A82"/>
    <w:rsid w:val="2A27019D"/>
    <w:rsid w:val="2A4A7282"/>
    <w:rsid w:val="2A510485"/>
    <w:rsid w:val="2A77431C"/>
    <w:rsid w:val="2AB8571B"/>
    <w:rsid w:val="2ABD6442"/>
    <w:rsid w:val="2ACD268E"/>
    <w:rsid w:val="2AF53CB3"/>
    <w:rsid w:val="2B496FAB"/>
    <w:rsid w:val="2B5F7DC4"/>
    <w:rsid w:val="2BD26C46"/>
    <w:rsid w:val="2BDE5B5E"/>
    <w:rsid w:val="2C3F708C"/>
    <w:rsid w:val="2C871D94"/>
    <w:rsid w:val="2CAE4D3A"/>
    <w:rsid w:val="2CE7407F"/>
    <w:rsid w:val="2CFB6C68"/>
    <w:rsid w:val="2D5C4C74"/>
    <w:rsid w:val="2D5F771D"/>
    <w:rsid w:val="2E1A5EC1"/>
    <w:rsid w:val="2E653EAF"/>
    <w:rsid w:val="2E6B1F05"/>
    <w:rsid w:val="2E78505A"/>
    <w:rsid w:val="2EA85B70"/>
    <w:rsid w:val="2EB60EB6"/>
    <w:rsid w:val="2EF21325"/>
    <w:rsid w:val="2EFA10EB"/>
    <w:rsid w:val="2F1876BA"/>
    <w:rsid w:val="2F837265"/>
    <w:rsid w:val="2F8C2E25"/>
    <w:rsid w:val="2F8E3C27"/>
    <w:rsid w:val="2FC328DF"/>
    <w:rsid w:val="2FE05822"/>
    <w:rsid w:val="2FEA3599"/>
    <w:rsid w:val="301223CD"/>
    <w:rsid w:val="30134659"/>
    <w:rsid w:val="30276045"/>
    <w:rsid w:val="30552879"/>
    <w:rsid w:val="3071536E"/>
    <w:rsid w:val="30CD0F38"/>
    <w:rsid w:val="30E12605"/>
    <w:rsid w:val="312C0E37"/>
    <w:rsid w:val="31451F91"/>
    <w:rsid w:val="3166710B"/>
    <w:rsid w:val="31B97443"/>
    <w:rsid w:val="31E74361"/>
    <w:rsid w:val="322F75E5"/>
    <w:rsid w:val="3239017C"/>
    <w:rsid w:val="3239406E"/>
    <w:rsid w:val="3245462B"/>
    <w:rsid w:val="32862408"/>
    <w:rsid w:val="32A41A78"/>
    <w:rsid w:val="33086177"/>
    <w:rsid w:val="332A6495"/>
    <w:rsid w:val="333016EF"/>
    <w:rsid w:val="33314FCC"/>
    <w:rsid w:val="334F543C"/>
    <w:rsid w:val="336710F2"/>
    <w:rsid w:val="336D70A5"/>
    <w:rsid w:val="33A76983"/>
    <w:rsid w:val="33CD0AF4"/>
    <w:rsid w:val="343D6FC0"/>
    <w:rsid w:val="34445631"/>
    <w:rsid w:val="34525876"/>
    <w:rsid w:val="34565015"/>
    <w:rsid w:val="346C54C4"/>
    <w:rsid w:val="34A6189E"/>
    <w:rsid w:val="34EB7E53"/>
    <w:rsid w:val="3587701E"/>
    <w:rsid w:val="361479B3"/>
    <w:rsid w:val="362A341F"/>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45787B"/>
    <w:rsid w:val="389B5401"/>
    <w:rsid w:val="38B32843"/>
    <w:rsid w:val="39625ABB"/>
    <w:rsid w:val="39750C1A"/>
    <w:rsid w:val="39815D3F"/>
    <w:rsid w:val="39C97754"/>
    <w:rsid w:val="39CB16C6"/>
    <w:rsid w:val="39CE6D77"/>
    <w:rsid w:val="39CF3432"/>
    <w:rsid w:val="39FC040D"/>
    <w:rsid w:val="3A102EB3"/>
    <w:rsid w:val="3A1559AB"/>
    <w:rsid w:val="3A1716A8"/>
    <w:rsid w:val="3A2C25BF"/>
    <w:rsid w:val="3A4100A2"/>
    <w:rsid w:val="3A420ECD"/>
    <w:rsid w:val="3A6F5040"/>
    <w:rsid w:val="3AE8179B"/>
    <w:rsid w:val="3AEA62F0"/>
    <w:rsid w:val="3B0116D7"/>
    <w:rsid w:val="3B077C43"/>
    <w:rsid w:val="3B164E12"/>
    <w:rsid w:val="3B433FA0"/>
    <w:rsid w:val="3B6B24A9"/>
    <w:rsid w:val="3B8024AE"/>
    <w:rsid w:val="3BC10954"/>
    <w:rsid w:val="3BCA2CB8"/>
    <w:rsid w:val="3C201861"/>
    <w:rsid w:val="3C351081"/>
    <w:rsid w:val="3C4F7E8A"/>
    <w:rsid w:val="3C545991"/>
    <w:rsid w:val="3C795E81"/>
    <w:rsid w:val="3C9C06C9"/>
    <w:rsid w:val="3CF212C3"/>
    <w:rsid w:val="3D0F5AAD"/>
    <w:rsid w:val="3D4E0D02"/>
    <w:rsid w:val="3D615C4A"/>
    <w:rsid w:val="3D9D29AC"/>
    <w:rsid w:val="3DD06792"/>
    <w:rsid w:val="3E6216DB"/>
    <w:rsid w:val="3E6D2368"/>
    <w:rsid w:val="3E8C50F6"/>
    <w:rsid w:val="3E9E6EFC"/>
    <w:rsid w:val="3EA147B7"/>
    <w:rsid w:val="3EAA1A98"/>
    <w:rsid w:val="3ED64314"/>
    <w:rsid w:val="3EDA3818"/>
    <w:rsid w:val="3EEF2E69"/>
    <w:rsid w:val="3F267EF6"/>
    <w:rsid w:val="3F544D41"/>
    <w:rsid w:val="3F7635AF"/>
    <w:rsid w:val="3FEA64CB"/>
    <w:rsid w:val="3FF57D0C"/>
    <w:rsid w:val="3FFB782D"/>
    <w:rsid w:val="401A75E2"/>
    <w:rsid w:val="40333ECA"/>
    <w:rsid w:val="40A601F0"/>
    <w:rsid w:val="40B345F0"/>
    <w:rsid w:val="40BF08B4"/>
    <w:rsid w:val="41180E09"/>
    <w:rsid w:val="411D0018"/>
    <w:rsid w:val="413328ED"/>
    <w:rsid w:val="41392B4A"/>
    <w:rsid w:val="413F1DCA"/>
    <w:rsid w:val="41C31E09"/>
    <w:rsid w:val="41D47B54"/>
    <w:rsid w:val="42096DA4"/>
    <w:rsid w:val="42427E61"/>
    <w:rsid w:val="42571ED3"/>
    <w:rsid w:val="42A12AD7"/>
    <w:rsid w:val="42B31FAB"/>
    <w:rsid w:val="42C15BDB"/>
    <w:rsid w:val="431B4412"/>
    <w:rsid w:val="4331043E"/>
    <w:rsid w:val="4331172A"/>
    <w:rsid w:val="433E53DA"/>
    <w:rsid w:val="439E58A0"/>
    <w:rsid w:val="43B14016"/>
    <w:rsid w:val="43B31C0B"/>
    <w:rsid w:val="43DA60A1"/>
    <w:rsid w:val="43E35A87"/>
    <w:rsid w:val="43EC55F4"/>
    <w:rsid w:val="441443A8"/>
    <w:rsid w:val="44316F05"/>
    <w:rsid w:val="4477148F"/>
    <w:rsid w:val="44947B97"/>
    <w:rsid w:val="44A75A3C"/>
    <w:rsid w:val="44B519AF"/>
    <w:rsid w:val="44CB3801"/>
    <w:rsid w:val="4502587E"/>
    <w:rsid w:val="458429FA"/>
    <w:rsid w:val="46150F00"/>
    <w:rsid w:val="463C0677"/>
    <w:rsid w:val="46773189"/>
    <w:rsid w:val="467C4988"/>
    <w:rsid w:val="468D35B1"/>
    <w:rsid w:val="46C060ED"/>
    <w:rsid w:val="46CD3069"/>
    <w:rsid w:val="46DC7BF5"/>
    <w:rsid w:val="46EF6089"/>
    <w:rsid w:val="46F85ECC"/>
    <w:rsid w:val="47187FE4"/>
    <w:rsid w:val="4719630E"/>
    <w:rsid w:val="47310F34"/>
    <w:rsid w:val="47352FEC"/>
    <w:rsid w:val="47413DCB"/>
    <w:rsid w:val="47463708"/>
    <w:rsid w:val="477C5B9E"/>
    <w:rsid w:val="4780431E"/>
    <w:rsid w:val="479235C6"/>
    <w:rsid w:val="47A153A1"/>
    <w:rsid w:val="481E12C4"/>
    <w:rsid w:val="482F22FC"/>
    <w:rsid w:val="483A153F"/>
    <w:rsid w:val="48714DBB"/>
    <w:rsid w:val="49114E70"/>
    <w:rsid w:val="49540677"/>
    <w:rsid w:val="49926C6C"/>
    <w:rsid w:val="49AA4FB0"/>
    <w:rsid w:val="49DB78B5"/>
    <w:rsid w:val="49E97A04"/>
    <w:rsid w:val="49EA569C"/>
    <w:rsid w:val="4A494A22"/>
    <w:rsid w:val="4A7C6CC7"/>
    <w:rsid w:val="4A911B79"/>
    <w:rsid w:val="4ADF223E"/>
    <w:rsid w:val="4AF07DCC"/>
    <w:rsid w:val="4B257F2E"/>
    <w:rsid w:val="4B620F05"/>
    <w:rsid w:val="4BA42C32"/>
    <w:rsid w:val="4BAD0F90"/>
    <w:rsid w:val="4C2274BE"/>
    <w:rsid w:val="4CD95DD7"/>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BAE"/>
    <w:rsid w:val="51167CDE"/>
    <w:rsid w:val="51324DA9"/>
    <w:rsid w:val="513D358E"/>
    <w:rsid w:val="51AD2147"/>
    <w:rsid w:val="51D501ED"/>
    <w:rsid w:val="522D7F16"/>
    <w:rsid w:val="523952D8"/>
    <w:rsid w:val="523B2FBD"/>
    <w:rsid w:val="52400F9E"/>
    <w:rsid w:val="52473BB8"/>
    <w:rsid w:val="5288313B"/>
    <w:rsid w:val="52D27DE3"/>
    <w:rsid w:val="52F33045"/>
    <w:rsid w:val="531F408E"/>
    <w:rsid w:val="53406525"/>
    <w:rsid w:val="534B5C0F"/>
    <w:rsid w:val="53E44017"/>
    <w:rsid w:val="5432323D"/>
    <w:rsid w:val="54331B24"/>
    <w:rsid w:val="54583460"/>
    <w:rsid w:val="54686A39"/>
    <w:rsid w:val="54E641C3"/>
    <w:rsid w:val="54EC6DF6"/>
    <w:rsid w:val="54F16F78"/>
    <w:rsid w:val="55215714"/>
    <w:rsid w:val="554D7806"/>
    <w:rsid w:val="554F368F"/>
    <w:rsid w:val="55876BE5"/>
    <w:rsid w:val="559A5ACA"/>
    <w:rsid w:val="55A94050"/>
    <w:rsid w:val="55CA36B6"/>
    <w:rsid w:val="56653C93"/>
    <w:rsid w:val="56764C4B"/>
    <w:rsid w:val="567F5F3C"/>
    <w:rsid w:val="56DA342C"/>
    <w:rsid w:val="56DB6AC7"/>
    <w:rsid w:val="56DF16DC"/>
    <w:rsid w:val="57184CF1"/>
    <w:rsid w:val="57780B5F"/>
    <w:rsid w:val="57B96494"/>
    <w:rsid w:val="57DD76E9"/>
    <w:rsid w:val="57FC658A"/>
    <w:rsid w:val="57FE5FE5"/>
    <w:rsid w:val="586A1F97"/>
    <w:rsid w:val="589C6ECF"/>
    <w:rsid w:val="59597413"/>
    <w:rsid w:val="59BA4CD4"/>
    <w:rsid w:val="59EE5797"/>
    <w:rsid w:val="5AC272A3"/>
    <w:rsid w:val="5B307B0A"/>
    <w:rsid w:val="5B557E8F"/>
    <w:rsid w:val="5B81270F"/>
    <w:rsid w:val="5BB1110B"/>
    <w:rsid w:val="5C2B7BE1"/>
    <w:rsid w:val="5C621337"/>
    <w:rsid w:val="5C7F01BD"/>
    <w:rsid w:val="5D6C33D5"/>
    <w:rsid w:val="5DA25547"/>
    <w:rsid w:val="5DC5227C"/>
    <w:rsid w:val="5DD07D0C"/>
    <w:rsid w:val="5DD32B36"/>
    <w:rsid w:val="5DEC6C8E"/>
    <w:rsid w:val="5DF951D1"/>
    <w:rsid w:val="5DFA4819"/>
    <w:rsid w:val="5EFB79A1"/>
    <w:rsid w:val="5F2A616C"/>
    <w:rsid w:val="5F3C052E"/>
    <w:rsid w:val="5F5A760B"/>
    <w:rsid w:val="5F6C71D0"/>
    <w:rsid w:val="5F785148"/>
    <w:rsid w:val="5FA8049F"/>
    <w:rsid w:val="5FC04A97"/>
    <w:rsid w:val="5FE94B7D"/>
    <w:rsid w:val="5FF2718E"/>
    <w:rsid w:val="5FFF4EA8"/>
    <w:rsid w:val="602B2726"/>
    <w:rsid w:val="60417BB4"/>
    <w:rsid w:val="60B2650C"/>
    <w:rsid w:val="611D40E2"/>
    <w:rsid w:val="614462DE"/>
    <w:rsid w:val="61B516C4"/>
    <w:rsid w:val="61DE1268"/>
    <w:rsid w:val="61EF4764"/>
    <w:rsid w:val="625904A9"/>
    <w:rsid w:val="62A64AED"/>
    <w:rsid w:val="62BE2B8C"/>
    <w:rsid w:val="632D32DF"/>
    <w:rsid w:val="636B778B"/>
    <w:rsid w:val="63713FBD"/>
    <w:rsid w:val="638251B8"/>
    <w:rsid w:val="63950102"/>
    <w:rsid w:val="641D5FD9"/>
    <w:rsid w:val="64566E62"/>
    <w:rsid w:val="647677D7"/>
    <w:rsid w:val="64770209"/>
    <w:rsid w:val="65042865"/>
    <w:rsid w:val="651360F5"/>
    <w:rsid w:val="651B024D"/>
    <w:rsid w:val="65571260"/>
    <w:rsid w:val="65620EA6"/>
    <w:rsid w:val="65AB3C61"/>
    <w:rsid w:val="65B25CB4"/>
    <w:rsid w:val="65CE2481"/>
    <w:rsid w:val="65FB616C"/>
    <w:rsid w:val="661125F2"/>
    <w:rsid w:val="6611695D"/>
    <w:rsid w:val="66194DC3"/>
    <w:rsid w:val="66267FAE"/>
    <w:rsid w:val="668D09A2"/>
    <w:rsid w:val="669764AC"/>
    <w:rsid w:val="66D55C0F"/>
    <w:rsid w:val="672A40B7"/>
    <w:rsid w:val="6746660F"/>
    <w:rsid w:val="6749451C"/>
    <w:rsid w:val="674A4227"/>
    <w:rsid w:val="67642FCA"/>
    <w:rsid w:val="679300D6"/>
    <w:rsid w:val="67F03BF2"/>
    <w:rsid w:val="684478D1"/>
    <w:rsid w:val="686109FC"/>
    <w:rsid w:val="686801CC"/>
    <w:rsid w:val="688C32E6"/>
    <w:rsid w:val="68AB1267"/>
    <w:rsid w:val="68D84C26"/>
    <w:rsid w:val="69127129"/>
    <w:rsid w:val="694A3F4B"/>
    <w:rsid w:val="694D466A"/>
    <w:rsid w:val="695143FB"/>
    <w:rsid w:val="695D4175"/>
    <w:rsid w:val="698A3A01"/>
    <w:rsid w:val="698D0D6B"/>
    <w:rsid w:val="69E6116E"/>
    <w:rsid w:val="6A051C1C"/>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E1844B8"/>
    <w:rsid w:val="6E541954"/>
    <w:rsid w:val="6E6D5C0E"/>
    <w:rsid w:val="6E7C3113"/>
    <w:rsid w:val="6EA67FA2"/>
    <w:rsid w:val="6F957251"/>
    <w:rsid w:val="70484BFD"/>
    <w:rsid w:val="70921C55"/>
    <w:rsid w:val="71283ECD"/>
    <w:rsid w:val="713D11CB"/>
    <w:rsid w:val="7147364E"/>
    <w:rsid w:val="71502437"/>
    <w:rsid w:val="71E362C3"/>
    <w:rsid w:val="7219039A"/>
    <w:rsid w:val="72477928"/>
    <w:rsid w:val="731775B6"/>
    <w:rsid w:val="73BA11B9"/>
    <w:rsid w:val="73D60472"/>
    <w:rsid w:val="73F53D48"/>
    <w:rsid w:val="7496752E"/>
    <w:rsid w:val="749A5251"/>
    <w:rsid w:val="755B54D7"/>
    <w:rsid w:val="75765328"/>
    <w:rsid w:val="75A177EE"/>
    <w:rsid w:val="75D86CD4"/>
    <w:rsid w:val="760E7139"/>
    <w:rsid w:val="76420C5D"/>
    <w:rsid w:val="76496AA8"/>
    <w:rsid w:val="76745CA5"/>
    <w:rsid w:val="768559AF"/>
    <w:rsid w:val="76A05F87"/>
    <w:rsid w:val="76A730E4"/>
    <w:rsid w:val="76F33AE6"/>
    <w:rsid w:val="76F41191"/>
    <w:rsid w:val="76FC6FD9"/>
    <w:rsid w:val="774E77F3"/>
    <w:rsid w:val="779352B4"/>
    <w:rsid w:val="77C011B5"/>
    <w:rsid w:val="77DF2692"/>
    <w:rsid w:val="77E65FB7"/>
    <w:rsid w:val="77EC1D59"/>
    <w:rsid w:val="781F64BC"/>
    <w:rsid w:val="783E6571"/>
    <w:rsid w:val="78502F65"/>
    <w:rsid w:val="786E6C4A"/>
    <w:rsid w:val="789D2BB8"/>
    <w:rsid w:val="78DB6555"/>
    <w:rsid w:val="78FD20DF"/>
    <w:rsid w:val="794D77BB"/>
    <w:rsid w:val="795654B4"/>
    <w:rsid w:val="798B42E3"/>
    <w:rsid w:val="79E24199"/>
    <w:rsid w:val="7A281851"/>
    <w:rsid w:val="7A550F13"/>
    <w:rsid w:val="7A773BB5"/>
    <w:rsid w:val="7AD20151"/>
    <w:rsid w:val="7B345817"/>
    <w:rsid w:val="7B5D3DBD"/>
    <w:rsid w:val="7B62786A"/>
    <w:rsid w:val="7BAD7F79"/>
    <w:rsid w:val="7BBD4F47"/>
    <w:rsid w:val="7BE82E7A"/>
    <w:rsid w:val="7C047330"/>
    <w:rsid w:val="7C1A0DC0"/>
    <w:rsid w:val="7C614B37"/>
    <w:rsid w:val="7CE039CF"/>
    <w:rsid w:val="7D54267F"/>
    <w:rsid w:val="7D7C739E"/>
    <w:rsid w:val="7DBD5F66"/>
    <w:rsid w:val="7DC17EA6"/>
    <w:rsid w:val="7E0D5B2C"/>
    <w:rsid w:val="7E2115B9"/>
    <w:rsid w:val="7E4E7568"/>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paragraph" w:styleId="4">
    <w:name w:val="heading 1"/>
    <w:basedOn w:val="1"/>
    <w:next w:val="1"/>
    <w:qFormat/>
    <w:locked/>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5">
    <w:name w:val="Normal Indent"/>
    <w:basedOn w:val="1"/>
    <w:next w:val="2"/>
    <w:qFormat/>
    <w:uiPriority w:val="0"/>
    <w:pPr>
      <w:ind w:firstLine="420"/>
    </w:pPr>
  </w:style>
  <w:style w:type="paragraph" w:styleId="6">
    <w:name w:val="annotation text"/>
    <w:basedOn w:val="1"/>
    <w:qFormat/>
    <w:uiPriority w:val="0"/>
    <w:pPr>
      <w:jc w:val="left"/>
    </w:pPr>
  </w:style>
  <w:style w:type="paragraph" w:styleId="7">
    <w:name w:val="Body Text"/>
    <w:basedOn w:val="1"/>
    <w:link w:val="20"/>
    <w:qFormat/>
    <w:uiPriority w:val="99"/>
    <w:pPr>
      <w:spacing w:after="120"/>
    </w:pPr>
    <w:rPr>
      <w:rFonts w:ascii="Calibri" w:hAnsi="Calibri"/>
      <w:szCs w:val="22"/>
    </w:rPr>
  </w:style>
  <w:style w:type="paragraph" w:styleId="8">
    <w:name w:val="Date"/>
    <w:basedOn w:val="1"/>
    <w:next w:val="1"/>
    <w:link w:val="21"/>
    <w:qFormat/>
    <w:uiPriority w:val="99"/>
    <w:pPr>
      <w:ind w:left="100" w:leftChars="2500"/>
    </w:pPr>
  </w:style>
  <w:style w:type="paragraph" w:styleId="9">
    <w:name w:val="footer"/>
    <w:basedOn w:val="1"/>
    <w:link w:val="22"/>
    <w:qFormat/>
    <w:uiPriority w:val="99"/>
    <w:pPr>
      <w:tabs>
        <w:tab w:val="center" w:pos="4153"/>
        <w:tab w:val="right" w:pos="8306"/>
      </w:tabs>
      <w:snapToGrid w:val="0"/>
      <w:jc w:val="left"/>
    </w:pPr>
    <w:rPr>
      <w:sz w:val="18"/>
    </w:rPr>
  </w:style>
  <w:style w:type="paragraph" w:styleId="10">
    <w:name w:val="header"/>
    <w:basedOn w:val="1"/>
    <w:link w:val="23"/>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7"/>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paragraph" w:customStyle="1" w:styleId="19">
    <w:name w:val="样式 正文缩进正文缩进2正文缩进 Char Char正文缩进 Char Char Char Char正文缩进 Char ..."/>
    <w:basedOn w:val="5"/>
    <w:qFormat/>
    <w:uiPriority w:val="0"/>
    <w:pPr>
      <w:widowControl/>
      <w:spacing w:before="0" w:after="0" w:line="360" w:lineRule="auto"/>
      <w:ind w:firstLine="200"/>
      <w:jc w:val="left"/>
      <w:textAlignment w:val="auto"/>
    </w:pPr>
    <w:rPr>
      <w:rFonts w:ascii="Times New Roman" w:hAnsi="Times New Roman" w:cs="宋体"/>
      <w:spacing w:val="0"/>
      <w:szCs w:val="22"/>
    </w:rPr>
  </w:style>
  <w:style w:type="character" w:customStyle="1" w:styleId="20">
    <w:name w:val="正文文本 Char"/>
    <w:basedOn w:val="14"/>
    <w:link w:val="7"/>
    <w:semiHidden/>
    <w:qFormat/>
    <w:uiPriority w:val="99"/>
    <w:rPr>
      <w:color w:val="000000"/>
      <w:kern w:val="0"/>
      <w:szCs w:val="20"/>
    </w:rPr>
  </w:style>
  <w:style w:type="character" w:customStyle="1" w:styleId="21">
    <w:name w:val="日期 Char"/>
    <w:basedOn w:val="14"/>
    <w:link w:val="8"/>
    <w:semiHidden/>
    <w:qFormat/>
    <w:uiPriority w:val="99"/>
    <w:rPr>
      <w:color w:val="000000"/>
      <w:kern w:val="0"/>
      <w:szCs w:val="20"/>
    </w:rPr>
  </w:style>
  <w:style w:type="character" w:customStyle="1" w:styleId="22">
    <w:name w:val="页脚 Char"/>
    <w:basedOn w:val="16"/>
    <w:link w:val="9"/>
    <w:qFormat/>
    <w:locked/>
    <w:uiPriority w:val="99"/>
    <w:rPr>
      <w:rFonts w:cs="Times New Roman"/>
      <w:color w:val="000000"/>
      <w:sz w:val="18"/>
    </w:rPr>
  </w:style>
  <w:style w:type="character" w:customStyle="1" w:styleId="23">
    <w:name w:val="页眉 Char"/>
    <w:basedOn w:val="16"/>
    <w:link w:val="10"/>
    <w:qFormat/>
    <w:locked/>
    <w:uiPriority w:val="99"/>
    <w:rPr>
      <w:rFonts w:cs="Times New Roman"/>
      <w:color w:val="000000"/>
      <w:sz w:val="18"/>
      <w:szCs w:val="18"/>
    </w:rPr>
  </w:style>
  <w:style w:type="paragraph" w:customStyle="1" w:styleId="24">
    <w:name w:val="BodyText"/>
    <w:basedOn w:val="1"/>
    <w:qFormat/>
    <w:uiPriority w:val="99"/>
    <w:pPr>
      <w:spacing w:after="120"/>
    </w:pPr>
    <w:rPr>
      <w:rFonts w:ascii="Calibri" w:hAnsi="Calibri"/>
      <w:szCs w:val="22"/>
    </w:rPr>
  </w:style>
  <w:style w:type="table" w:customStyle="1" w:styleId="25">
    <w:name w:val="TableNormal"/>
    <w:semiHidden/>
    <w:qFormat/>
    <w:uiPriority w:val="99"/>
    <w:tblPr>
      <w:tblCellMar>
        <w:top w:w="0" w:type="dxa"/>
        <w:left w:w="0" w:type="dxa"/>
        <w:bottom w:w="0" w:type="dxa"/>
        <w:right w:w="0" w:type="dxa"/>
      </w:tblCellMar>
    </w:tblPr>
  </w:style>
  <w:style w:type="character" w:customStyle="1" w:styleId="26">
    <w:name w:val="UserStyle_0"/>
    <w:basedOn w:val="16"/>
    <w:qFormat/>
    <w:uiPriority w:val="99"/>
    <w:rPr>
      <w:rFonts w:ascii="Times New Roman" w:eastAsia="宋体" w:cs="Times New Roman"/>
      <w:color w:val="0000FF"/>
      <w:sz w:val="21"/>
      <w:u w:val="single"/>
      <w:lang w:val="en-US" w:eastAsia="zh-CN"/>
    </w:rPr>
  </w:style>
  <w:style w:type="character" w:customStyle="1" w:styleId="27">
    <w:name w:val="AnnotationReference"/>
    <w:qFormat/>
    <w:uiPriority w:val="99"/>
    <w:rPr>
      <w:sz w:val="21"/>
    </w:rPr>
  </w:style>
  <w:style w:type="character" w:customStyle="1" w:styleId="28">
    <w:name w:val="UserStyle_2"/>
    <w:basedOn w:val="16"/>
    <w:qFormat/>
    <w:uiPriority w:val="99"/>
    <w:rPr>
      <w:rFonts w:ascii="Times New Roman" w:eastAsia="宋体" w:cs="Times New Roman"/>
      <w:color w:val="0000FF"/>
      <w:sz w:val="21"/>
      <w:u w:val="single"/>
      <w:lang w:val="en-US" w:eastAsia="zh-CN"/>
    </w:rPr>
  </w:style>
  <w:style w:type="character" w:customStyle="1" w:styleId="29">
    <w:name w:val="UserStyle_3"/>
    <w:semiHidden/>
    <w:qFormat/>
    <w:uiPriority w:val="99"/>
    <w:rPr>
      <w:rFonts w:ascii="Times New Roman" w:hAnsi="Times New Roman" w:eastAsia="宋体"/>
      <w:kern w:val="2"/>
      <w:sz w:val="21"/>
      <w:lang w:val="en-US" w:eastAsia="zh-CN"/>
    </w:rPr>
  </w:style>
  <w:style w:type="paragraph" w:customStyle="1" w:styleId="30">
    <w:name w:val="UserStyle_5"/>
    <w:basedOn w:val="1"/>
    <w:next w:val="31"/>
    <w:qFormat/>
    <w:uiPriority w:val="99"/>
    <w:pPr>
      <w:spacing w:before="566" w:after="544" w:line="566" w:lineRule="atLeast"/>
      <w:jc w:val="center"/>
    </w:pPr>
    <w:rPr>
      <w:rFonts w:ascii="Arial" w:eastAsia="黑体"/>
      <w:sz w:val="54"/>
    </w:rPr>
  </w:style>
  <w:style w:type="paragraph" w:customStyle="1" w:styleId="31">
    <w:name w:val="UserStyle_6"/>
    <w:basedOn w:val="1"/>
    <w:next w:val="32"/>
    <w:qFormat/>
    <w:uiPriority w:val="99"/>
    <w:pPr>
      <w:spacing w:before="187" w:after="175" w:line="374" w:lineRule="atLeast"/>
      <w:jc w:val="center"/>
    </w:pPr>
    <w:rPr>
      <w:sz w:val="36"/>
    </w:rPr>
  </w:style>
  <w:style w:type="paragraph" w:customStyle="1" w:styleId="32">
    <w:name w:val="UserStyle_16"/>
    <w:basedOn w:val="1"/>
    <w:next w:val="33"/>
    <w:qFormat/>
    <w:uiPriority w:val="99"/>
    <w:pPr>
      <w:spacing w:before="158" w:after="153" w:line="323" w:lineRule="atLeast"/>
      <w:jc w:val="center"/>
    </w:pPr>
    <w:rPr>
      <w:rFonts w:ascii="Arial" w:eastAsia="黑体"/>
      <w:sz w:val="31"/>
    </w:rPr>
  </w:style>
  <w:style w:type="paragraph" w:customStyle="1" w:styleId="33">
    <w:name w:val="UserStyle_10"/>
    <w:basedOn w:val="1"/>
    <w:next w:val="34"/>
    <w:qFormat/>
    <w:uiPriority w:val="99"/>
    <w:pPr>
      <w:spacing w:line="289" w:lineRule="atLeast"/>
      <w:jc w:val="center"/>
    </w:pPr>
    <w:rPr>
      <w:sz w:val="28"/>
    </w:rPr>
  </w:style>
  <w:style w:type="paragraph" w:customStyle="1" w:styleId="34">
    <w:name w:val="UserStyle_11"/>
    <w:basedOn w:val="1"/>
    <w:next w:val="1"/>
    <w:qFormat/>
    <w:uiPriority w:val="99"/>
    <w:pPr>
      <w:spacing w:before="175" w:after="102" w:line="351" w:lineRule="atLeast"/>
    </w:pPr>
    <w:rPr>
      <w:rFonts w:eastAsia="黑体"/>
    </w:rPr>
  </w:style>
  <w:style w:type="paragraph" w:customStyle="1" w:styleId="35">
    <w:name w:val="UserStyle_7"/>
    <w:basedOn w:val="1"/>
    <w:next w:val="1"/>
    <w:qFormat/>
    <w:uiPriority w:val="99"/>
    <w:pPr>
      <w:tabs>
        <w:tab w:val="left" w:leader="dot" w:pos="8503"/>
      </w:tabs>
      <w:spacing w:line="317" w:lineRule="atLeast"/>
      <w:ind w:firstLine="629"/>
    </w:pPr>
  </w:style>
  <w:style w:type="paragraph" w:customStyle="1" w:styleId="36">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7">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8">
    <w:name w:val="UserStyle_9"/>
    <w:basedOn w:val="1"/>
    <w:next w:val="1"/>
    <w:qFormat/>
    <w:uiPriority w:val="99"/>
    <w:pPr>
      <w:tabs>
        <w:tab w:val="left" w:leader="dot" w:pos="8503"/>
      </w:tabs>
      <w:spacing w:line="317" w:lineRule="atLeast"/>
      <w:ind w:firstLine="419"/>
    </w:pPr>
  </w:style>
  <w:style w:type="paragraph" w:customStyle="1" w:styleId="39">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0">
    <w:name w:val="UserStyle_13"/>
    <w:basedOn w:val="1"/>
    <w:qFormat/>
    <w:uiPriority w:val="99"/>
    <w:pPr>
      <w:spacing w:line="240" w:lineRule="auto"/>
      <w:textAlignment w:val="auto"/>
    </w:pPr>
    <w:rPr>
      <w:sz w:val="32"/>
      <w:szCs w:val="32"/>
    </w:rPr>
  </w:style>
  <w:style w:type="paragraph" w:customStyle="1" w:styleId="41">
    <w:name w:val="UserStyle_14"/>
    <w:basedOn w:val="1"/>
    <w:qFormat/>
    <w:uiPriority w:val="99"/>
    <w:pPr>
      <w:spacing w:line="600" w:lineRule="atLeast"/>
      <w:jc w:val="center"/>
      <w:textAlignment w:val="auto"/>
    </w:pPr>
    <w:rPr>
      <w:rFonts w:ascii="Arial" w:hAnsi="Arial"/>
      <w:sz w:val="24"/>
      <w:szCs w:val="24"/>
    </w:rPr>
  </w:style>
  <w:style w:type="paragraph" w:customStyle="1" w:styleId="42">
    <w:name w:val="UserStyle_15"/>
    <w:basedOn w:val="1"/>
    <w:next w:val="1"/>
    <w:qFormat/>
    <w:uiPriority w:val="99"/>
    <w:pPr>
      <w:tabs>
        <w:tab w:val="left" w:leader="dot" w:pos="8503"/>
      </w:tabs>
      <w:spacing w:line="317" w:lineRule="atLeast"/>
      <w:ind w:firstLine="209"/>
    </w:pPr>
  </w:style>
  <w:style w:type="paragraph" w:customStyle="1" w:styleId="43">
    <w:name w:val="UserStyle_17"/>
    <w:basedOn w:val="1"/>
    <w:qFormat/>
    <w:uiPriority w:val="99"/>
    <w:pPr>
      <w:spacing w:line="480" w:lineRule="exact"/>
      <w:ind w:firstLine="420" w:firstLineChars="200"/>
      <w:textAlignment w:val="auto"/>
    </w:pPr>
    <w:rPr>
      <w:kern w:val="2"/>
      <w:sz w:val="24"/>
      <w:szCs w:val="24"/>
    </w:rPr>
  </w:style>
  <w:style w:type="table" w:customStyle="1" w:styleId="44">
    <w:name w:val="TableGrid"/>
    <w:basedOn w:val="25"/>
    <w:qFormat/>
    <w:uiPriority w:val="99"/>
    <w:tblPr>
      <w:tblCellMar>
        <w:top w:w="0" w:type="dxa"/>
        <w:left w:w="0" w:type="dxa"/>
        <w:bottom w:w="0" w:type="dxa"/>
        <w:right w:w="0" w:type="dxa"/>
      </w:tblCellMar>
    </w:tblPr>
  </w:style>
  <w:style w:type="paragraph" w:customStyle="1" w:styleId="45">
    <w:name w:val="BodyTextIndent"/>
    <w:basedOn w:val="1"/>
    <w:qFormat/>
    <w:uiPriority w:val="99"/>
    <w:pPr>
      <w:spacing w:after="120"/>
      <w:ind w:left="420" w:leftChars="200"/>
    </w:pPr>
  </w:style>
  <w:style w:type="paragraph" w:customStyle="1" w:styleId="46">
    <w:name w:val="BodyText1I2"/>
    <w:basedOn w:val="45"/>
    <w:qFormat/>
    <w:uiPriority w:val="99"/>
    <w:pPr>
      <w:ind w:firstLine="420" w:firstLineChars="200"/>
    </w:pPr>
  </w:style>
  <w:style w:type="paragraph" w:customStyle="1" w:styleId="47">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8">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1373</Words>
  <Characters>1457</Characters>
  <Lines>10</Lines>
  <Paragraphs>3</Paragraphs>
  <TotalTime>1</TotalTime>
  <ScaleCrop>false</ScaleCrop>
  <LinksUpToDate>false</LinksUpToDate>
  <CharactersWithSpaces>1595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Administrator</cp:lastModifiedBy>
  <cp:lastPrinted>2020-09-03T08:09:00Z</cp:lastPrinted>
  <dcterms:modified xsi:type="dcterms:W3CDTF">2023-05-08T03:27:41Z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9BB2E0F6C13C41A38035D6F9FD2F5D4E_13</vt:lpwstr>
  </property>
</Properties>
</file>