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pStyle w:val="24"/>
        <w:rPr>
          <w:rStyle w:val="15"/>
          <w:color w:val="auto"/>
        </w:rPr>
      </w:pPr>
    </w:p>
    <w:p>
      <w:pPr>
        <w:snapToGrid w:val="0"/>
        <w:spacing w:line="600" w:lineRule="exact"/>
        <w:rPr>
          <w:rStyle w:val="15"/>
          <w:rFonts w:ascii="仿宋_GB2312" w:eastAsia="仿宋_GB2312"/>
          <w:color w:val="auto"/>
          <w:sz w:val="32"/>
          <w:szCs w:val="32"/>
        </w:rPr>
      </w:pPr>
    </w:p>
    <w:p>
      <w:pPr>
        <w:snapToGrid w:val="0"/>
        <w:spacing w:line="600" w:lineRule="exact"/>
        <w:ind w:firstLine="2880" w:firstLineChars="900"/>
        <w:rPr>
          <w:rStyle w:val="15"/>
          <w:rFonts w:ascii="仿宋" w:hAnsi="仿宋" w:eastAsia="仿宋"/>
          <w:color w:val="auto"/>
          <w:sz w:val="32"/>
          <w:szCs w:val="32"/>
        </w:rPr>
      </w:pPr>
      <w:r>
        <w:rPr>
          <w:rStyle w:val="15"/>
          <w:rFonts w:hint="eastAsia" w:ascii="仿宋" w:hAnsi="仿宋" w:eastAsia="仿宋"/>
          <w:color w:val="auto"/>
          <w:sz w:val="32"/>
          <w:szCs w:val="32"/>
        </w:rPr>
        <w:t>鄂环东</w:t>
      </w:r>
      <w:bookmarkStart w:id="0" w:name="_GoBack"/>
      <w:bookmarkEnd w:id="0"/>
      <w:r>
        <w:rPr>
          <w:rStyle w:val="15"/>
          <w:rFonts w:hint="eastAsia" w:ascii="仿宋" w:hAnsi="仿宋" w:eastAsia="仿宋"/>
          <w:color w:val="auto"/>
          <w:sz w:val="32"/>
          <w:szCs w:val="32"/>
        </w:rPr>
        <w:t>审字〔</w:t>
      </w:r>
      <w:r>
        <w:rPr>
          <w:rStyle w:val="15"/>
          <w:rFonts w:ascii="仿宋" w:hAnsi="仿宋" w:eastAsia="仿宋"/>
          <w:color w:val="auto"/>
          <w:sz w:val="32"/>
          <w:szCs w:val="32"/>
        </w:rPr>
        <w:t>202</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w:t>
      </w:r>
      <w:r>
        <w:rPr>
          <w:rStyle w:val="15"/>
          <w:rFonts w:hint="eastAsia" w:ascii="仿宋" w:hAnsi="仿宋" w:eastAsia="仿宋"/>
          <w:color w:val="auto"/>
          <w:sz w:val="32"/>
          <w:szCs w:val="32"/>
          <w:lang w:val="en-US" w:eastAsia="zh-CN"/>
        </w:rPr>
        <w:t>14</w:t>
      </w:r>
      <w:r>
        <w:rPr>
          <w:rStyle w:val="15"/>
          <w:rFonts w:hint="eastAsia" w:ascii="仿宋" w:hAnsi="仿宋" w:eastAsia="仿宋"/>
          <w:color w:val="auto"/>
          <w:sz w:val="32"/>
          <w:szCs w:val="32"/>
        </w:rPr>
        <w:t>号</w:t>
      </w:r>
      <w:r>
        <w:rPr>
          <w:rStyle w:val="15"/>
          <w:rFonts w:ascii="仿宋" w:hAnsi="仿宋" w:eastAsia="仿宋"/>
          <w:color w:val="auto"/>
          <w:sz w:val="32"/>
          <w:szCs w:val="32"/>
        </w:rPr>
        <w:t xml:space="preserve"> </w:t>
      </w:r>
    </w:p>
    <w:p>
      <w:pPr>
        <w:spacing w:line="600" w:lineRule="exact"/>
        <w:jc w:val="center"/>
        <w:rPr>
          <w:rStyle w:val="15"/>
          <w:rFonts w:hint="eastAsia" w:ascii="宋体" w:hAnsi="宋体" w:eastAsia="宋体" w:cs="宋体"/>
          <w:b/>
          <w:bCs w:val="0"/>
          <w:color w:val="auto"/>
          <w:sz w:val="44"/>
          <w:szCs w:val="44"/>
        </w:rPr>
      </w:pPr>
    </w:p>
    <w:p>
      <w:pPr>
        <w:spacing w:line="600" w:lineRule="exact"/>
        <w:jc w:val="center"/>
        <w:rPr>
          <w:rStyle w:val="15"/>
          <w:rFonts w:ascii="宋体" w:hAnsi="宋体"/>
          <w:b/>
          <w:bCs w:val="0"/>
          <w:color w:val="auto"/>
          <w:sz w:val="44"/>
          <w:szCs w:val="44"/>
        </w:rPr>
      </w:pPr>
      <w:r>
        <w:rPr>
          <w:rStyle w:val="15"/>
          <w:rFonts w:hint="eastAsia" w:ascii="宋体" w:hAnsi="宋体"/>
          <w:b/>
          <w:bCs w:val="0"/>
          <w:color w:val="auto"/>
          <w:sz w:val="44"/>
          <w:szCs w:val="44"/>
        </w:rPr>
        <w:t>鄂尔多斯市生态环境局东胜区分局关于</w:t>
      </w:r>
    </w:p>
    <w:p>
      <w:pPr>
        <w:spacing w:line="600" w:lineRule="exact"/>
        <w:jc w:val="center"/>
        <w:rPr>
          <w:rStyle w:val="15"/>
          <w:rFonts w:hint="eastAsia" w:ascii="宋体" w:hAnsi="宋体" w:eastAsia="宋体" w:cs="Times New Roman"/>
          <w:b/>
          <w:bCs w:val="0"/>
          <w:color w:val="auto"/>
          <w:sz w:val="44"/>
          <w:szCs w:val="44"/>
          <w:lang w:val="en-US" w:eastAsia="zh-CN"/>
        </w:rPr>
      </w:pPr>
      <w:r>
        <w:rPr>
          <w:rStyle w:val="15"/>
          <w:rFonts w:hint="eastAsia" w:ascii="宋体" w:hAnsi="宋体" w:eastAsia="宋体" w:cs="Times New Roman"/>
          <w:b/>
          <w:bCs w:val="0"/>
          <w:color w:val="auto"/>
          <w:sz w:val="44"/>
          <w:szCs w:val="44"/>
          <w:lang w:val="en-US" w:eastAsia="zh-CN"/>
        </w:rPr>
        <w:t>鄂尔多斯市鼎势再生资源有限责任</w:t>
      </w:r>
    </w:p>
    <w:p>
      <w:pPr>
        <w:spacing w:line="600" w:lineRule="exact"/>
        <w:jc w:val="center"/>
        <w:rPr>
          <w:rStyle w:val="15"/>
          <w:rFonts w:hint="eastAsia" w:ascii="宋体" w:hAnsi="宋体" w:eastAsia="宋体" w:cs="Times New Roman"/>
          <w:b/>
          <w:bCs w:val="0"/>
          <w:color w:val="auto"/>
          <w:sz w:val="44"/>
          <w:szCs w:val="44"/>
          <w:lang w:val="en-US" w:eastAsia="zh-CN"/>
        </w:rPr>
      </w:pPr>
      <w:r>
        <w:rPr>
          <w:rStyle w:val="15"/>
          <w:rFonts w:hint="eastAsia" w:ascii="宋体" w:hAnsi="宋体" w:eastAsia="宋体" w:cs="Times New Roman"/>
          <w:b/>
          <w:bCs w:val="0"/>
          <w:color w:val="auto"/>
          <w:sz w:val="44"/>
          <w:szCs w:val="44"/>
          <w:lang w:val="en-US" w:eastAsia="zh-CN"/>
        </w:rPr>
        <w:t>公司小微企业危险废物收集试点</w:t>
      </w:r>
    </w:p>
    <w:p>
      <w:pPr>
        <w:spacing w:line="600" w:lineRule="exact"/>
        <w:jc w:val="center"/>
        <w:rPr>
          <w:rStyle w:val="15"/>
          <w:rFonts w:hint="eastAsia" w:ascii="宋体" w:hAnsi="宋体" w:eastAsia="宋体" w:cs="宋体"/>
          <w:b/>
          <w:bCs w:val="0"/>
          <w:color w:val="auto"/>
          <w:sz w:val="44"/>
          <w:szCs w:val="44"/>
        </w:rPr>
      </w:pPr>
      <w:r>
        <w:rPr>
          <w:rStyle w:val="15"/>
          <w:rFonts w:hint="eastAsia" w:ascii="宋体" w:hAnsi="宋体" w:eastAsia="宋体" w:cs="Times New Roman"/>
          <w:b/>
          <w:bCs w:val="0"/>
          <w:color w:val="auto"/>
          <w:sz w:val="44"/>
          <w:szCs w:val="44"/>
          <w:lang w:eastAsia="zh-CN"/>
        </w:rPr>
        <w:t>建设项目</w:t>
      </w:r>
      <w:r>
        <w:rPr>
          <w:rStyle w:val="15"/>
          <w:rFonts w:hint="eastAsia" w:ascii="宋体" w:hAnsi="宋体" w:eastAsia="宋体" w:cs="宋体"/>
          <w:b/>
          <w:bCs w:val="0"/>
          <w:color w:val="auto"/>
          <w:sz w:val="44"/>
          <w:szCs w:val="44"/>
        </w:rPr>
        <w:t>环境影响报告表的批复</w:t>
      </w:r>
    </w:p>
    <w:p>
      <w:pPr>
        <w:spacing w:line="360" w:lineRule="auto"/>
        <w:textAlignment w:val="auto"/>
        <w:rPr>
          <w:rStyle w:val="15"/>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both"/>
        <w:textAlignment w:val="auto"/>
        <w:rPr>
          <w:rStyle w:val="15"/>
          <w:rFonts w:hint="eastAsia" w:ascii="仿宋" w:hAnsi="仿宋" w:eastAsia="仿宋" w:cs="Times New Roman"/>
          <w:sz w:val="32"/>
          <w:szCs w:val="32"/>
          <w:lang w:eastAsia="zh-CN"/>
        </w:rPr>
      </w:pPr>
      <w:r>
        <w:rPr>
          <w:rStyle w:val="15"/>
          <w:rFonts w:hint="eastAsia" w:ascii="仿宋" w:hAnsi="仿宋" w:eastAsia="仿宋" w:cs="Times New Roman"/>
          <w:sz w:val="32"/>
          <w:szCs w:val="32"/>
          <w:lang w:val="en-US" w:eastAsia="zh-CN"/>
        </w:rPr>
        <w:t>鄂尔多斯市鼎势再生资源有限责任公司</w:t>
      </w:r>
      <w:r>
        <w:rPr>
          <w:rStyle w:val="15"/>
          <w:rFonts w:hint="eastAsia" w:ascii="仿宋" w:hAnsi="仿宋" w:eastAsia="仿宋"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rPr>
          <w:rStyle w:val="15"/>
          <w:rFonts w:hint="eastAsia" w:ascii="仿宋" w:hAnsi="仿宋" w:eastAsia="仿宋" w:cs="Times New Roman"/>
          <w:sz w:val="32"/>
          <w:szCs w:val="32"/>
          <w:lang w:val="en-US" w:eastAsia="zh-CN"/>
        </w:rPr>
      </w:pPr>
      <w:r>
        <w:rPr>
          <w:rStyle w:val="15"/>
          <w:rFonts w:hint="eastAsia" w:ascii="仿宋" w:hAnsi="仿宋" w:eastAsia="仿宋"/>
          <w:sz w:val="32"/>
          <w:szCs w:val="32"/>
        </w:rPr>
        <w:t>你</w:t>
      </w:r>
      <w:r>
        <w:rPr>
          <w:rStyle w:val="15"/>
          <w:rFonts w:hint="eastAsia" w:ascii="仿宋" w:hAnsi="仿宋" w:eastAsia="仿宋"/>
          <w:sz w:val="32"/>
          <w:szCs w:val="32"/>
          <w:lang w:val="en-US" w:eastAsia="zh-CN"/>
        </w:rPr>
        <w:t>单位</w:t>
      </w:r>
      <w:r>
        <w:rPr>
          <w:rStyle w:val="15"/>
          <w:rFonts w:hint="eastAsia" w:ascii="仿宋" w:hAnsi="仿宋" w:eastAsia="仿宋" w:cs="Times New Roman"/>
          <w:sz w:val="32"/>
          <w:szCs w:val="32"/>
        </w:rPr>
        <w:t>报送的由内蒙古希隆环保科技有限公司</w:t>
      </w:r>
      <w:r>
        <w:rPr>
          <w:rStyle w:val="15"/>
          <w:rFonts w:hint="eastAsia" w:ascii="仿宋" w:hAnsi="仿宋" w:eastAsia="仿宋" w:cs="Times New Roman"/>
          <w:sz w:val="32"/>
          <w:szCs w:val="32"/>
          <w:lang w:val="en-US" w:eastAsia="zh-CN"/>
        </w:rPr>
        <w:t>编</w:t>
      </w:r>
      <w:r>
        <w:rPr>
          <w:rStyle w:val="15"/>
          <w:rFonts w:hint="eastAsia" w:ascii="仿宋" w:hAnsi="仿宋" w:eastAsia="仿宋" w:cs="Times New Roman"/>
          <w:sz w:val="32"/>
          <w:szCs w:val="32"/>
        </w:rPr>
        <w:t>制的《</w:t>
      </w:r>
      <w:r>
        <w:rPr>
          <w:rStyle w:val="15"/>
          <w:rFonts w:hint="eastAsia" w:ascii="仿宋" w:hAnsi="仿宋" w:eastAsia="仿宋" w:cs="Times New Roman"/>
          <w:sz w:val="32"/>
          <w:szCs w:val="32"/>
          <w:lang w:val="en-US" w:eastAsia="zh-CN"/>
        </w:rPr>
        <w:t>鄂尔多斯市鼎势再生资源有限责任公司小微企业危险废物收集试点</w:t>
      </w:r>
      <w:r>
        <w:rPr>
          <w:rStyle w:val="15"/>
          <w:rFonts w:hint="eastAsia" w:ascii="仿宋" w:hAnsi="仿宋" w:eastAsia="仿宋" w:cs="Times New Roman"/>
          <w:sz w:val="32"/>
          <w:szCs w:val="32"/>
          <w:lang w:eastAsia="zh-CN"/>
        </w:rPr>
        <w:t>建设项目</w:t>
      </w:r>
      <w:r>
        <w:rPr>
          <w:rStyle w:val="15"/>
          <w:rFonts w:hint="eastAsia" w:ascii="仿宋" w:hAnsi="仿宋" w:eastAsia="仿宋" w:cs="Times New Roman"/>
          <w:sz w:val="32"/>
          <w:szCs w:val="32"/>
        </w:rPr>
        <w:t>环境</w:t>
      </w:r>
      <w:r>
        <w:rPr>
          <w:rStyle w:val="15"/>
          <w:rFonts w:hint="eastAsia" w:ascii="仿宋" w:hAnsi="仿宋" w:eastAsia="仿宋"/>
          <w:sz w:val="32"/>
          <w:szCs w:val="32"/>
        </w:rPr>
        <w:t>影响报告表》（以下简称《报告表》）已收悉</w:t>
      </w:r>
      <w:r>
        <w:rPr>
          <w:rStyle w:val="15"/>
          <w:rFonts w:hint="eastAsia" w:ascii="仿宋" w:hAnsi="仿宋" w:eastAsia="仿宋"/>
          <w:sz w:val="32"/>
          <w:szCs w:val="32"/>
          <w:lang w:eastAsia="zh-CN"/>
        </w:rPr>
        <w:t>。</w:t>
      </w:r>
      <w:r>
        <w:rPr>
          <w:rStyle w:val="15"/>
          <w:rFonts w:hint="eastAsia" w:ascii="仿宋" w:hAnsi="仿宋" w:eastAsia="仿宋"/>
          <w:sz w:val="32"/>
          <w:szCs w:val="32"/>
        </w:rPr>
        <w:t>该项目属于新建项目，位于</w:t>
      </w:r>
      <w:r>
        <w:rPr>
          <w:rStyle w:val="15"/>
          <w:rFonts w:hint="eastAsia" w:ascii="仿宋" w:hAnsi="仿宋" w:eastAsia="仿宋"/>
          <w:sz w:val="32"/>
          <w:szCs w:val="32"/>
          <w:lang w:eastAsia="zh-CN"/>
        </w:rPr>
        <w:t>东胜区</w:t>
      </w:r>
      <w:r>
        <w:rPr>
          <w:rStyle w:val="15"/>
          <w:rFonts w:hint="eastAsia" w:ascii="仿宋" w:hAnsi="仿宋" w:eastAsia="仿宋"/>
          <w:sz w:val="32"/>
          <w:szCs w:val="32"/>
          <w:lang w:val="en-US" w:eastAsia="zh-CN"/>
        </w:rPr>
        <w:t>铜川镇万立再生资源产业园区</w:t>
      </w:r>
      <w:r>
        <w:rPr>
          <w:rStyle w:val="15"/>
          <w:rFonts w:hint="eastAsia" w:ascii="仿宋" w:hAnsi="仿宋" w:eastAsia="仿宋" w:cs="Times New Roman"/>
          <w:sz w:val="32"/>
          <w:szCs w:val="32"/>
          <w:lang w:val="en-US" w:eastAsia="zh-CN"/>
        </w:rPr>
        <w:t>。项目总</w:t>
      </w:r>
      <w:r>
        <w:rPr>
          <w:rStyle w:val="15"/>
          <w:rFonts w:hint="eastAsia" w:ascii="仿宋" w:hAnsi="仿宋" w:eastAsia="仿宋" w:cs="Times New Roman"/>
          <w:sz w:val="32"/>
          <w:szCs w:val="32"/>
          <w:lang w:eastAsia="zh-CN"/>
        </w:rPr>
        <w:t>占地面积</w:t>
      </w:r>
      <w:r>
        <w:rPr>
          <w:rStyle w:val="15"/>
          <w:rFonts w:hint="eastAsia" w:ascii="仿宋" w:hAnsi="仿宋" w:eastAsia="仿宋" w:cs="Times New Roman"/>
          <w:sz w:val="32"/>
          <w:szCs w:val="32"/>
          <w:lang w:val="en-US" w:eastAsia="zh-CN"/>
        </w:rPr>
        <w:t>1188平</w:t>
      </w:r>
      <w:r>
        <w:rPr>
          <w:rStyle w:val="15"/>
          <w:rFonts w:hint="eastAsia" w:ascii="仿宋" w:hAnsi="仿宋" w:eastAsia="仿宋" w:cs="Times New Roman"/>
          <w:sz w:val="32"/>
          <w:szCs w:val="32"/>
          <w:lang w:eastAsia="zh-CN"/>
        </w:rPr>
        <w:t>方米，</w:t>
      </w:r>
      <w:r>
        <w:rPr>
          <w:rStyle w:val="15"/>
          <w:rFonts w:hint="default" w:ascii="仿宋" w:hAnsi="仿宋" w:eastAsia="仿宋" w:cs="Times New Roman"/>
          <w:sz w:val="32"/>
          <w:szCs w:val="32"/>
        </w:rPr>
        <w:t>总投</w:t>
      </w:r>
      <w:r>
        <w:rPr>
          <w:rStyle w:val="15"/>
          <w:rFonts w:hint="eastAsia" w:ascii="仿宋" w:hAnsi="仿宋" w:eastAsia="仿宋" w:cs="Times New Roman"/>
          <w:sz w:val="32"/>
          <w:szCs w:val="32"/>
          <w:lang w:eastAsia="zh-CN"/>
        </w:rPr>
        <w:t>资</w:t>
      </w:r>
      <w:r>
        <w:rPr>
          <w:rStyle w:val="15"/>
          <w:rFonts w:hint="eastAsia" w:ascii="仿宋" w:hAnsi="仿宋" w:eastAsia="仿宋" w:cs="Times New Roman"/>
          <w:sz w:val="32"/>
          <w:szCs w:val="32"/>
          <w:lang w:val="en-US" w:eastAsia="zh-CN"/>
        </w:rPr>
        <w:t>500万</w:t>
      </w:r>
      <w:r>
        <w:rPr>
          <w:rStyle w:val="15"/>
          <w:rFonts w:hint="default" w:ascii="仿宋" w:hAnsi="仿宋" w:eastAsia="仿宋" w:cs="Times New Roman"/>
          <w:sz w:val="32"/>
          <w:szCs w:val="32"/>
        </w:rPr>
        <w:t>元，</w:t>
      </w:r>
      <w:r>
        <w:rPr>
          <w:rStyle w:val="15"/>
          <w:rFonts w:hint="eastAsia" w:ascii="仿宋" w:hAnsi="仿宋" w:eastAsia="仿宋" w:cs="Times New Roman"/>
          <w:sz w:val="32"/>
          <w:szCs w:val="32"/>
          <w:lang w:eastAsia="zh-CN"/>
        </w:rPr>
        <w:t>全部为</w:t>
      </w:r>
      <w:r>
        <w:rPr>
          <w:rStyle w:val="15"/>
          <w:rFonts w:hint="default" w:ascii="仿宋" w:hAnsi="仿宋" w:eastAsia="仿宋"/>
          <w:sz w:val="32"/>
          <w:szCs w:val="32"/>
        </w:rPr>
        <w:t>环保</w:t>
      </w:r>
      <w:r>
        <w:rPr>
          <w:rStyle w:val="15"/>
          <w:rFonts w:hint="default" w:ascii="仿宋" w:hAnsi="仿宋" w:eastAsia="仿宋" w:cs="Times New Roman"/>
          <w:sz w:val="32"/>
          <w:szCs w:val="32"/>
          <w:lang w:val="en-US" w:eastAsia="zh-CN"/>
        </w:rPr>
        <w:t>投资</w:t>
      </w:r>
      <w:r>
        <w:rPr>
          <w:rStyle w:val="15"/>
          <w:rFonts w:hint="eastAsia" w:ascii="仿宋" w:hAnsi="仿宋" w:eastAsia="仿宋" w:cs="Times New Roman"/>
          <w:sz w:val="32"/>
          <w:szCs w:val="32"/>
          <w:lang w:val="en-US" w:eastAsia="zh-CN"/>
        </w:rPr>
        <w:t>。主要建设内容及规模：新建两座危险废物贮存库，1#危险废物贮存库设有10个贮存区，占地面积418平方米，2#危险废物贮存库设有6个贮存区，占地面积308平方米，危险废物贮存库内配套建设导流渠、废液收集池、应急事故池等以及其他相关公辅工程和环保工程。项目建成后可收集、贮存鄂尔多斯市各小微企业产生的各类危险废物16类，规模为5000吨/年。</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5"/>
          <w:rFonts w:ascii="仿宋" w:hAnsi="仿宋" w:eastAsia="仿宋"/>
          <w:color w:val="auto"/>
          <w:sz w:val="32"/>
          <w:szCs w:val="32"/>
          <w:highlight w:val="none"/>
        </w:rPr>
      </w:pPr>
      <w:r>
        <w:rPr>
          <w:rStyle w:val="15"/>
          <w:rFonts w:hint="eastAsia" w:ascii="仿宋" w:hAnsi="仿宋" w:eastAsia="仿宋"/>
          <w:sz w:val="32"/>
          <w:szCs w:val="32"/>
        </w:rPr>
        <w:t>《报告表》认为，在全面落实各项生态环境保护和环境污染防治措施的前提下，项目建设对环境的不利影响能够得到一定</w:t>
      </w:r>
      <w:r>
        <w:rPr>
          <w:rStyle w:val="15"/>
          <w:rFonts w:hint="eastAsia" w:ascii="仿宋" w:hAnsi="仿宋" w:eastAsia="仿宋"/>
          <w:sz w:val="32"/>
          <w:szCs w:val="32"/>
          <w:highlight w:val="none"/>
        </w:rPr>
        <w:t>的缓解和控制。因此，我局原则同意你单位按照《报告表》中所列的建设项目性质、规模、地点、环境保护措施进行建设。</w:t>
      </w:r>
      <w:r>
        <w:rPr>
          <w:rStyle w:val="15"/>
          <w:rFonts w:ascii="仿宋" w:hAnsi="仿宋" w:eastAsia="仿宋"/>
          <w:sz w:val="32"/>
          <w:szCs w:val="32"/>
          <w:highlight w:val="none"/>
        </w:rPr>
        <w:t xml:space="preserve"> </w:t>
      </w:r>
      <w:r>
        <w:rPr>
          <w:rStyle w:val="15"/>
          <w:rFonts w:ascii="仿宋" w:hAnsi="仿宋" w:eastAsia="仿宋"/>
          <w:color w:val="auto"/>
          <w:sz w:val="32"/>
          <w:szCs w:val="32"/>
          <w:highlight w:val="none"/>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Fonts w:hint="eastAsia" w:ascii="仿宋" w:hAnsi="仿宋" w:eastAsia="仿宋" w:cs="仿宋"/>
          <w:color w:val="auto"/>
          <w:sz w:val="32"/>
          <w:szCs w:val="32"/>
          <w:highlight w:val="none"/>
        </w:rPr>
      </w:pPr>
      <w:r>
        <w:rPr>
          <w:rStyle w:val="15"/>
          <w:rFonts w:hint="eastAsia" w:ascii="仿宋" w:hAnsi="仿宋" w:eastAsia="仿宋" w:cs="Times New Roman"/>
          <w:sz w:val="32"/>
          <w:szCs w:val="32"/>
          <w:highlight w:val="none"/>
        </w:rPr>
        <w:t>加强施工期环境管理，</w:t>
      </w:r>
      <w:r>
        <w:rPr>
          <w:rStyle w:val="15"/>
          <w:rFonts w:hint="eastAsia" w:ascii="仿宋" w:hAnsi="仿宋" w:eastAsia="仿宋" w:cs="Times New Roman"/>
          <w:sz w:val="32"/>
          <w:szCs w:val="32"/>
          <w:highlight w:val="none"/>
          <w:lang w:eastAsia="zh-CN"/>
        </w:rPr>
        <w:t>采取洒水、覆盖等措施有效控制施工期粉尘污染。</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施工期噪声执行《建筑施工场界环境噪声排放标准》（GB12523-2011）；</w:t>
      </w:r>
      <w:r>
        <w:rPr>
          <w:rFonts w:ascii="仿宋" w:hAnsi="仿宋" w:eastAsia="仿宋" w:cs="仿宋"/>
          <w:color w:val="auto"/>
          <w:sz w:val="32"/>
          <w:szCs w:val="32"/>
          <w:highlight w:val="none"/>
        </w:rPr>
        <w:t>施工期大气污染物排放执行《大气污染物综合排放标准》</w:t>
      </w:r>
      <w:r>
        <w:rPr>
          <w:rFonts w:hint="eastAsia" w:ascii="仿宋" w:hAnsi="仿宋" w:eastAsia="仿宋" w:cs="仿宋"/>
          <w:color w:val="auto"/>
          <w:sz w:val="32"/>
          <w:szCs w:val="32"/>
          <w:highlight w:val="none"/>
        </w:rPr>
        <w:t>（</w:t>
      </w:r>
      <w:r>
        <w:rPr>
          <w:rFonts w:ascii="仿宋" w:hAnsi="仿宋" w:eastAsia="仿宋" w:cs="仿宋"/>
          <w:color w:val="auto"/>
          <w:sz w:val="32"/>
          <w:szCs w:val="32"/>
          <w:highlight w:val="none"/>
        </w:rPr>
        <w:t>GB16297-1996</w:t>
      </w:r>
      <w:r>
        <w:rPr>
          <w:rFonts w:hint="eastAsia" w:ascii="仿宋" w:hAnsi="仿宋" w:eastAsia="仿宋" w:cs="仿宋"/>
          <w:color w:val="auto"/>
          <w:sz w:val="32"/>
          <w:szCs w:val="32"/>
          <w:highlight w:val="none"/>
        </w:rPr>
        <w:t>）</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5"/>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0"/>
        <w:jc w:val="both"/>
        <w:textAlignment w:val="auto"/>
        <w:rPr>
          <w:rFonts w:hint="eastAsia" w:ascii="仿宋" w:hAnsi="仿宋" w:eastAsia="仿宋" w:cs="仿宋"/>
          <w:color w:val="auto"/>
          <w:sz w:val="32"/>
          <w:szCs w:val="32"/>
          <w:highlight w:val="none"/>
        </w:rPr>
      </w:pPr>
      <w:r>
        <w:rPr>
          <w:rStyle w:val="15"/>
          <w:rFonts w:hint="default" w:ascii="仿宋" w:hAnsi="仿宋" w:eastAsia="仿宋" w:cs="Times New Roman"/>
          <w:color w:val="auto"/>
          <w:sz w:val="32"/>
          <w:szCs w:val="32"/>
          <w:highlight w:val="none"/>
          <w:lang w:val="en-US" w:eastAsia="zh-CN"/>
        </w:rPr>
        <w:t>运</w:t>
      </w:r>
      <w:r>
        <w:rPr>
          <w:rStyle w:val="15"/>
          <w:rFonts w:hint="eastAsia" w:ascii="仿宋" w:hAnsi="仿宋" w:eastAsia="仿宋" w:cs="Times New Roman"/>
          <w:color w:val="auto"/>
          <w:sz w:val="32"/>
          <w:szCs w:val="32"/>
          <w:highlight w:val="none"/>
          <w:lang w:val="en-US" w:eastAsia="zh-CN"/>
        </w:rPr>
        <w:t>营</w:t>
      </w:r>
      <w:r>
        <w:rPr>
          <w:rStyle w:val="15"/>
          <w:rFonts w:hint="default" w:ascii="仿宋" w:hAnsi="仿宋" w:eastAsia="仿宋" w:cs="Times New Roman"/>
          <w:color w:val="auto"/>
          <w:sz w:val="32"/>
          <w:szCs w:val="32"/>
          <w:highlight w:val="none"/>
          <w:lang w:val="en-US" w:eastAsia="zh-CN"/>
        </w:rPr>
        <w:t>期非甲烷总烃</w:t>
      </w:r>
      <w:r>
        <w:rPr>
          <w:rStyle w:val="15"/>
          <w:rFonts w:hint="eastAsia" w:ascii="仿宋" w:hAnsi="仿宋" w:eastAsia="仿宋" w:cs="Times New Roman"/>
          <w:color w:val="auto"/>
          <w:sz w:val="32"/>
          <w:szCs w:val="32"/>
          <w:highlight w:val="none"/>
          <w:lang w:val="en-US" w:eastAsia="zh-CN"/>
        </w:rPr>
        <w:t>和臭气浓度微负压</w:t>
      </w:r>
      <w:r>
        <w:rPr>
          <w:rStyle w:val="15"/>
          <w:rFonts w:hint="default" w:ascii="仿宋" w:hAnsi="仿宋" w:eastAsia="仿宋" w:cs="Times New Roman"/>
          <w:color w:val="auto"/>
          <w:sz w:val="32"/>
          <w:szCs w:val="32"/>
          <w:highlight w:val="none"/>
          <w:lang w:val="en-US" w:eastAsia="zh-CN"/>
        </w:rPr>
        <w:t>收集后</w:t>
      </w:r>
      <w:r>
        <w:rPr>
          <w:rStyle w:val="15"/>
          <w:rFonts w:hint="eastAsia" w:ascii="仿宋" w:hAnsi="仿宋" w:eastAsia="仿宋" w:cs="Times New Roman"/>
          <w:color w:val="auto"/>
          <w:sz w:val="32"/>
          <w:szCs w:val="32"/>
          <w:highlight w:val="none"/>
          <w:lang w:val="en-US" w:eastAsia="zh-CN"/>
        </w:rPr>
        <w:t>经</w:t>
      </w:r>
      <w:r>
        <w:rPr>
          <w:rStyle w:val="15"/>
          <w:rFonts w:hint="default" w:ascii="仿宋" w:hAnsi="仿宋" w:eastAsia="仿宋" w:cs="Times New Roman"/>
          <w:color w:val="auto"/>
          <w:sz w:val="32"/>
          <w:szCs w:val="32"/>
          <w:highlight w:val="none"/>
          <w:lang w:val="en-US" w:eastAsia="zh-CN"/>
        </w:rPr>
        <w:t>一套uv光解+活性炭吸附装置处理后</w:t>
      </w:r>
      <w:r>
        <w:rPr>
          <w:rStyle w:val="15"/>
          <w:rFonts w:hint="eastAsia" w:ascii="仿宋" w:hAnsi="仿宋" w:eastAsia="仿宋" w:cs="Times New Roman"/>
          <w:color w:val="auto"/>
          <w:sz w:val="32"/>
          <w:szCs w:val="32"/>
          <w:highlight w:val="none"/>
          <w:lang w:val="en-US" w:eastAsia="zh-CN"/>
        </w:rPr>
        <w:t>由15米高排气筒</w:t>
      </w:r>
      <w:r>
        <w:rPr>
          <w:rStyle w:val="15"/>
          <w:rFonts w:hint="default" w:ascii="仿宋" w:hAnsi="仿宋" w:eastAsia="仿宋" w:cs="Times New Roman"/>
          <w:color w:val="auto"/>
          <w:sz w:val="32"/>
          <w:szCs w:val="32"/>
          <w:highlight w:val="none"/>
          <w:lang w:val="en-US" w:eastAsia="zh-CN"/>
        </w:rPr>
        <w:t>排放</w:t>
      </w:r>
      <w:r>
        <w:rPr>
          <w:rStyle w:val="15"/>
          <w:rFonts w:hint="eastAsia" w:ascii="仿宋" w:hAnsi="仿宋" w:eastAsia="仿宋" w:cs="Times New Roman"/>
          <w:color w:val="auto"/>
          <w:sz w:val="32"/>
          <w:szCs w:val="32"/>
          <w:highlight w:val="none"/>
          <w:lang w:val="en-US" w:eastAsia="zh-CN"/>
        </w:rPr>
        <w:t>，</w:t>
      </w:r>
      <w:r>
        <w:rPr>
          <w:rStyle w:val="15"/>
          <w:rFonts w:hint="default" w:ascii="仿宋" w:hAnsi="仿宋" w:eastAsia="仿宋" w:cs="Times New Roman"/>
          <w:color w:val="auto"/>
          <w:sz w:val="32"/>
          <w:szCs w:val="32"/>
          <w:highlight w:val="none"/>
          <w:lang w:val="en-US" w:eastAsia="zh-CN"/>
        </w:rPr>
        <w:t>硫酸雾微负压收集后经碱液喷淋装置处理后</w:t>
      </w:r>
      <w:r>
        <w:rPr>
          <w:rStyle w:val="15"/>
          <w:rFonts w:hint="eastAsia" w:ascii="仿宋" w:hAnsi="仿宋" w:eastAsia="仿宋" w:cs="Times New Roman"/>
          <w:color w:val="auto"/>
          <w:sz w:val="32"/>
          <w:szCs w:val="32"/>
          <w:highlight w:val="none"/>
          <w:lang w:val="en-US" w:eastAsia="zh-CN"/>
        </w:rPr>
        <w:t>由另一根</w:t>
      </w:r>
      <w:r>
        <w:rPr>
          <w:rStyle w:val="15"/>
          <w:rFonts w:hint="eastAsia" w:ascii="仿宋" w:hAnsi="仿宋" w:eastAsia="仿宋" w:cs="Times New Roman"/>
          <w:color w:val="auto"/>
          <w:sz w:val="32"/>
          <w:szCs w:val="32"/>
          <w:highlight w:val="none"/>
          <w:lang w:val="en-US" w:eastAsia="zh-CN"/>
        </w:rPr>
        <w:t>15米高</w:t>
      </w:r>
      <w:r>
        <w:rPr>
          <w:rStyle w:val="15"/>
          <w:rFonts w:hint="eastAsia" w:ascii="仿宋" w:hAnsi="仿宋" w:eastAsia="仿宋" w:cs="Times New Roman"/>
          <w:color w:val="auto"/>
          <w:sz w:val="32"/>
          <w:szCs w:val="32"/>
          <w:highlight w:val="none"/>
          <w:lang w:val="en-US" w:eastAsia="zh-CN"/>
        </w:rPr>
        <w:t>排气筒</w:t>
      </w:r>
      <w:r>
        <w:rPr>
          <w:rStyle w:val="15"/>
          <w:rFonts w:hint="default" w:ascii="仿宋" w:hAnsi="仿宋" w:eastAsia="仿宋" w:cs="Times New Roman"/>
          <w:color w:val="auto"/>
          <w:sz w:val="32"/>
          <w:szCs w:val="32"/>
          <w:highlight w:val="none"/>
          <w:lang w:val="en-US" w:eastAsia="zh-CN"/>
        </w:rPr>
        <w:t>排放</w:t>
      </w:r>
      <w:r>
        <w:rPr>
          <w:rStyle w:val="15"/>
          <w:rFonts w:hint="eastAsia" w:ascii="仿宋" w:hAnsi="仿宋" w:eastAsia="仿宋" w:cs="Times New Roman"/>
          <w:color w:val="auto"/>
          <w:sz w:val="32"/>
          <w:szCs w:val="32"/>
          <w:highlight w:val="none"/>
          <w:lang w:val="en-US" w:eastAsia="zh-CN"/>
        </w:rPr>
        <w:t>。臭气浓度有组织排放</w:t>
      </w:r>
      <w:r>
        <w:rPr>
          <w:rFonts w:hint="eastAsia" w:ascii="仿宋" w:hAnsi="仿宋" w:eastAsia="仿宋" w:cs="仿宋"/>
          <w:color w:val="auto"/>
          <w:sz w:val="32"/>
          <w:szCs w:val="32"/>
          <w:highlight w:val="none"/>
          <w:lang w:val="en-US" w:eastAsia="zh-CN"/>
        </w:rPr>
        <w:t>执行《恶臭污染物排放标准》(GB14554-93)表2中对应排放限值，无组织排放执行表1中二级新扩改建标准限值；非甲烷总烃和硫酸雾</w:t>
      </w:r>
      <w:r>
        <w:rPr>
          <w:rStyle w:val="15"/>
          <w:rFonts w:hint="eastAsia" w:ascii="仿宋" w:hAnsi="仿宋" w:eastAsia="仿宋" w:cs="Times New Roman"/>
          <w:color w:val="auto"/>
          <w:sz w:val="32"/>
          <w:szCs w:val="32"/>
          <w:highlight w:val="none"/>
          <w:lang w:val="en-US" w:eastAsia="zh-CN"/>
        </w:rPr>
        <w:t>有组织排放</w:t>
      </w:r>
      <w:r>
        <w:rPr>
          <w:rFonts w:hint="eastAsia" w:ascii="仿宋" w:hAnsi="仿宋" w:eastAsia="仿宋" w:cs="仿宋"/>
          <w:color w:val="auto"/>
          <w:sz w:val="32"/>
          <w:szCs w:val="32"/>
          <w:highlight w:val="none"/>
          <w:lang w:val="en-US" w:eastAsia="zh-CN"/>
        </w:rPr>
        <w:t>执行《大气污染物综合排放标准》（GB16297-1996）表2中二级标准限值，无组织排放执行</w:t>
      </w:r>
      <w:r>
        <w:rPr>
          <w:rStyle w:val="15"/>
          <w:rFonts w:hint="default" w:ascii="仿宋" w:hAnsi="仿宋" w:eastAsia="仿宋" w:cs="Times New Roman"/>
          <w:color w:val="auto"/>
          <w:sz w:val="32"/>
          <w:szCs w:val="32"/>
          <w:highlight w:val="none"/>
          <w:lang w:val="en-US" w:eastAsia="zh-CN"/>
        </w:rPr>
        <w:t>表2</w:t>
      </w:r>
      <w:r>
        <w:rPr>
          <w:rStyle w:val="15"/>
          <w:rFonts w:hint="eastAsia" w:ascii="仿宋" w:hAnsi="仿宋" w:eastAsia="仿宋" w:cs="Times New Roman"/>
          <w:color w:val="auto"/>
          <w:sz w:val="32"/>
          <w:szCs w:val="32"/>
          <w:highlight w:val="none"/>
          <w:lang w:val="en-US" w:eastAsia="zh-CN"/>
        </w:rPr>
        <w:t>中无组织排放监控浓度限值</w:t>
      </w:r>
      <w:r>
        <w:rPr>
          <w:rFonts w:hint="eastAsia" w:ascii="仿宋" w:hAnsi="仿宋" w:eastAsia="仿宋" w:cs="仿宋"/>
          <w:color w:val="auto"/>
          <w:sz w:val="32"/>
          <w:szCs w:val="32"/>
          <w:highlight w:val="none"/>
          <w:lang w:val="en-US"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0"/>
        <w:jc w:val="both"/>
        <w:textAlignment w:val="auto"/>
        <w:rPr>
          <w:rStyle w:val="15"/>
          <w:rFonts w:hint="eastAsia" w:ascii="仿宋" w:hAnsi="仿宋" w:eastAsia="仿宋" w:cs="Times New Roman"/>
          <w:color w:val="auto"/>
          <w:sz w:val="32"/>
          <w:szCs w:val="32"/>
          <w:highlight w:val="none"/>
          <w:lang w:val="en-US" w:eastAsia="zh-CN"/>
        </w:rPr>
      </w:pPr>
      <w:r>
        <w:rPr>
          <w:rStyle w:val="15"/>
          <w:rFonts w:hint="default" w:ascii="仿宋" w:hAnsi="仿宋" w:eastAsia="仿宋" w:cs="Times New Roman"/>
          <w:color w:val="auto"/>
          <w:sz w:val="32"/>
          <w:szCs w:val="32"/>
          <w:highlight w:val="none"/>
          <w:lang w:val="en-US" w:eastAsia="zh-CN"/>
        </w:rPr>
        <w:t>运</w:t>
      </w:r>
      <w:r>
        <w:rPr>
          <w:rStyle w:val="15"/>
          <w:rFonts w:hint="eastAsia" w:ascii="仿宋" w:hAnsi="仿宋" w:eastAsia="仿宋" w:cs="Times New Roman"/>
          <w:color w:val="auto"/>
          <w:sz w:val="32"/>
          <w:szCs w:val="32"/>
          <w:highlight w:val="none"/>
          <w:lang w:val="en-US" w:eastAsia="zh-CN"/>
        </w:rPr>
        <w:t>营</w:t>
      </w:r>
      <w:r>
        <w:rPr>
          <w:rStyle w:val="15"/>
          <w:rFonts w:hint="default" w:ascii="仿宋" w:hAnsi="仿宋" w:eastAsia="仿宋" w:cs="Times New Roman"/>
          <w:color w:val="auto"/>
          <w:sz w:val="32"/>
          <w:szCs w:val="32"/>
          <w:highlight w:val="none"/>
          <w:lang w:val="en-US" w:eastAsia="zh-CN"/>
        </w:rPr>
        <w:t>期</w:t>
      </w:r>
      <w:r>
        <w:rPr>
          <w:rStyle w:val="15"/>
          <w:rFonts w:hint="eastAsia" w:ascii="仿宋" w:hAnsi="仿宋" w:eastAsia="仿宋" w:cs="Times New Roman"/>
          <w:color w:val="auto"/>
          <w:sz w:val="32"/>
          <w:szCs w:val="32"/>
          <w:highlight w:val="none"/>
          <w:lang w:val="en-US" w:eastAsia="zh-CN"/>
        </w:rPr>
        <w:t>不产生生产废水，生活污水依托园区环卫设施。</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0"/>
        <w:jc w:val="both"/>
        <w:textAlignment w:val="auto"/>
        <w:rPr>
          <w:rStyle w:val="15"/>
          <w:rFonts w:hint="eastAsia" w:ascii="仿宋" w:hAnsi="仿宋" w:eastAsia="仿宋"/>
          <w:color w:val="auto"/>
          <w:sz w:val="32"/>
          <w:szCs w:val="32"/>
        </w:rPr>
      </w:pPr>
      <w:r>
        <w:rPr>
          <w:rStyle w:val="15"/>
          <w:rFonts w:hint="eastAsia" w:ascii="仿宋" w:hAnsi="仿宋" w:eastAsia="仿宋"/>
          <w:color w:val="auto"/>
          <w:sz w:val="32"/>
          <w:szCs w:val="32"/>
          <w:highlight w:val="none"/>
        </w:rPr>
        <w:t>运营期厂界噪声执行《工业企</w:t>
      </w:r>
      <w:r>
        <w:rPr>
          <w:rStyle w:val="15"/>
          <w:rFonts w:hint="eastAsia" w:ascii="仿宋" w:hAnsi="仿宋" w:eastAsia="仿宋"/>
          <w:color w:val="auto"/>
          <w:sz w:val="32"/>
          <w:szCs w:val="32"/>
        </w:rPr>
        <w:t>业厂界环境噪声排放</w:t>
      </w:r>
      <w:r>
        <w:rPr>
          <w:rStyle w:val="15"/>
          <w:rFonts w:hint="eastAsia" w:ascii="仿宋" w:hAnsi="仿宋" w:eastAsia="仿宋"/>
          <w:color w:val="auto"/>
          <w:sz w:val="32"/>
          <w:szCs w:val="32"/>
          <w:lang w:val="en-US" w:eastAsia="zh-CN"/>
        </w:rPr>
        <w:t>标</w:t>
      </w:r>
      <w:r>
        <w:rPr>
          <w:rStyle w:val="15"/>
          <w:rFonts w:hint="eastAsia" w:ascii="仿宋" w:hAnsi="仿宋" w:eastAsia="仿宋"/>
          <w:color w:val="auto"/>
          <w:sz w:val="32"/>
          <w:szCs w:val="32"/>
        </w:rPr>
        <w:t>准》（GB12348-2008）中</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类标准。</w:t>
      </w:r>
    </w:p>
    <w:p>
      <w:pPr>
        <w:pStyle w:val="3"/>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strike w:val="0"/>
          <w:dstrike w:val="0"/>
          <w:color w:val="auto"/>
          <w:kern w:val="0"/>
          <w:sz w:val="32"/>
          <w:szCs w:val="32"/>
          <w:lang w:val="en-US" w:eastAsia="zh-CN" w:bidi="ar-SA"/>
        </w:rPr>
        <w:t>危险废</w:t>
      </w: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物收集、贮存和运输等均</w:t>
      </w:r>
      <w:r>
        <w:rPr>
          <w:rFonts w:hint="eastAsia" w:ascii="仿宋" w:hAnsi="仿宋" w:eastAsia="仿宋" w:cs="仿宋"/>
          <w:strike w:val="0"/>
          <w:dstrike w:val="0"/>
          <w:color w:val="auto"/>
          <w:kern w:val="0"/>
          <w:sz w:val="32"/>
          <w:szCs w:val="32"/>
          <w:lang w:val="en-US" w:eastAsia="zh-CN" w:bidi="ar-SA"/>
        </w:rPr>
        <w:t>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Style w:val="15"/>
          <w:rFonts w:hint="eastAsia" w:ascii="仿宋" w:hAnsi="仿宋" w:eastAsia="仿宋"/>
          <w:color w:val="auto"/>
          <w:sz w:val="32"/>
          <w:szCs w:val="32"/>
          <w:lang w:val="en-US" w:eastAsia="zh-CN"/>
        </w:rPr>
        <w:t>地面须按相关要求做好防渗措施，确保不会对地下水造成影响。</w:t>
      </w:r>
    </w:p>
    <w:p>
      <w:pPr>
        <w:pStyle w:val="3"/>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1" w:firstLineChars="0"/>
        <w:jc w:val="both"/>
        <w:textAlignment w:val="baseline"/>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pP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强化环境风险防范，提高事故风险防范和污染控制能力。加强危险废物收集和储运管理，在储油区相关区域设置泄漏和事故自动监控报警系统，建立巡查、检查和风险管理制度并严格落实，避免事故发生。在储油区周边设置三级防控体系，配备必要的应急物资和个人防护设备，保障事故污水不进入外环境。制定突发环境事件应急预案，与当地政府及相关单位应急预案实施联动，定期组织开展应急演练，严格落实各项应急管理及环境风险防范措施，一旦出现问题及时妥善处理。</w:t>
      </w:r>
    </w:p>
    <w:p>
      <w:pPr>
        <w:pStyle w:val="3"/>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1" w:firstLineChars="0"/>
        <w:jc w:val="both"/>
        <w:textAlignment w:val="baseline"/>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pP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你公司应按照</w:t>
      </w:r>
      <w:r>
        <w:rPr>
          <w:rFonts w:hint="default" w:ascii="仿宋" w:hAnsi="仿宋" w:eastAsia="仿宋" w:cs="仿宋"/>
          <w:color w:val="000000" w:themeColor="text1"/>
          <w:sz w:val="32"/>
          <w:szCs w:val="32"/>
          <w:lang w:val="en-US"/>
          <w14:textFill>
            <w14:solidFill>
              <w14:schemeClr w14:val="tx1"/>
            </w14:solidFill>
          </w14:textFill>
        </w:rPr>
        <w:t>《危险废物</w:t>
      </w:r>
      <w:r>
        <w:rPr>
          <w:rFonts w:hint="eastAsia" w:ascii="仿宋" w:hAnsi="仿宋" w:eastAsia="仿宋" w:cs="仿宋"/>
          <w:color w:val="000000" w:themeColor="text1"/>
          <w:sz w:val="32"/>
          <w:szCs w:val="32"/>
          <w:lang w:val="en-US" w:eastAsia="zh-CN"/>
          <w14:textFill>
            <w14:solidFill>
              <w14:schemeClr w14:val="tx1"/>
            </w14:solidFill>
          </w14:textFill>
        </w:rPr>
        <w:t>经营许可证管理办法</w:t>
      </w:r>
      <w:r>
        <w:rPr>
          <w:rFonts w:hint="default" w:ascii="仿宋" w:hAnsi="仿宋" w:eastAsia="仿宋" w:cs="仿宋"/>
          <w:color w:val="000000" w:themeColor="text1"/>
          <w:sz w:val="32"/>
          <w:szCs w:val="32"/>
          <w:lang w:val="en-US"/>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规定获得经营许可证，严禁无经营许可证或者不按照经营许可证规定从事危险废物收集、贮存经营活动。</w:t>
      </w:r>
    </w:p>
    <w:p>
      <w:pPr>
        <w:pStyle w:val="3"/>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1" w:firstLineChars="0"/>
        <w:jc w:val="both"/>
        <w:textAlignment w:val="baseline"/>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pP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你单位应委托有相应资质的设计单位对建设项目重点环保设施进行设计，并在项目施工及运行过程中严格落实环保设施安全生产工作要求。</w:t>
      </w:r>
    </w:p>
    <w:p>
      <w:pPr>
        <w:pStyle w:val="3"/>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1" w:firstLineChars="0"/>
        <w:jc w:val="both"/>
        <w:textAlignment w:val="baseline"/>
        <w:rPr>
          <w:rStyle w:val="15"/>
          <w:rFonts w:ascii="仿宋" w:hAnsi="仿宋" w:eastAsia="仿宋"/>
          <w:color w:val="000000" w:themeColor="text1"/>
          <w:sz w:val="32"/>
          <w:szCs w:val="32"/>
          <w14:textFill>
            <w14:solidFill>
              <w14:schemeClr w14:val="tx1"/>
            </w14:solidFill>
          </w14:textFill>
        </w:rPr>
      </w:pPr>
      <w:r>
        <w:rPr>
          <w:rStyle w:val="15"/>
          <w:rFonts w:hint="eastAsia" w:ascii="仿宋" w:hAnsi="仿宋" w:eastAsia="仿宋"/>
          <w:color w:val="000000" w:themeColor="text1"/>
          <w:sz w:val="32"/>
          <w:szCs w:val="32"/>
          <w14:textFill>
            <w14:solidFill>
              <w14:schemeClr w14:val="tx1"/>
            </w14:solidFill>
          </w14:textFill>
        </w:rPr>
        <w:t>你单位在该项目环保申报过程中如有瞒报、假报情形，则是严重的违法行为，须承担因此产生的一切后果。</w:t>
      </w:r>
    </w:p>
    <w:p>
      <w:pPr>
        <w:pStyle w:val="3"/>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1" w:firstLineChars="0"/>
        <w:jc w:val="both"/>
        <w:textAlignment w:val="baseline"/>
        <w:rPr>
          <w:rStyle w:val="15"/>
          <w:rFonts w:ascii="仿宋" w:hAnsi="仿宋" w:eastAsia="仿宋"/>
          <w:color w:val="000000" w:themeColor="text1"/>
          <w:sz w:val="32"/>
          <w:szCs w:val="32"/>
          <w14:textFill>
            <w14:solidFill>
              <w14:schemeClr w14:val="tx1"/>
            </w14:solidFill>
          </w14:textFill>
        </w:rPr>
      </w:pPr>
      <w:r>
        <w:rPr>
          <w:rStyle w:val="15"/>
          <w:rFonts w:hint="eastAsia" w:ascii="仿宋" w:hAnsi="仿宋" w:eastAsia="仿宋"/>
          <w:color w:val="000000" w:themeColor="text1"/>
          <w:sz w:val="32"/>
          <w:szCs w:val="32"/>
          <w14:textFill>
            <w14:solidFill>
              <w14:schemeClr w14:val="tx1"/>
            </w14:solidFill>
          </w14:textFill>
        </w:rPr>
        <w:t>项目建设必须严格执行环境保护“三同时”制度。项目竣工后，须按照规定程序实施竣工环境保护验收。</w:t>
      </w:r>
    </w:p>
    <w:p>
      <w:pPr>
        <w:pStyle w:val="3"/>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1" w:firstLineChars="0"/>
        <w:jc w:val="both"/>
        <w:textAlignment w:val="baseline"/>
        <w:rPr>
          <w:rStyle w:val="15"/>
          <w:rFonts w:ascii="仿宋" w:hAnsi="仿宋" w:eastAsia="仿宋"/>
          <w:color w:val="auto"/>
          <w:sz w:val="32"/>
          <w:szCs w:val="32"/>
        </w:rPr>
      </w:pPr>
      <w:r>
        <w:rPr>
          <w:rStyle w:val="15"/>
          <w:rFonts w:eastAsia="仿宋"/>
          <w:color w:val="000000" w:themeColor="text1"/>
          <w:sz w:val="32"/>
          <w:szCs w:val="32"/>
          <w14:textFill>
            <w14:solidFill>
              <w14:schemeClr w14:val="tx1"/>
            </w14:solidFill>
          </w14:textFill>
        </w:rPr>
        <w:t>你</w:t>
      </w:r>
      <w:r>
        <w:rPr>
          <w:rStyle w:val="15"/>
          <w:rFonts w:hint="eastAsia" w:eastAsia="仿宋"/>
          <w:color w:val="000000" w:themeColor="text1"/>
          <w:sz w:val="32"/>
          <w:szCs w:val="32"/>
          <w14:textFill>
            <w14:solidFill>
              <w14:schemeClr w14:val="tx1"/>
            </w14:solidFill>
          </w14:textFill>
        </w:rPr>
        <w:t>单位</w:t>
      </w:r>
      <w:r>
        <w:rPr>
          <w:rStyle w:val="15"/>
          <w:rFonts w:eastAsia="仿宋"/>
          <w:color w:val="000000" w:themeColor="text1"/>
          <w:sz w:val="32"/>
          <w:szCs w:val="32"/>
          <w14:textFill>
            <w14:solidFill>
              <w14:schemeClr w14:val="tx1"/>
            </w14:solidFill>
          </w14:textFill>
        </w:rPr>
        <w:t>应在收到本批复20日内，将《报告表》（报批版）及批复文件送至鄂尔多斯市生态环境综合</w:t>
      </w:r>
      <w:r>
        <w:rPr>
          <w:rStyle w:val="15"/>
          <w:rFonts w:eastAsia="仿宋"/>
          <w:color w:val="auto"/>
          <w:sz w:val="32"/>
          <w:szCs w:val="32"/>
        </w:rPr>
        <w:t>行政执法支队东胜区大队，由鄂尔多斯市生态环境综合行政执法支队东胜区大队负责</w:t>
      </w:r>
      <w:r>
        <w:rPr>
          <w:rStyle w:val="15"/>
          <w:rFonts w:hint="eastAsia" w:eastAsia="仿宋"/>
          <w:color w:val="auto"/>
          <w:sz w:val="32"/>
          <w:szCs w:val="32"/>
        </w:rPr>
        <w:t>该项目的</w:t>
      </w:r>
      <w:r>
        <w:rPr>
          <w:rStyle w:val="15"/>
          <w:rFonts w:eastAsia="仿宋"/>
          <w:color w:val="auto"/>
          <w:sz w:val="32"/>
          <w:szCs w:val="32"/>
        </w:rPr>
        <w:t>事中事后监管</w:t>
      </w:r>
      <w:r>
        <w:rPr>
          <w:rFonts w:eastAsia="仿宋"/>
          <w:color w:val="auto"/>
          <w:sz w:val="32"/>
          <w:szCs w:val="32"/>
        </w:rPr>
        <w:t>。</w:t>
      </w:r>
      <w:r>
        <w:rPr>
          <w:rStyle w:val="15"/>
          <w:rFonts w:ascii="仿宋" w:hAnsi="仿宋" w:eastAsia="仿宋"/>
          <w:color w:val="auto"/>
          <w:sz w:val="32"/>
          <w:szCs w:val="32"/>
        </w:rPr>
        <w:t xml:space="preserve">                                                                                                 </w:t>
      </w:r>
    </w:p>
    <w:p>
      <w:pPr>
        <w:pStyle w:val="3"/>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0"/>
        <w:jc w:val="both"/>
        <w:rPr>
          <w:rStyle w:val="15"/>
          <w:rFonts w:ascii="仿宋" w:hAnsi="仿宋" w:eastAsia="仿宋"/>
          <w:color w:val="auto"/>
          <w:sz w:val="32"/>
          <w:szCs w:val="32"/>
        </w:rPr>
      </w:pPr>
      <w:r>
        <w:rPr>
          <w:rStyle w:val="15"/>
          <w:rFonts w:hint="eastAsia" w:ascii="仿宋" w:hAnsi="仿宋" w:eastAsia="仿宋"/>
          <w:color w:val="auto"/>
          <w:sz w:val="32"/>
          <w:szCs w:val="32"/>
        </w:rPr>
        <w:t>该项目从批准之日起超过</w:t>
      </w:r>
      <w:r>
        <w:rPr>
          <w:rStyle w:val="15"/>
          <w:rFonts w:ascii="仿宋" w:hAnsi="仿宋" w:eastAsia="仿宋"/>
          <w:color w:val="auto"/>
          <w:sz w:val="32"/>
          <w:szCs w:val="32"/>
        </w:rPr>
        <w:t>5</w:t>
      </w:r>
      <w:r>
        <w:rPr>
          <w:rStyle w:val="15"/>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2"/>
        <w:keepNext w:val="0"/>
        <w:keepLines w:val="0"/>
        <w:pageBreakBefore w:val="0"/>
        <w:widowControl/>
        <w:kinsoku/>
        <w:wordWrap/>
        <w:overflowPunct/>
        <w:topLinePunct w:val="0"/>
        <w:autoSpaceDE/>
        <w:autoSpaceDN/>
        <w:bidi w:val="0"/>
        <w:adjustRightInd/>
        <w:snapToGrid/>
        <w:spacing w:line="560" w:lineRule="exact"/>
        <w:ind w:firstLine="0"/>
        <w:rPr>
          <w:color w:val="auto"/>
        </w:rPr>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5"/>
          <w:rFonts w:hint="eastAsia" w:ascii="仿宋" w:hAnsi="仿宋" w:eastAsia="仿宋"/>
          <w:color w:val="auto"/>
          <w:sz w:val="32"/>
          <w:szCs w:val="32"/>
        </w:rPr>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5"/>
          <w:rFonts w:ascii="仿宋" w:hAnsi="仿宋" w:eastAsia="仿宋"/>
          <w:color w:val="auto"/>
          <w:sz w:val="32"/>
          <w:szCs w:val="32"/>
        </w:rPr>
      </w:pPr>
      <w:r>
        <w:rPr>
          <w:rStyle w:val="15"/>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ascii="仿宋" w:hAnsi="仿宋" w:eastAsia="仿宋"/>
          <w:color w:val="auto"/>
          <w:sz w:val="32"/>
          <w:szCs w:val="32"/>
        </w:rPr>
      </w:pPr>
      <w:r>
        <w:rPr>
          <w:rStyle w:val="15"/>
          <w:rFonts w:ascii="仿宋" w:hAnsi="仿宋" w:eastAsia="仿宋"/>
          <w:color w:val="auto"/>
          <w:sz w:val="32"/>
          <w:szCs w:val="32"/>
        </w:rPr>
        <w:t xml:space="preserve">                           202</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年</w:t>
      </w:r>
      <w:r>
        <w:rPr>
          <w:rStyle w:val="15"/>
          <w:rFonts w:hint="eastAsia" w:ascii="仿宋" w:hAnsi="仿宋" w:eastAsia="仿宋"/>
          <w:color w:val="auto"/>
          <w:sz w:val="32"/>
          <w:szCs w:val="32"/>
          <w:lang w:val="en-US" w:eastAsia="zh-CN"/>
        </w:rPr>
        <w:t>4</w:t>
      </w:r>
      <w:r>
        <w:rPr>
          <w:rStyle w:val="15"/>
          <w:rFonts w:hint="eastAsia" w:ascii="仿宋" w:hAnsi="仿宋" w:eastAsia="仿宋"/>
          <w:color w:val="auto"/>
          <w:sz w:val="32"/>
          <w:szCs w:val="32"/>
        </w:rPr>
        <w:t>月</w:t>
      </w:r>
      <w:r>
        <w:rPr>
          <w:rStyle w:val="15"/>
          <w:rFonts w:hint="eastAsia" w:ascii="仿宋" w:hAnsi="仿宋" w:eastAsia="仿宋"/>
          <w:color w:val="auto"/>
          <w:sz w:val="32"/>
          <w:szCs w:val="32"/>
          <w:lang w:val="en-US" w:eastAsia="zh-CN"/>
        </w:rPr>
        <w:t>27</w:t>
      </w:r>
      <w:r>
        <w:rPr>
          <w:rStyle w:val="15"/>
          <w:rFonts w:hint="eastAsia" w:ascii="仿宋" w:hAnsi="仿宋" w:eastAsia="仿宋"/>
          <w:color w:val="auto"/>
          <w:sz w:val="32"/>
          <w:szCs w:val="32"/>
        </w:rPr>
        <w:t>日</w:t>
      </w:r>
      <w:r>
        <w:rPr>
          <w:rStyle w:val="15"/>
          <w:rFonts w:ascii="仿宋" w:hAnsi="仿宋" w:eastAsia="仿宋"/>
          <w:color w:val="auto"/>
          <w:sz w:val="32"/>
          <w:szCs w:val="32"/>
        </w:rPr>
        <w:t xml:space="preserve">  </w:t>
      </w:r>
    </w:p>
    <w:p>
      <w:pPr>
        <w:pStyle w:val="2"/>
        <w:rPr>
          <w:rStyle w:val="15"/>
          <w:rFonts w:ascii="仿宋" w:hAnsi="仿宋" w:eastAsia="仿宋"/>
          <w:color w:val="auto"/>
          <w:sz w:val="32"/>
          <w:szCs w:val="32"/>
        </w:rPr>
      </w:pPr>
    </w:p>
    <w:p>
      <w:pPr>
        <w:pStyle w:val="3"/>
        <w:rPr>
          <w:rStyle w:val="15"/>
          <w:rFonts w:ascii="仿宋" w:hAnsi="仿宋" w:eastAsia="仿宋"/>
          <w:color w:val="auto"/>
          <w:sz w:val="32"/>
          <w:szCs w:val="32"/>
        </w:rPr>
      </w:pPr>
    </w:p>
    <w:p>
      <w:pPr>
        <w:pStyle w:val="2"/>
        <w:ind w:left="0" w:leftChars="0" w:firstLine="0" w:firstLineChars="0"/>
      </w:pPr>
    </w:p>
    <w:p>
      <w:pPr>
        <w:spacing w:line="560" w:lineRule="exact"/>
        <w:ind w:right="168" w:firstLine="210" w:firstLineChars="100"/>
        <w:rPr>
          <w:rStyle w:val="15"/>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5"/>
          <w:rFonts w:hint="eastAsia" w:ascii="仿宋" w:hAnsi="仿宋" w:eastAsia="仿宋"/>
          <w:color w:val="auto"/>
          <w:sz w:val="28"/>
          <w:szCs w:val="28"/>
          <w:lang w:eastAsia="zh-CN"/>
        </w:rPr>
        <w:t>鄂</w:t>
      </w:r>
      <w:r>
        <w:rPr>
          <w:rStyle w:val="15"/>
          <w:rFonts w:hint="eastAsia" w:ascii="仿宋" w:hAnsi="仿宋" w:eastAsia="仿宋"/>
          <w:color w:val="auto"/>
          <w:sz w:val="28"/>
          <w:szCs w:val="28"/>
        </w:rPr>
        <w:t>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5"/>
          <w:rFonts w:ascii="仿宋" w:hAnsi="仿宋" w:eastAsia="仿宋"/>
          <w:color w:val="auto"/>
          <w:sz w:val="28"/>
          <w:szCs w:val="28"/>
        </w:rPr>
        <w:t xml:space="preserve">       </w:t>
      </w:r>
      <w:r>
        <w:rPr>
          <w:rStyle w:val="15"/>
          <w:rFonts w:hint="eastAsia" w:ascii="仿宋" w:hAnsi="仿宋" w:eastAsia="仿宋"/>
          <w:color w:val="auto"/>
          <w:sz w:val="28"/>
          <w:szCs w:val="28"/>
          <w:lang w:val="en-US" w:eastAsia="zh-CN"/>
        </w:rPr>
        <w:t xml:space="preserve"> </w:t>
      </w:r>
      <w:r>
        <w:rPr>
          <w:rStyle w:val="15"/>
          <w:rFonts w:ascii="仿宋" w:hAnsi="仿宋" w:eastAsia="仿宋"/>
          <w:color w:val="auto"/>
          <w:sz w:val="28"/>
          <w:szCs w:val="28"/>
        </w:rPr>
        <w:t xml:space="preserve">  202</w:t>
      </w:r>
      <w:r>
        <w:rPr>
          <w:rStyle w:val="15"/>
          <w:rFonts w:hint="eastAsia" w:ascii="仿宋" w:hAnsi="仿宋" w:eastAsia="仿宋"/>
          <w:color w:val="auto"/>
          <w:sz w:val="28"/>
          <w:szCs w:val="28"/>
          <w:lang w:val="en-US" w:eastAsia="zh-CN"/>
        </w:rPr>
        <w:t>3</w:t>
      </w:r>
      <w:r>
        <w:rPr>
          <w:rStyle w:val="15"/>
          <w:rFonts w:hint="eastAsia" w:ascii="仿宋" w:hAnsi="仿宋" w:eastAsia="仿宋"/>
          <w:color w:val="auto"/>
          <w:sz w:val="28"/>
          <w:szCs w:val="28"/>
        </w:rPr>
        <w:t>年</w:t>
      </w:r>
      <w:r>
        <w:rPr>
          <w:rStyle w:val="15"/>
          <w:rFonts w:hint="eastAsia" w:ascii="仿宋" w:hAnsi="仿宋" w:eastAsia="仿宋"/>
          <w:color w:val="auto"/>
          <w:sz w:val="28"/>
          <w:szCs w:val="28"/>
          <w:lang w:val="en-US" w:eastAsia="zh-CN"/>
        </w:rPr>
        <w:t>4</w:t>
      </w:r>
      <w:r>
        <w:rPr>
          <w:rStyle w:val="15"/>
          <w:rFonts w:hint="eastAsia" w:ascii="仿宋" w:hAnsi="仿宋" w:eastAsia="仿宋"/>
          <w:color w:val="auto"/>
          <w:sz w:val="28"/>
          <w:szCs w:val="28"/>
        </w:rPr>
        <w:t>月</w:t>
      </w:r>
      <w:r>
        <w:rPr>
          <w:rStyle w:val="15"/>
          <w:rFonts w:hint="eastAsia" w:ascii="仿宋" w:hAnsi="仿宋" w:eastAsia="仿宋"/>
          <w:color w:val="auto"/>
          <w:sz w:val="28"/>
          <w:szCs w:val="28"/>
          <w:lang w:val="en-US" w:eastAsia="zh-CN"/>
        </w:rPr>
        <w:t>27</w:t>
      </w:r>
      <w:r>
        <w:rPr>
          <w:rStyle w:val="15"/>
          <w:rFonts w:hint="eastAsia" w:ascii="仿宋" w:hAnsi="仿宋" w:eastAsia="仿宋"/>
          <w:color w:val="auto"/>
          <w:sz w:val="28"/>
          <w:szCs w:val="28"/>
        </w:rPr>
        <w:t>日印发</w:t>
      </w:r>
      <w:r>
        <w:rPr>
          <w:rStyle w:val="15"/>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720"/>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- 2 -</w:t>
                    </w:r>
                    <w:r>
                      <w:fldChar w:fldCharType="end"/>
                    </w:r>
                  </w:p>
                </w:txbxContent>
              </v:textbox>
            </v:shape>
          </w:pict>
        </mc:Fallback>
      </mc:AlternateContent>
    </w:r>
  </w:p>
  <w:p>
    <w:pPr>
      <w:pStyle w:val="8"/>
      <w:rPr>
        <w:rStyle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5"/>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6254FC"/>
    <w:rsid w:val="01AC556B"/>
    <w:rsid w:val="02DD4C33"/>
    <w:rsid w:val="02DD5B4F"/>
    <w:rsid w:val="02F3233D"/>
    <w:rsid w:val="0358144A"/>
    <w:rsid w:val="037E4FBC"/>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823B7D"/>
    <w:rsid w:val="059A4722"/>
    <w:rsid w:val="05D94866"/>
    <w:rsid w:val="060A1C1B"/>
    <w:rsid w:val="06191689"/>
    <w:rsid w:val="06CA02D1"/>
    <w:rsid w:val="06CC5F39"/>
    <w:rsid w:val="06E35A8B"/>
    <w:rsid w:val="06F42603"/>
    <w:rsid w:val="06F55023"/>
    <w:rsid w:val="071479B9"/>
    <w:rsid w:val="075C516B"/>
    <w:rsid w:val="075E259A"/>
    <w:rsid w:val="075F5B44"/>
    <w:rsid w:val="07E24DC5"/>
    <w:rsid w:val="08660559"/>
    <w:rsid w:val="088554D8"/>
    <w:rsid w:val="08A1120A"/>
    <w:rsid w:val="08AD4A87"/>
    <w:rsid w:val="08B51389"/>
    <w:rsid w:val="08CE2C2B"/>
    <w:rsid w:val="08EA5D86"/>
    <w:rsid w:val="08FE4C90"/>
    <w:rsid w:val="090362EF"/>
    <w:rsid w:val="090866C9"/>
    <w:rsid w:val="097134F8"/>
    <w:rsid w:val="098F5074"/>
    <w:rsid w:val="09B06929"/>
    <w:rsid w:val="09BE6112"/>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10086C86"/>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F6904"/>
    <w:rsid w:val="170D71FD"/>
    <w:rsid w:val="171F5F2F"/>
    <w:rsid w:val="1747459A"/>
    <w:rsid w:val="178F5508"/>
    <w:rsid w:val="17D90483"/>
    <w:rsid w:val="17E15C23"/>
    <w:rsid w:val="181C5F12"/>
    <w:rsid w:val="18207E93"/>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093E7B"/>
    <w:rsid w:val="1F197ECC"/>
    <w:rsid w:val="1F9A03FC"/>
    <w:rsid w:val="1F9F4FD0"/>
    <w:rsid w:val="1FB13B43"/>
    <w:rsid w:val="1FFD3A90"/>
    <w:rsid w:val="203E5C2F"/>
    <w:rsid w:val="20723F75"/>
    <w:rsid w:val="208B0C0A"/>
    <w:rsid w:val="209F2E8C"/>
    <w:rsid w:val="20C94FCD"/>
    <w:rsid w:val="20CF0133"/>
    <w:rsid w:val="21500F9E"/>
    <w:rsid w:val="217D77E0"/>
    <w:rsid w:val="21EF70BE"/>
    <w:rsid w:val="220E66BC"/>
    <w:rsid w:val="221B45B1"/>
    <w:rsid w:val="2265588B"/>
    <w:rsid w:val="228C2292"/>
    <w:rsid w:val="233D40F4"/>
    <w:rsid w:val="23541649"/>
    <w:rsid w:val="235E3785"/>
    <w:rsid w:val="23921405"/>
    <w:rsid w:val="23C9100A"/>
    <w:rsid w:val="24421E65"/>
    <w:rsid w:val="24855506"/>
    <w:rsid w:val="249B1395"/>
    <w:rsid w:val="24C456C6"/>
    <w:rsid w:val="24F868A6"/>
    <w:rsid w:val="25125EFC"/>
    <w:rsid w:val="252E1F46"/>
    <w:rsid w:val="25366867"/>
    <w:rsid w:val="2537664C"/>
    <w:rsid w:val="253C64B1"/>
    <w:rsid w:val="25733248"/>
    <w:rsid w:val="25AA1BAB"/>
    <w:rsid w:val="25AF47C5"/>
    <w:rsid w:val="25D60BC4"/>
    <w:rsid w:val="25D873ED"/>
    <w:rsid w:val="25F75335"/>
    <w:rsid w:val="260007C3"/>
    <w:rsid w:val="261325BB"/>
    <w:rsid w:val="267000E4"/>
    <w:rsid w:val="269E1BDF"/>
    <w:rsid w:val="26C86AE1"/>
    <w:rsid w:val="26D42514"/>
    <w:rsid w:val="27063174"/>
    <w:rsid w:val="2745621A"/>
    <w:rsid w:val="274B306C"/>
    <w:rsid w:val="277A554C"/>
    <w:rsid w:val="28150F91"/>
    <w:rsid w:val="288E0726"/>
    <w:rsid w:val="289A0EE5"/>
    <w:rsid w:val="28A2177B"/>
    <w:rsid w:val="28DA25CC"/>
    <w:rsid w:val="2956242B"/>
    <w:rsid w:val="29625978"/>
    <w:rsid w:val="29BE7B24"/>
    <w:rsid w:val="29C9460B"/>
    <w:rsid w:val="29EC1002"/>
    <w:rsid w:val="2A173A82"/>
    <w:rsid w:val="2A27019D"/>
    <w:rsid w:val="2A4A7282"/>
    <w:rsid w:val="2A77431C"/>
    <w:rsid w:val="2AB8571B"/>
    <w:rsid w:val="2ABD6442"/>
    <w:rsid w:val="2ACC2BBA"/>
    <w:rsid w:val="2ACD268E"/>
    <w:rsid w:val="2AF53CB3"/>
    <w:rsid w:val="2B496FAB"/>
    <w:rsid w:val="2B5F7DC4"/>
    <w:rsid w:val="2BD26C46"/>
    <w:rsid w:val="2BDE5B5E"/>
    <w:rsid w:val="2C3F708C"/>
    <w:rsid w:val="2C871D94"/>
    <w:rsid w:val="2CAE4D3A"/>
    <w:rsid w:val="2CE7407F"/>
    <w:rsid w:val="2CFB6C68"/>
    <w:rsid w:val="2D5C4C74"/>
    <w:rsid w:val="2D5F771D"/>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687F08"/>
    <w:rsid w:val="31B97443"/>
    <w:rsid w:val="31E74361"/>
    <w:rsid w:val="32213506"/>
    <w:rsid w:val="322F75E5"/>
    <w:rsid w:val="3239406E"/>
    <w:rsid w:val="3245462B"/>
    <w:rsid w:val="324A1DD6"/>
    <w:rsid w:val="32862408"/>
    <w:rsid w:val="32A41A78"/>
    <w:rsid w:val="33086177"/>
    <w:rsid w:val="332A6495"/>
    <w:rsid w:val="333016EF"/>
    <w:rsid w:val="33314FCC"/>
    <w:rsid w:val="334F543C"/>
    <w:rsid w:val="336D70A5"/>
    <w:rsid w:val="33A76983"/>
    <w:rsid w:val="33C63C91"/>
    <w:rsid w:val="33CD0AF4"/>
    <w:rsid w:val="343D6FC0"/>
    <w:rsid w:val="34525876"/>
    <w:rsid w:val="346C54C4"/>
    <w:rsid w:val="3587701E"/>
    <w:rsid w:val="361479B3"/>
    <w:rsid w:val="362A341F"/>
    <w:rsid w:val="365F2ED2"/>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2A2A41"/>
    <w:rsid w:val="389B5401"/>
    <w:rsid w:val="38B32843"/>
    <w:rsid w:val="39625ABB"/>
    <w:rsid w:val="39750C1A"/>
    <w:rsid w:val="39815D3F"/>
    <w:rsid w:val="39CB16C6"/>
    <w:rsid w:val="39CE6D77"/>
    <w:rsid w:val="39CF3432"/>
    <w:rsid w:val="3A102EB3"/>
    <w:rsid w:val="3A1559AB"/>
    <w:rsid w:val="3A1716A8"/>
    <w:rsid w:val="3A2C25BF"/>
    <w:rsid w:val="3A4100A2"/>
    <w:rsid w:val="3A420ECD"/>
    <w:rsid w:val="3A52002D"/>
    <w:rsid w:val="3AEA62F0"/>
    <w:rsid w:val="3B164E12"/>
    <w:rsid w:val="3B433FA0"/>
    <w:rsid w:val="3B7405F8"/>
    <w:rsid w:val="3B8024AE"/>
    <w:rsid w:val="3BCA2CB8"/>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EA64CB"/>
    <w:rsid w:val="3FF57D0C"/>
    <w:rsid w:val="3FFB782D"/>
    <w:rsid w:val="401A75E2"/>
    <w:rsid w:val="40333ECA"/>
    <w:rsid w:val="40A601F0"/>
    <w:rsid w:val="40B345F0"/>
    <w:rsid w:val="40BF08B4"/>
    <w:rsid w:val="411D0018"/>
    <w:rsid w:val="41292B2D"/>
    <w:rsid w:val="413328ED"/>
    <w:rsid w:val="41392B4A"/>
    <w:rsid w:val="413F1DCA"/>
    <w:rsid w:val="41BD45FA"/>
    <w:rsid w:val="41C31E09"/>
    <w:rsid w:val="41D47B54"/>
    <w:rsid w:val="42096DA4"/>
    <w:rsid w:val="42427E61"/>
    <w:rsid w:val="42571ED3"/>
    <w:rsid w:val="42817701"/>
    <w:rsid w:val="42A12AD7"/>
    <w:rsid w:val="42B31FAB"/>
    <w:rsid w:val="42C15BDB"/>
    <w:rsid w:val="431B4412"/>
    <w:rsid w:val="4331043E"/>
    <w:rsid w:val="4331172A"/>
    <w:rsid w:val="433E53DA"/>
    <w:rsid w:val="439E58A0"/>
    <w:rsid w:val="43B31C0B"/>
    <w:rsid w:val="43DA60A1"/>
    <w:rsid w:val="43E35A87"/>
    <w:rsid w:val="43E47CCF"/>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6FC1A4C"/>
    <w:rsid w:val="47187FE4"/>
    <w:rsid w:val="4719630E"/>
    <w:rsid w:val="47310F34"/>
    <w:rsid w:val="47352FEC"/>
    <w:rsid w:val="47413DCB"/>
    <w:rsid w:val="47463708"/>
    <w:rsid w:val="477C5B9E"/>
    <w:rsid w:val="4780431E"/>
    <w:rsid w:val="479235C6"/>
    <w:rsid w:val="47AA14A8"/>
    <w:rsid w:val="481E12C4"/>
    <w:rsid w:val="482F22FC"/>
    <w:rsid w:val="483A153F"/>
    <w:rsid w:val="48714DBB"/>
    <w:rsid w:val="48B325DE"/>
    <w:rsid w:val="49540677"/>
    <w:rsid w:val="49926C6C"/>
    <w:rsid w:val="49AA4FB0"/>
    <w:rsid w:val="49DB78B5"/>
    <w:rsid w:val="49E97A04"/>
    <w:rsid w:val="49EA569C"/>
    <w:rsid w:val="4A494A22"/>
    <w:rsid w:val="4A911B79"/>
    <w:rsid w:val="4ADF223E"/>
    <w:rsid w:val="4AF07DCC"/>
    <w:rsid w:val="4B620F05"/>
    <w:rsid w:val="4BA42C32"/>
    <w:rsid w:val="4BAD0F90"/>
    <w:rsid w:val="4C2274BE"/>
    <w:rsid w:val="4CCC0113"/>
    <w:rsid w:val="4CD95DD7"/>
    <w:rsid w:val="4D377F90"/>
    <w:rsid w:val="4D743394"/>
    <w:rsid w:val="4D7C0517"/>
    <w:rsid w:val="4D810B1A"/>
    <w:rsid w:val="4DD86D52"/>
    <w:rsid w:val="4DDE7B5E"/>
    <w:rsid w:val="4E062159"/>
    <w:rsid w:val="4E543FF1"/>
    <w:rsid w:val="4EC56144"/>
    <w:rsid w:val="4F044A24"/>
    <w:rsid w:val="4F0B6B33"/>
    <w:rsid w:val="4F2B1F6E"/>
    <w:rsid w:val="4F3302E1"/>
    <w:rsid w:val="4F4437F3"/>
    <w:rsid w:val="4F452910"/>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1DC4954"/>
    <w:rsid w:val="522D7F16"/>
    <w:rsid w:val="523952D8"/>
    <w:rsid w:val="523B2FBD"/>
    <w:rsid w:val="52400F9E"/>
    <w:rsid w:val="52473BB8"/>
    <w:rsid w:val="5288313B"/>
    <w:rsid w:val="52D27DE3"/>
    <w:rsid w:val="52F33045"/>
    <w:rsid w:val="531F408E"/>
    <w:rsid w:val="53322C3D"/>
    <w:rsid w:val="53385A05"/>
    <w:rsid w:val="53406525"/>
    <w:rsid w:val="534B5C0F"/>
    <w:rsid w:val="53E44017"/>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7184CF1"/>
    <w:rsid w:val="57780B5F"/>
    <w:rsid w:val="57B96494"/>
    <w:rsid w:val="57DD76E9"/>
    <w:rsid w:val="57FC658A"/>
    <w:rsid w:val="57FE5FE5"/>
    <w:rsid w:val="586A1F97"/>
    <w:rsid w:val="589C6ECF"/>
    <w:rsid w:val="58C425E6"/>
    <w:rsid w:val="59597413"/>
    <w:rsid w:val="59B2243E"/>
    <w:rsid w:val="59BA4CD4"/>
    <w:rsid w:val="59EE5797"/>
    <w:rsid w:val="5A412BAE"/>
    <w:rsid w:val="5AC272A3"/>
    <w:rsid w:val="5B307B0A"/>
    <w:rsid w:val="5B362CF7"/>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EF4764"/>
    <w:rsid w:val="625904A9"/>
    <w:rsid w:val="62A3501A"/>
    <w:rsid w:val="62A64AED"/>
    <w:rsid w:val="62BE2B8C"/>
    <w:rsid w:val="62DD052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0017A"/>
    <w:rsid w:val="65B25CB4"/>
    <w:rsid w:val="65CE2481"/>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E1844B8"/>
    <w:rsid w:val="6E541954"/>
    <w:rsid w:val="6E6D5C0E"/>
    <w:rsid w:val="6E7C3113"/>
    <w:rsid w:val="6EA67FA2"/>
    <w:rsid w:val="6EE35AFC"/>
    <w:rsid w:val="6F561AE8"/>
    <w:rsid w:val="6F957251"/>
    <w:rsid w:val="70921C55"/>
    <w:rsid w:val="71283ECD"/>
    <w:rsid w:val="713D11CB"/>
    <w:rsid w:val="7147364E"/>
    <w:rsid w:val="71502437"/>
    <w:rsid w:val="71E362C3"/>
    <w:rsid w:val="7219039A"/>
    <w:rsid w:val="731775B6"/>
    <w:rsid w:val="73BA11B9"/>
    <w:rsid w:val="73D60472"/>
    <w:rsid w:val="73F53D48"/>
    <w:rsid w:val="7496752E"/>
    <w:rsid w:val="755B54D7"/>
    <w:rsid w:val="75765328"/>
    <w:rsid w:val="75A177EE"/>
    <w:rsid w:val="75D86CD4"/>
    <w:rsid w:val="760E7139"/>
    <w:rsid w:val="76496AA8"/>
    <w:rsid w:val="76745CA5"/>
    <w:rsid w:val="768559AF"/>
    <w:rsid w:val="76872831"/>
    <w:rsid w:val="76A05F87"/>
    <w:rsid w:val="76A730E4"/>
    <w:rsid w:val="76F33AE6"/>
    <w:rsid w:val="76F41191"/>
    <w:rsid w:val="778111CA"/>
    <w:rsid w:val="779352B4"/>
    <w:rsid w:val="77C011B5"/>
    <w:rsid w:val="77DF2692"/>
    <w:rsid w:val="77E65FB7"/>
    <w:rsid w:val="77EC1D59"/>
    <w:rsid w:val="781F64BC"/>
    <w:rsid w:val="783E6571"/>
    <w:rsid w:val="78502F65"/>
    <w:rsid w:val="786E6C4A"/>
    <w:rsid w:val="789D2BB8"/>
    <w:rsid w:val="78DB6555"/>
    <w:rsid w:val="78FD20DF"/>
    <w:rsid w:val="795654B4"/>
    <w:rsid w:val="79E24199"/>
    <w:rsid w:val="7A281851"/>
    <w:rsid w:val="7A550F13"/>
    <w:rsid w:val="7A773BB5"/>
    <w:rsid w:val="7AD20151"/>
    <w:rsid w:val="7B220D7A"/>
    <w:rsid w:val="7B345817"/>
    <w:rsid w:val="7B5D3DBD"/>
    <w:rsid w:val="7B62786A"/>
    <w:rsid w:val="7B8750DB"/>
    <w:rsid w:val="7BAD7F79"/>
    <w:rsid w:val="7BE82E7A"/>
    <w:rsid w:val="7C047330"/>
    <w:rsid w:val="7C1A0DC0"/>
    <w:rsid w:val="7C614B37"/>
    <w:rsid w:val="7CE039CF"/>
    <w:rsid w:val="7D54267F"/>
    <w:rsid w:val="7D7C739E"/>
    <w:rsid w:val="7DBD5F66"/>
    <w:rsid w:val="7DC17EA6"/>
    <w:rsid w:val="7E0D5B2C"/>
    <w:rsid w:val="7E2115B9"/>
    <w:rsid w:val="7E732575"/>
    <w:rsid w:val="7E7A711F"/>
    <w:rsid w:val="7E7F66A4"/>
    <w:rsid w:val="7E906943"/>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0"/>
    <w:qFormat/>
    <w:uiPriority w:val="99"/>
    <w:pPr>
      <w:spacing w:after="120"/>
    </w:pPr>
    <w:rPr>
      <w:rFonts w:ascii="Calibri" w:hAnsi="Calibri"/>
      <w:szCs w:val="22"/>
    </w:rPr>
  </w:style>
  <w:style w:type="paragraph" w:styleId="7">
    <w:name w:val="Date"/>
    <w:basedOn w:val="1"/>
    <w:next w:val="1"/>
    <w:link w:val="21"/>
    <w:qFormat/>
    <w:uiPriority w:val="99"/>
    <w:pPr>
      <w:ind w:left="100" w:leftChars="2500"/>
    </w:pPr>
  </w:style>
  <w:style w:type="paragraph" w:styleId="8">
    <w:name w:val="footer"/>
    <w:basedOn w:val="1"/>
    <w:link w:val="22"/>
    <w:qFormat/>
    <w:uiPriority w:val="99"/>
    <w:pPr>
      <w:tabs>
        <w:tab w:val="center" w:pos="4153"/>
        <w:tab w:val="right" w:pos="8306"/>
      </w:tabs>
      <w:snapToGrid w:val="0"/>
      <w:jc w:val="left"/>
    </w:pPr>
    <w:rPr>
      <w:sz w:val="18"/>
    </w:rPr>
  </w:style>
  <w:style w:type="paragraph" w:styleId="9">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0">
    <w:name w:val="Body Text 2"/>
    <w:basedOn w:val="1"/>
    <w:next w:val="1"/>
    <w:qFormat/>
    <w:uiPriority w:val="0"/>
    <w:rPr>
      <w:sz w:val="24"/>
      <w:szCs w:val="22"/>
    </w:rPr>
  </w:style>
  <w:style w:type="paragraph" w:styleId="11">
    <w:name w:val="Body Text First Indent"/>
    <w:basedOn w:val="6"/>
    <w:next w:val="1"/>
    <w:qFormat/>
    <w:uiPriority w:val="0"/>
    <w:pPr>
      <w:spacing w:after="120"/>
      <w:ind w:firstLine="420" w:firstLineChars="100"/>
    </w:pPr>
  </w:style>
  <w:style w:type="character" w:styleId="14">
    <w:name w:val="Strong"/>
    <w:basedOn w:val="15"/>
    <w:qFormat/>
    <w:uiPriority w:val="99"/>
    <w:rPr>
      <w:rFonts w:cs="Times New Roman"/>
      <w:b/>
    </w:rPr>
  </w:style>
  <w:style w:type="character" w:customStyle="1" w:styleId="15">
    <w:name w:val="NormalCharacter"/>
    <w:semiHidden/>
    <w:qFormat/>
    <w:uiPriority w:val="99"/>
  </w:style>
  <w:style w:type="character" w:styleId="16">
    <w:name w:val="annotation reference"/>
    <w:qFormat/>
    <w:uiPriority w:val="0"/>
    <w:rPr>
      <w:sz w:val="21"/>
      <w:szCs w:val="21"/>
    </w:rPr>
  </w:style>
  <w:style w:type="paragraph" w:customStyle="1" w:styleId="17">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8">
    <w:name w:val="正文首行缩进 21"/>
    <w:basedOn w:val="4"/>
    <w:next w:val="1"/>
    <w:qFormat/>
    <w:uiPriority w:val="0"/>
    <w:pPr>
      <w:spacing w:afterLines="0"/>
      <w:ind w:left="420" w:firstLine="420" w:firstLineChars="200"/>
    </w:pPr>
    <w:rPr>
      <w:lang w:eastAsia="zh-CN" w:bidi="ar-SA"/>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正文文本 Char"/>
    <w:basedOn w:val="13"/>
    <w:link w:val="6"/>
    <w:semiHidden/>
    <w:qFormat/>
    <w:uiPriority w:val="99"/>
    <w:rPr>
      <w:color w:val="000000"/>
      <w:kern w:val="0"/>
      <w:szCs w:val="20"/>
    </w:rPr>
  </w:style>
  <w:style w:type="character" w:customStyle="1" w:styleId="21">
    <w:name w:val="日期 Char"/>
    <w:basedOn w:val="13"/>
    <w:link w:val="7"/>
    <w:semiHidden/>
    <w:qFormat/>
    <w:uiPriority w:val="99"/>
    <w:rPr>
      <w:color w:val="000000"/>
      <w:kern w:val="0"/>
      <w:szCs w:val="20"/>
    </w:rPr>
  </w:style>
  <w:style w:type="character" w:customStyle="1" w:styleId="22">
    <w:name w:val="页脚 Char"/>
    <w:basedOn w:val="15"/>
    <w:link w:val="8"/>
    <w:qFormat/>
    <w:locked/>
    <w:uiPriority w:val="99"/>
    <w:rPr>
      <w:rFonts w:cs="Times New Roman"/>
      <w:color w:val="000000"/>
      <w:sz w:val="18"/>
    </w:rPr>
  </w:style>
  <w:style w:type="character" w:customStyle="1" w:styleId="23">
    <w:name w:val="页眉 Char"/>
    <w:basedOn w:val="15"/>
    <w:link w:val="9"/>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5"/>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5"/>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1695</Words>
  <Characters>1814</Characters>
  <Lines>10</Lines>
  <Paragraphs>3</Paragraphs>
  <TotalTime>5</TotalTime>
  <ScaleCrop>false</ScaleCrop>
  <LinksUpToDate>false</LinksUpToDate>
  <CharactersWithSpaces>1956</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2020-09-03T08:09:00Z</cp:lastPrinted>
  <dcterms:modified xsi:type="dcterms:W3CDTF">2023-04-21T09:08:11Z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