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4"/>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7</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b/>
          <w:bCs w:val="0"/>
          <w:color w:val="auto"/>
          <w:sz w:val="44"/>
          <w:szCs w:val="44"/>
          <w:lang w:eastAsia="zh-CN"/>
        </w:rPr>
      </w:pPr>
      <w:r>
        <w:rPr>
          <w:rStyle w:val="17"/>
          <w:rFonts w:hint="eastAsia" w:ascii="宋体" w:hAnsi="宋体"/>
          <w:b/>
          <w:bCs w:val="0"/>
          <w:color w:val="auto"/>
          <w:sz w:val="44"/>
          <w:szCs w:val="44"/>
          <w:lang w:eastAsia="zh-CN"/>
        </w:rPr>
        <w:t>鄂尔多斯市东胜区殡仪馆公墓及</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b/>
          <w:bCs w:val="0"/>
          <w:color w:val="auto"/>
          <w:sz w:val="44"/>
          <w:szCs w:val="44"/>
          <w:lang w:eastAsia="zh-CN"/>
        </w:rPr>
        <w:t>殡葬服务设施扩建项目</w:t>
      </w:r>
      <w:r>
        <w:rPr>
          <w:rStyle w:val="17"/>
          <w:rFonts w:hint="eastAsia" w:ascii="宋体" w:hAnsi="宋体" w:eastAsia="宋体" w:cs="宋体"/>
          <w:b/>
          <w:bCs w:val="0"/>
          <w:color w:val="auto"/>
          <w:sz w:val="44"/>
          <w:szCs w:val="44"/>
        </w:rPr>
        <w:t>环境</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影响报告表的批复</w:t>
      </w:r>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7"/>
          <w:rFonts w:hint="eastAsia" w:ascii="仿宋" w:hAnsi="仿宋" w:eastAsia="仿宋"/>
          <w:sz w:val="32"/>
          <w:szCs w:val="32"/>
          <w:lang w:eastAsia="zh-CN"/>
        </w:rPr>
      </w:pPr>
      <w:r>
        <w:rPr>
          <w:rStyle w:val="17"/>
          <w:rFonts w:hint="eastAsia" w:ascii="仿宋" w:hAnsi="仿宋" w:eastAsia="仿宋"/>
          <w:sz w:val="32"/>
          <w:szCs w:val="32"/>
          <w:lang w:eastAsia="zh-CN"/>
        </w:rPr>
        <w:t>鄂尔多斯市东胜区殡仪馆：</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color w:val="0000FF"/>
          <w:sz w:val="32"/>
          <w:szCs w:val="32"/>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报送的由</w:t>
      </w:r>
      <w:r>
        <w:rPr>
          <w:rStyle w:val="17"/>
          <w:rFonts w:hint="eastAsia" w:ascii="仿宋" w:hAnsi="仿宋" w:eastAsia="仿宋"/>
          <w:sz w:val="32"/>
          <w:szCs w:val="32"/>
          <w:lang w:eastAsia="zh-CN"/>
        </w:rPr>
        <w:t>内蒙古碧蓝环境科技有限公司</w:t>
      </w:r>
      <w:r>
        <w:rPr>
          <w:rStyle w:val="17"/>
          <w:rFonts w:hint="eastAsia" w:ascii="仿宋" w:hAnsi="仿宋" w:eastAsia="仿宋"/>
          <w:sz w:val="32"/>
          <w:szCs w:val="32"/>
          <w:lang w:val="en-US" w:eastAsia="zh-CN"/>
        </w:rPr>
        <w:t>编</w:t>
      </w:r>
      <w:r>
        <w:rPr>
          <w:rStyle w:val="17"/>
          <w:rFonts w:hint="eastAsia" w:ascii="仿宋" w:hAnsi="仿宋" w:eastAsia="仿宋"/>
          <w:sz w:val="32"/>
          <w:szCs w:val="32"/>
        </w:rPr>
        <w:t>制的《</w:t>
      </w:r>
      <w:r>
        <w:rPr>
          <w:rStyle w:val="17"/>
          <w:rFonts w:hint="eastAsia" w:ascii="仿宋" w:hAnsi="仿宋" w:eastAsia="仿宋"/>
          <w:sz w:val="32"/>
          <w:szCs w:val="32"/>
          <w:lang w:eastAsia="zh-CN"/>
        </w:rPr>
        <w:t>鄂尔多斯市东胜区殡仪馆公墓及殡葬服务设施扩建项目环境影响报</w:t>
      </w:r>
      <w:r>
        <w:rPr>
          <w:rStyle w:val="17"/>
          <w:rFonts w:hint="eastAsia" w:ascii="仿宋" w:hAnsi="仿宋" w:eastAsia="仿宋"/>
          <w:sz w:val="32"/>
          <w:szCs w:val="32"/>
        </w:rPr>
        <w:t>告表》（以下简称《报告表》）已收悉</w:t>
      </w:r>
      <w:r>
        <w:rPr>
          <w:rStyle w:val="17"/>
          <w:rFonts w:hint="eastAsia" w:ascii="仿宋" w:hAnsi="仿宋" w:eastAsia="仿宋"/>
          <w:sz w:val="32"/>
          <w:szCs w:val="32"/>
          <w:lang w:eastAsia="zh-CN"/>
        </w:rPr>
        <w:t>。</w:t>
      </w:r>
      <w:r>
        <w:rPr>
          <w:rStyle w:val="17"/>
          <w:rFonts w:hint="eastAsia" w:ascii="仿宋" w:hAnsi="仿宋" w:eastAsia="仿宋"/>
          <w:sz w:val="32"/>
          <w:szCs w:val="32"/>
        </w:rPr>
        <w:t>该项目属于</w:t>
      </w:r>
      <w:r>
        <w:rPr>
          <w:rStyle w:val="17"/>
          <w:rFonts w:hint="eastAsia" w:ascii="仿宋" w:hAnsi="仿宋" w:eastAsia="仿宋"/>
          <w:sz w:val="32"/>
          <w:szCs w:val="32"/>
          <w:lang w:eastAsia="zh-CN"/>
        </w:rPr>
        <w:t>扩</w:t>
      </w:r>
      <w:r>
        <w:rPr>
          <w:rStyle w:val="17"/>
          <w:rFonts w:hint="eastAsia" w:ascii="仿宋" w:hAnsi="仿宋" w:eastAsia="仿宋"/>
          <w:sz w:val="32"/>
          <w:szCs w:val="32"/>
        </w:rPr>
        <w:t>建项目，位于鄂尔多斯市</w:t>
      </w:r>
      <w:r>
        <w:rPr>
          <w:rStyle w:val="17"/>
          <w:rFonts w:hint="eastAsia" w:ascii="仿宋" w:hAnsi="仿宋" w:eastAsia="仿宋"/>
          <w:sz w:val="32"/>
          <w:szCs w:val="32"/>
          <w:lang w:eastAsia="zh-CN"/>
        </w:rPr>
        <w:t>东胜区幸福街道办事处格</w:t>
      </w:r>
      <w:r>
        <w:rPr>
          <w:rStyle w:val="17"/>
          <w:rFonts w:hint="eastAsia" w:ascii="仿宋" w:hAnsi="仿宋" w:eastAsia="仿宋"/>
          <w:sz w:val="32"/>
          <w:szCs w:val="32"/>
          <w:lang w:val="en-US" w:eastAsia="zh-CN"/>
        </w:rPr>
        <w:t>舍</w:t>
      </w:r>
      <w:r>
        <w:rPr>
          <w:rStyle w:val="17"/>
          <w:rFonts w:hint="eastAsia" w:ascii="仿宋" w:hAnsi="仿宋" w:eastAsia="仿宋"/>
          <w:color w:val="auto"/>
          <w:sz w:val="32"/>
          <w:szCs w:val="32"/>
          <w:lang w:eastAsia="zh-CN"/>
        </w:rPr>
        <w:t>壕村</w:t>
      </w:r>
      <w:r>
        <w:rPr>
          <w:rStyle w:val="17"/>
          <w:rFonts w:hint="eastAsia" w:ascii="仿宋" w:hAnsi="仿宋" w:eastAsia="仿宋"/>
          <w:color w:val="auto"/>
          <w:sz w:val="32"/>
          <w:szCs w:val="32"/>
          <w:lang w:val="en-US" w:eastAsia="zh-CN"/>
        </w:rPr>
        <w:t>。本</w:t>
      </w:r>
      <w:r>
        <w:rPr>
          <w:rStyle w:val="17"/>
          <w:rFonts w:hint="eastAsia" w:ascii="仿宋" w:hAnsi="仿宋" w:eastAsia="仿宋" w:cs="Times New Roman"/>
          <w:color w:val="auto"/>
          <w:sz w:val="32"/>
          <w:szCs w:val="32"/>
          <w:lang w:val="en-US" w:eastAsia="zh-CN"/>
        </w:rPr>
        <w:t>项目</w:t>
      </w:r>
      <w:r>
        <w:rPr>
          <w:rStyle w:val="17"/>
          <w:rFonts w:hint="eastAsia" w:ascii="仿宋" w:hAnsi="仿宋" w:eastAsia="仿宋" w:cs="Times New Roman"/>
          <w:color w:val="auto"/>
          <w:sz w:val="32"/>
          <w:szCs w:val="32"/>
          <w:highlight w:val="none"/>
          <w:lang w:val="en-US" w:eastAsia="zh-CN"/>
        </w:rPr>
        <w:t>不新增占地</w:t>
      </w:r>
      <w:r>
        <w:rPr>
          <w:rStyle w:val="17"/>
          <w:rFonts w:hint="eastAsia" w:ascii="仿宋" w:hAnsi="仿宋" w:eastAsia="仿宋" w:cs="Times New Roman"/>
          <w:color w:val="auto"/>
          <w:sz w:val="32"/>
          <w:szCs w:val="32"/>
          <w:highlight w:val="none"/>
          <w:lang w:eastAsia="zh-CN"/>
        </w:rPr>
        <w:t>，项目</w:t>
      </w:r>
      <w:r>
        <w:rPr>
          <w:rStyle w:val="17"/>
          <w:rFonts w:hint="default" w:ascii="仿宋" w:hAnsi="仿宋" w:eastAsia="仿宋" w:cs="Times New Roman"/>
          <w:color w:val="auto"/>
          <w:sz w:val="32"/>
          <w:szCs w:val="32"/>
        </w:rPr>
        <w:t>总投</w:t>
      </w:r>
      <w:r>
        <w:rPr>
          <w:rStyle w:val="17"/>
          <w:rFonts w:hint="default" w:ascii="仿宋" w:hAnsi="仿宋" w:eastAsia="仿宋"/>
          <w:color w:val="auto"/>
          <w:sz w:val="32"/>
          <w:szCs w:val="32"/>
          <w:lang w:eastAsia="zh-CN"/>
        </w:rPr>
        <w:t>资</w:t>
      </w:r>
      <w:r>
        <w:rPr>
          <w:rStyle w:val="17"/>
          <w:rFonts w:hint="eastAsia" w:ascii="仿宋" w:hAnsi="仿宋" w:eastAsia="仿宋"/>
          <w:color w:val="auto"/>
          <w:sz w:val="32"/>
          <w:szCs w:val="32"/>
          <w:lang w:val="en-US" w:eastAsia="zh-CN"/>
        </w:rPr>
        <w:t>23917.25万</w:t>
      </w:r>
      <w:r>
        <w:rPr>
          <w:rStyle w:val="17"/>
          <w:rFonts w:hint="default" w:ascii="仿宋" w:hAnsi="仿宋" w:eastAsia="仿宋"/>
          <w:color w:val="auto"/>
          <w:sz w:val="32"/>
          <w:szCs w:val="32"/>
          <w:lang w:eastAsia="zh-CN"/>
        </w:rPr>
        <w:t>元，</w:t>
      </w:r>
      <w:r>
        <w:rPr>
          <w:rStyle w:val="17"/>
          <w:rFonts w:hint="eastAsia" w:ascii="仿宋" w:hAnsi="仿宋" w:eastAsia="仿宋"/>
          <w:color w:val="auto"/>
          <w:sz w:val="32"/>
          <w:szCs w:val="32"/>
          <w:lang w:eastAsia="zh-CN"/>
        </w:rPr>
        <w:t>其中</w:t>
      </w:r>
      <w:r>
        <w:rPr>
          <w:rStyle w:val="17"/>
          <w:rFonts w:hint="default" w:ascii="仿宋" w:hAnsi="仿宋" w:eastAsia="仿宋"/>
          <w:color w:val="auto"/>
          <w:sz w:val="32"/>
          <w:szCs w:val="32"/>
        </w:rPr>
        <w:t>环</w:t>
      </w:r>
      <w:r>
        <w:rPr>
          <w:rStyle w:val="17"/>
          <w:rFonts w:hint="default" w:ascii="仿宋" w:hAnsi="仿宋" w:eastAsia="仿宋"/>
          <w:sz w:val="32"/>
          <w:szCs w:val="32"/>
        </w:rPr>
        <w:t>保投</w:t>
      </w:r>
      <w:r>
        <w:rPr>
          <w:rStyle w:val="17"/>
          <w:rFonts w:hint="default" w:ascii="仿宋" w:hAnsi="仿宋" w:eastAsia="仿宋" w:cs="Times New Roman"/>
          <w:color w:val="auto"/>
          <w:sz w:val="32"/>
          <w:szCs w:val="32"/>
          <w:lang w:eastAsia="zh-CN"/>
        </w:rPr>
        <w:t>资</w:t>
      </w:r>
      <w:r>
        <w:rPr>
          <w:rStyle w:val="17"/>
          <w:rFonts w:hint="eastAsia" w:ascii="仿宋" w:hAnsi="仿宋" w:eastAsia="仿宋" w:cs="Times New Roman"/>
          <w:color w:val="auto"/>
          <w:sz w:val="32"/>
          <w:szCs w:val="32"/>
          <w:lang w:val="en-US" w:eastAsia="zh-CN"/>
        </w:rPr>
        <w:t>153.3万</w:t>
      </w:r>
      <w:r>
        <w:rPr>
          <w:rStyle w:val="17"/>
          <w:rFonts w:hint="eastAsia" w:ascii="仿宋" w:hAnsi="仿宋" w:eastAsia="仿宋"/>
          <w:sz w:val="32"/>
          <w:szCs w:val="32"/>
          <w:lang w:val="en-US" w:eastAsia="zh-CN"/>
        </w:rPr>
        <w:t>元</w:t>
      </w:r>
      <w:r>
        <w:rPr>
          <w:rStyle w:val="17"/>
          <w:rFonts w:hint="eastAsia" w:ascii="仿宋" w:hAnsi="仿宋" w:eastAsia="仿宋"/>
          <w:sz w:val="32"/>
          <w:szCs w:val="32"/>
        </w:rPr>
        <w:t>。</w:t>
      </w:r>
      <w:r>
        <w:rPr>
          <w:rStyle w:val="17"/>
          <w:rFonts w:hint="eastAsia" w:ascii="仿宋" w:hAnsi="仿宋" w:eastAsia="仿宋" w:cs="Times New Roman"/>
          <w:color w:val="auto"/>
          <w:sz w:val="32"/>
          <w:szCs w:val="32"/>
          <w:lang w:eastAsia="zh-CN"/>
        </w:rPr>
        <w:t>主要建设内容</w:t>
      </w:r>
      <w:r>
        <w:rPr>
          <w:rStyle w:val="17"/>
          <w:rFonts w:hint="eastAsia" w:ascii="仿宋" w:hAnsi="仿宋" w:eastAsia="仿宋" w:cs="Times New Roman"/>
          <w:color w:val="auto"/>
          <w:sz w:val="32"/>
          <w:szCs w:val="32"/>
          <w:lang w:val="en-US" w:eastAsia="zh-CN"/>
        </w:rPr>
        <w:t>及规模：</w:t>
      </w:r>
      <w:r>
        <w:rPr>
          <w:rStyle w:val="17"/>
          <w:rFonts w:hint="eastAsia" w:ascii="仿宋" w:hAnsi="仿宋" w:eastAsia="仿宋" w:cs="Times New Roman"/>
          <w:color w:val="auto"/>
          <w:sz w:val="32"/>
          <w:szCs w:val="32"/>
          <w:lang w:val="en-US" w:eastAsia="zh-CN"/>
        </w:rPr>
        <w:t>新建15000㎡殡仪服务中心、20000 ㎡殡葬服务市场、 44607.36㎡公益性公墓（16800穴）、新增1台6t/h燃气锅炉，配套建设其他公辅工程等。本次扩建内容均为服务保障设施，尸体焚化规模不变（仍为1200具/年）。</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7"/>
          <w:rFonts w:ascii="仿宋" w:hAnsi="仿宋" w:eastAsia="仿宋"/>
          <w:sz w:val="32"/>
          <w:szCs w:val="32"/>
        </w:rPr>
        <w:t xml:space="preserve"> </w:t>
      </w:r>
      <w:r>
        <w:rPr>
          <w:rStyle w:val="17"/>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rPr>
          <w:rFonts w:ascii="仿宋" w:hAnsi="仿宋" w:eastAsia="仿宋" w:cs="仿宋"/>
          <w:color w:val="FF0000"/>
          <w:sz w:val="32"/>
          <w:szCs w:val="32"/>
        </w:rPr>
      </w:pPr>
      <w:r>
        <w:rPr>
          <w:rStyle w:val="17"/>
          <w:rFonts w:hint="eastAsia" w:ascii="仿宋" w:hAnsi="仿宋" w:eastAsia="仿宋" w:cs="Times New Roman"/>
          <w:sz w:val="32"/>
          <w:szCs w:val="32"/>
        </w:rPr>
        <w:t>加强施工期环境管理，配备足够的洒水车、篷布等防尘设备，有效控制施工期挖土、物料装卸、物料运输过程中产生的扬尘污染。</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施工期噪声执行《建筑施工场界环境噪声排放标准》（GB12523-2011）；施工期大气污染物排放执行《大气污染物综合排放标准》（GB16297-1996）表2中无组织排放监控浓度限值。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s="Times New Roman"/>
          <w:color w:val="auto"/>
          <w:sz w:val="32"/>
          <w:szCs w:val="32"/>
          <w:highlight w:val="none"/>
          <w:lang w:val="en-US" w:eastAsia="zh-CN"/>
        </w:rPr>
      </w:pPr>
      <w:r>
        <w:rPr>
          <w:rStyle w:val="17"/>
          <w:rFonts w:hint="default" w:ascii="仿宋" w:hAnsi="仿宋" w:eastAsia="仿宋" w:cs="Times New Roman"/>
          <w:color w:val="auto"/>
          <w:sz w:val="32"/>
          <w:szCs w:val="32"/>
          <w:highlight w:val="none"/>
          <w:lang w:val="en-US" w:eastAsia="zh-CN"/>
        </w:rPr>
        <w:t>运营期燃气锅炉废气</w:t>
      </w:r>
      <w:r>
        <w:rPr>
          <w:rStyle w:val="17"/>
          <w:rFonts w:hint="eastAsia" w:ascii="仿宋" w:hAnsi="仿宋" w:eastAsia="仿宋" w:cs="Times New Roman"/>
          <w:color w:val="auto"/>
          <w:sz w:val="32"/>
          <w:szCs w:val="32"/>
          <w:highlight w:val="none"/>
          <w:lang w:val="en-US" w:eastAsia="zh-CN"/>
        </w:rPr>
        <w:t>经12米高烟囱</w:t>
      </w:r>
      <w:r>
        <w:rPr>
          <w:rStyle w:val="17"/>
          <w:rFonts w:hint="default" w:ascii="仿宋" w:hAnsi="仿宋" w:eastAsia="仿宋" w:cs="Times New Roman"/>
          <w:color w:val="auto"/>
          <w:sz w:val="32"/>
          <w:szCs w:val="32"/>
          <w:highlight w:val="none"/>
          <w:lang w:val="en-US" w:eastAsia="zh-CN"/>
        </w:rPr>
        <w:t>排放</w:t>
      </w:r>
      <w:r>
        <w:rPr>
          <w:rStyle w:val="17"/>
          <w:rFonts w:hint="eastAsia" w:ascii="仿宋" w:hAnsi="仿宋" w:eastAsia="仿宋" w:cs="Times New Roman"/>
          <w:color w:val="auto"/>
          <w:sz w:val="32"/>
          <w:szCs w:val="32"/>
          <w:highlight w:val="none"/>
          <w:lang w:val="en-US" w:eastAsia="zh-CN"/>
        </w:rPr>
        <w:t>，</w:t>
      </w:r>
      <w:r>
        <w:rPr>
          <w:rStyle w:val="17"/>
          <w:rFonts w:hint="default" w:ascii="仿宋" w:hAnsi="仿宋" w:eastAsia="仿宋" w:cs="Times New Roman"/>
          <w:color w:val="auto"/>
          <w:sz w:val="32"/>
          <w:szCs w:val="32"/>
          <w:highlight w:val="none"/>
          <w:lang w:val="en-US" w:eastAsia="zh-CN"/>
        </w:rPr>
        <w:t>执行《锅炉大气污染物排放标准</w:t>
      </w:r>
      <w:r>
        <w:rPr>
          <w:rStyle w:val="17"/>
          <w:rFonts w:hint="eastAsia" w:ascii="仿宋" w:hAnsi="仿宋" w:eastAsia="仿宋" w:cs="Times New Roman"/>
          <w:color w:val="auto"/>
          <w:sz w:val="32"/>
          <w:szCs w:val="32"/>
          <w:highlight w:val="none"/>
          <w:lang w:val="en-US" w:eastAsia="zh-CN"/>
        </w:rPr>
        <w:t>》</w:t>
      </w:r>
      <w:r>
        <w:rPr>
          <w:rStyle w:val="17"/>
          <w:rFonts w:hint="default" w:ascii="仿宋" w:hAnsi="仿宋" w:eastAsia="仿宋" w:cs="Times New Roman"/>
          <w:color w:val="auto"/>
          <w:sz w:val="32"/>
          <w:szCs w:val="32"/>
          <w:highlight w:val="none"/>
          <w:lang w:val="en-US" w:eastAsia="zh-CN"/>
        </w:rPr>
        <w:t>（GB13271-2001）表2新建锅炉大气污染物排放浓度限值中燃气锅炉浓度限值</w:t>
      </w:r>
      <w:r>
        <w:rPr>
          <w:rStyle w:val="17"/>
          <w:rFonts w:hint="eastAsia" w:ascii="仿宋" w:hAnsi="仿宋" w:eastAsia="仿宋" w:cs="Times New Roman"/>
          <w:color w:val="auto"/>
          <w:sz w:val="32"/>
          <w:szCs w:val="32"/>
          <w:highlight w:val="none"/>
          <w:lang w:val="en-US" w:eastAsia="zh-CN"/>
        </w:rPr>
        <w:t>。项目废气无组织排放执行《大气污染物综合排放标准》（GB16297-1996）</w:t>
      </w:r>
      <w:r>
        <w:rPr>
          <w:rStyle w:val="17"/>
          <w:rFonts w:hint="default" w:ascii="仿宋" w:hAnsi="仿宋" w:eastAsia="仿宋" w:cs="Times New Roman"/>
          <w:color w:val="auto"/>
          <w:sz w:val="32"/>
          <w:szCs w:val="32"/>
          <w:highlight w:val="none"/>
          <w:lang w:val="en-US" w:eastAsia="zh-CN"/>
        </w:rPr>
        <w:t>表2</w:t>
      </w:r>
      <w:r>
        <w:rPr>
          <w:rStyle w:val="17"/>
          <w:rFonts w:hint="eastAsia" w:ascii="仿宋" w:hAnsi="仿宋" w:eastAsia="仿宋" w:cs="Times New Roman"/>
          <w:color w:val="auto"/>
          <w:sz w:val="32"/>
          <w:szCs w:val="32"/>
          <w:highlight w:val="none"/>
          <w:lang w:val="en-US" w:eastAsia="zh-CN"/>
        </w:rPr>
        <w:t>中无组织排放监控浓度限值。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s="Times New Roman"/>
          <w:color w:val="auto"/>
          <w:sz w:val="32"/>
          <w:szCs w:val="32"/>
          <w:lang w:val="en-US" w:eastAsia="zh-CN"/>
        </w:rPr>
      </w:pPr>
      <w:r>
        <w:rPr>
          <w:rStyle w:val="17"/>
          <w:rFonts w:hint="default" w:ascii="仿宋" w:hAnsi="仿宋" w:eastAsia="仿宋" w:cs="Times New Roman"/>
          <w:color w:val="auto"/>
          <w:sz w:val="32"/>
          <w:szCs w:val="32"/>
          <w:lang w:val="en-US" w:eastAsia="zh-CN"/>
        </w:rPr>
        <w:t>运</w:t>
      </w:r>
      <w:r>
        <w:rPr>
          <w:rStyle w:val="17"/>
          <w:rFonts w:hint="eastAsia" w:ascii="仿宋" w:hAnsi="仿宋" w:eastAsia="仿宋" w:cs="Times New Roman"/>
          <w:color w:val="auto"/>
          <w:sz w:val="32"/>
          <w:szCs w:val="32"/>
          <w:lang w:val="en-US" w:eastAsia="zh-CN"/>
        </w:rPr>
        <w:t>营</w:t>
      </w:r>
      <w:r>
        <w:rPr>
          <w:rStyle w:val="17"/>
          <w:rFonts w:hint="default" w:ascii="仿宋" w:hAnsi="仿宋" w:eastAsia="仿宋" w:cs="Times New Roman"/>
          <w:color w:val="auto"/>
          <w:sz w:val="32"/>
          <w:szCs w:val="32"/>
          <w:lang w:val="en-US" w:eastAsia="zh-CN"/>
        </w:rPr>
        <w:t>期生活污水</w:t>
      </w:r>
      <w:r>
        <w:rPr>
          <w:rStyle w:val="17"/>
          <w:rFonts w:hint="eastAsia" w:ascii="仿宋" w:hAnsi="仿宋" w:eastAsia="仿宋" w:cs="Times New Roman"/>
          <w:color w:val="auto"/>
          <w:sz w:val="32"/>
          <w:szCs w:val="32"/>
          <w:lang w:val="en-US" w:eastAsia="zh-CN"/>
        </w:rPr>
        <w:t>、生产废水</w:t>
      </w:r>
      <w:r>
        <w:rPr>
          <w:rStyle w:val="17"/>
          <w:rFonts w:hint="default" w:ascii="仿宋" w:hAnsi="仿宋" w:eastAsia="仿宋" w:cs="Times New Roman"/>
          <w:color w:val="auto"/>
          <w:sz w:val="32"/>
          <w:szCs w:val="32"/>
          <w:lang w:val="en-US" w:eastAsia="zh-CN"/>
        </w:rPr>
        <w:t>经</w:t>
      </w:r>
      <w:r>
        <w:rPr>
          <w:rStyle w:val="17"/>
          <w:rFonts w:hint="eastAsia" w:ascii="仿宋" w:hAnsi="仿宋" w:eastAsia="仿宋" w:cs="Times New Roman"/>
          <w:color w:val="auto"/>
          <w:sz w:val="32"/>
          <w:szCs w:val="32"/>
          <w:lang w:val="en-US" w:eastAsia="zh-CN"/>
        </w:rPr>
        <w:t>化粪池沉淀后排入市政污水管网</w:t>
      </w:r>
      <w:r>
        <w:rPr>
          <w:rStyle w:val="17"/>
          <w:rFonts w:hint="eastAsia" w:ascii="仿宋" w:hAnsi="仿宋" w:eastAsia="仿宋" w:cs="Times New Roman"/>
          <w:color w:val="auto"/>
          <w:sz w:val="32"/>
          <w:szCs w:val="32"/>
          <w:lang w:val="en-US" w:eastAsia="zh-CN"/>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pPr>
      <w:r>
        <w:rPr>
          <w:rStyle w:val="17"/>
          <w:rFonts w:hint="eastAsia" w:ascii="仿宋" w:hAnsi="仿宋" w:eastAsia="仿宋"/>
          <w:color w:val="auto"/>
          <w:sz w:val="32"/>
          <w:szCs w:val="32"/>
        </w:rPr>
        <w:t>运营期</w:t>
      </w:r>
      <w:r>
        <w:rPr>
          <w:rStyle w:val="17"/>
          <w:rFonts w:hint="eastAsia" w:ascii="仿宋" w:hAnsi="仿宋" w:eastAsia="仿宋"/>
          <w:color w:val="auto"/>
          <w:sz w:val="32"/>
          <w:szCs w:val="32"/>
          <w:lang w:eastAsia="zh-CN"/>
        </w:rPr>
        <w:t>东、西、北厂界噪声</w:t>
      </w:r>
      <w:r>
        <w:rPr>
          <w:rStyle w:val="17"/>
          <w:rFonts w:hint="eastAsia" w:ascii="仿宋" w:hAnsi="仿宋" w:eastAsia="仿宋"/>
          <w:color w:val="auto"/>
          <w:sz w:val="32"/>
          <w:szCs w:val="32"/>
        </w:rPr>
        <w:t>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1</w:t>
      </w:r>
      <w:r>
        <w:rPr>
          <w:rStyle w:val="17"/>
          <w:rFonts w:hint="eastAsia" w:ascii="仿宋" w:hAnsi="仿宋" w:eastAsia="仿宋"/>
          <w:color w:val="auto"/>
          <w:sz w:val="32"/>
          <w:szCs w:val="32"/>
        </w:rPr>
        <w:t>类标准</w:t>
      </w:r>
      <w:r>
        <w:rPr>
          <w:rStyle w:val="17"/>
          <w:rFonts w:hint="eastAsia" w:ascii="仿宋" w:hAnsi="仿宋" w:eastAsia="仿宋"/>
          <w:color w:val="auto"/>
          <w:sz w:val="32"/>
          <w:szCs w:val="32"/>
          <w:lang w:val="en-US" w:eastAsia="zh-CN"/>
        </w:rPr>
        <w:t>限值</w:t>
      </w:r>
      <w:r>
        <w:rPr>
          <w:rStyle w:val="17"/>
          <w:rFonts w:hint="eastAsia" w:ascii="仿宋" w:hAnsi="仿宋" w:eastAsia="仿宋"/>
          <w:color w:val="auto"/>
          <w:sz w:val="32"/>
          <w:szCs w:val="32"/>
          <w:lang w:eastAsia="zh-CN"/>
        </w:rPr>
        <w:t>，南</w:t>
      </w:r>
      <w:r>
        <w:rPr>
          <w:rStyle w:val="17"/>
          <w:rFonts w:hint="eastAsia" w:ascii="仿宋" w:hAnsi="仿宋" w:eastAsia="仿宋"/>
          <w:color w:val="auto"/>
          <w:sz w:val="32"/>
          <w:szCs w:val="32"/>
        </w:rPr>
        <w:t>厂界执行</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类标准</w:t>
      </w:r>
      <w:r>
        <w:rPr>
          <w:rStyle w:val="17"/>
          <w:rFonts w:hint="eastAsia" w:ascii="仿宋" w:hAnsi="仿宋" w:eastAsia="仿宋"/>
          <w:color w:val="auto"/>
          <w:sz w:val="32"/>
          <w:szCs w:val="32"/>
          <w:lang w:val="en-US" w:eastAsia="zh-CN"/>
        </w:rPr>
        <w:t>限值</w:t>
      </w:r>
      <w:r>
        <w:rPr>
          <w:rStyle w:val="17"/>
          <w:rFonts w:hint="eastAsia" w:ascii="仿宋" w:hAnsi="仿宋" w:eastAsia="仿宋"/>
          <w:color w:val="auto"/>
          <w:sz w:val="32"/>
          <w:szCs w:val="32"/>
          <w:lang w:eastAsia="zh-CN"/>
        </w:rPr>
        <w:t>。</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按照《排污口规范化整治技术要求》（环监〔1996〕470号）规范设置排污口。</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你单位在该项目环保</w:t>
      </w:r>
      <w:r>
        <w:rPr>
          <w:rStyle w:val="17"/>
          <w:rFonts w:hint="eastAsia" w:ascii="仿宋" w:hAnsi="仿宋" w:eastAsia="仿宋"/>
          <w:color w:val="auto"/>
          <w:sz w:val="32"/>
          <w:szCs w:val="32"/>
        </w:rPr>
        <w:t>申报过程中如有瞒报、假报情形，则是严重的违法行为，须承担因此产生的一切后果。</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项目建设必须严格执行环境保护“三同时”制度。项目竣工后，须按照规定程序实施竣工环境保护验收。</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eastAsia="仿宋"/>
          <w:color w:val="auto"/>
          <w:sz w:val="32"/>
          <w:szCs w:val="32"/>
        </w:rPr>
        <w:t>你</w:t>
      </w:r>
      <w:r>
        <w:rPr>
          <w:rStyle w:val="17"/>
          <w:rFonts w:hint="eastAsia" w:eastAsia="仿宋"/>
          <w:color w:val="auto"/>
          <w:sz w:val="32"/>
          <w:szCs w:val="32"/>
        </w:rPr>
        <w:t>单位</w:t>
      </w:r>
      <w:r>
        <w:rPr>
          <w:rStyle w:val="17"/>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7"/>
          <w:rFonts w:hint="eastAsia" w:eastAsia="仿宋"/>
          <w:color w:val="auto"/>
          <w:sz w:val="32"/>
          <w:szCs w:val="32"/>
        </w:rPr>
        <w:t>该项目的</w:t>
      </w:r>
      <w:r>
        <w:rPr>
          <w:rStyle w:val="17"/>
          <w:rFonts w:eastAsia="仿宋"/>
          <w:color w:val="auto"/>
          <w:sz w:val="32"/>
          <w:szCs w:val="32"/>
        </w:rPr>
        <w:t>事中事后监管</w:t>
      </w:r>
      <w:r>
        <w:rPr>
          <w:rFonts w:eastAsia="仿宋"/>
          <w:color w:val="auto"/>
          <w:sz w:val="32"/>
          <w:szCs w:val="32"/>
        </w:rPr>
        <w:t>。</w:t>
      </w:r>
      <w:r>
        <w:rPr>
          <w:rStyle w:val="17"/>
          <w:rFonts w:ascii="仿宋" w:hAnsi="仿宋" w:eastAsia="仿宋"/>
          <w:color w:val="auto"/>
          <w:sz w:val="32"/>
          <w:szCs w:val="32"/>
        </w:rPr>
        <w:t xml:space="preserve">                                                                                                 </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3"/>
        <w:spacing w:line="360" w:lineRule="auto"/>
        <w:ind w:firstLine="0"/>
        <w:rPr>
          <w:color w:val="auto"/>
        </w:rPr>
      </w:pPr>
    </w:p>
    <w:p>
      <w:pPr>
        <w:pStyle w:val="13"/>
        <w:rPr>
          <w:color w:val="auto"/>
        </w:rPr>
      </w:pPr>
    </w:p>
    <w:p>
      <w:pPr>
        <w:rPr>
          <w:color w:val="auto"/>
        </w:rPr>
      </w:pPr>
    </w:p>
    <w:p>
      <w:pPr>
        <w:pStyle w:val="2"/>
        <w:rPr>
          <w:color w:val="auto"/>
        </w:rPr>
      </w:pPr>
    </w:p>
    <w:p>
      <w:pPr>
        <w:pStyle w:val="2"/>
        <w:rPr>
          <w:color w:val="auto"/>
        </w:rPr>
      </w:pPr>
    </w:p>
    <w:p/>
    <w:p>
      <w:pPr>
        <w:pStyle w:val="13"/>
      </w:pPr>
    </w:p>
    <w:p>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14</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bookmarkStart w:id="0" w:name="_GoBack"/>
      <w:bookmarkEnd w:id="0"/>
    </w:p>
    <w:p>
      <w:pPr>
        <w:pStyle w:val="24"/>
        <w:rPr>
          <w:color w:val="auto"/>
        </w:rPr>
      </w:pPr>
    </w:p>
    <w:p>
      <w:pPr>
        <w:pStyle w:val="24"/>
        <w:rPr>
          <w:color w:val="auto"/>
        </w:rPr>
      </w:pPr>
    </w:p>
    <w:p>
      <w:pPr>
        <w:pStyle w:val="24"/>
        <w:rPr>
          <w:color w:val="auto"/>
        </w:rPr>
      </w:pPr>
    </w:p>
    <w:p>
      <w:pPr>
        <w:pStyle w:val="24"/>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14</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NGZjNmY1ZmI2Zjk4OWM5OThhZjZiNTQ4ZGU4OT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67398B"/>
    <w:rsid w:val="01AC556B"/>
    <w:rsid w:val="02DD4C33"/>
    <w:rsid w:val="02DD5B4F"/>
    <w:rsid w:val="02F3233D"/>
    <w:rsid w:val="0358144A"/>
    <w:rsid w:val="039E707A"/>
    <w:rsid w:val="03A03DE5"/>
    <w:rsid w:val="03A05D81"/>
    <w:rsid w:val="03A96EC4"/>
    <w:rsid w:val="03C1757D"/>
    <w:rsid w:val="03C76963"/>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E24DC5"/>
    <w:rsid w:val="08660559"/>
    <w:rsid w:val="088554D8"/>
    <w:rsid w:val="08A1120A"/>
    <w:rsid w:val="08AD4A87"/>
    <w:rsid w:val="08B51389"/>
    <w:rsid w:val="08CE2C2B"/>
    <w:rsid w:val="08EA5D86"/>
    <w:rsid w:val="08FE4C90"/>
    <w:rsid w:val="090362EF"/>
    <w:rsid w:val="090866C9"/>
    <w:rsid w:val="097134F8"/>
    <w:rsid w:val="098F5074"/>
    <w:rsid w:val="09B06929"/>
    <w:rsid w:val="0A3D33B0"/>
    <w:rsid w:val="0A44126A"/>
    <w:rsid w:val="0A5D0D80"/>
    <w:rsid w:val="0A667AEF"/>
    <w:rsid w:val="0A6D53BD"/>
    <w:rsid w:val="0A9A115F"/>
    <w:rsid w:val="0AA477AD"/>
    <w:rsid w:val="0B2676F5"/>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A33FF"/>
    <w:rsid w:val="0EB72A51"/>
    <w:rsid w:val="0EC36AE6"/>
    <w:rsid w:val="0EF75580"/>
    <w:rsid w:val="0F1B51C5"/>
    <w:rsid w:val="0F7E2F3B"/>
    <w:rsid w:val="0F8B77A7"/>
    <w:rsid w:val="0FB279DE"/>
    <w:rsid w:val="0FD03B40"/>
    <w:rsid w:val="101C23A5"/>
    <w:rsid w:val="103352A9"/>
    <w:rsid w:val="10376624"/>
    <w:rsid w:val="10395A2B"/>
    <w:rsid w:val="107347CB"/>
    <w:rsid w:val="10830D1C"/>
    <w:rsid w:val="10A735B3"/>
    <w:rsid w:val="10B61351"/>
    <w:rsid w:val="10C26E79"/>
    <w:rsid w:val="10C7603A"/>
    <w:rsid w:val="10C86C16"/>
    <w:rsid w:val="11131BAC"/>
    <w:rsid w:val="11356D45"/>
    <w:rsid w:val="11534193"/>
    <w:rsid w:val="11611336"/>
    <w:rsid w:val="116C0377"/>
    <w:rsid w:val="11CD325E"/>
    <w:rsid w:val="11D2180D"/>
    <w:rsid w:val="12EA255A"/>
    <w:rsid w:val="13464D5E"/>
    <w:rsid w:val="1357128D"/>
    <w:rsid w:val="1398649C"/>
    <w:rsid w:val="139A0B1F"/>
    <w:rsid w:val="13C532EF"/>
    <w:rsid w:val="1446609D"/>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6180F"/>
    <w:rsid w:val="181C5F12"/>
    <w:rsid w:val="18207E93"/>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9A03FC"/>
    <w:rsid w:val="1F9F4FD0"/>
    <w:rsid w:val="1FA94D17"/>
    <w:rsid w:val="1FB13B43"/>
    <w:rsid w:val="1FFD3A90"/>
    <w:rsid w:val="202D76F6"/>
    <w:rsid w:val="203E5C2F"/>
    <w:rsid w:val="20542ED4"/>
    <w:rsid w:val="20723F75"/>
    <w:rsid w:val="208B0C0A"/>
    <w:rsid w:val="209F2E8C"/>
    <w:rsid w:val="20C94FCD"/>
    <w:rsid w:val="20CF0133"/>
    <w:rsid w:val="21500F9E"/>
    <w:rsid w:val="217D77E0"/>
    <w:rsid w:val="21EF70BE"/>
    <w:rsid w:val="220E66BC"/>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4B4D7A"/>
    <w:rsid w:val="267000E4"/>
    <w:rsid w:val="269E1BDF"/>
    <w:rsid w:val="26C86AE1"/>
    <w:rsid w:val="27063174"/>
    <w:rsid w:val="2745621A"/>
    <w:rsid w:val="274B306C"/>
    <w:rsid w:val="28150F91"/>
    <w:rsid w:val="288E0726"/>
    <w:rsid w:val="289A0EE5"/>
    <w:rsid w:val="28A2177B"/>
    <w:rsid w:val="28DA25CC"/>
    <w:rsid w:val="2956242B"/>
    <w:rsid w:val="295F6920"/>
    <w:rsid w:val="29625978"/>
    <w:rsid w:val="29BE7B24"/>
    <w:rsid w:val="29EC1002"/>
    <w:rsid w:val="2A173A82"/>
    <w:rsid w:val="2A27019D"/>
    <w:rsid w:val="2A4A7282"/>
    <w:rsid w:val="2A726D79"/>
    <w:rsid w:val="2A77431C"/>
    <w:rsid w:val="2AB8571B"/>
    <w:rsid w:val="2ABD6442"/>
    <w:rsid w:val="2ACD268E"/>
    <w:rsid w:val="2AF53CB3"/>
    <w:rsid w:val="2B496FAB"/>
    <w:rsid w:val="2B5F7DC4"/>
    <w:rsid w:val="2BAF7B59"/>
    <w:rsid w:val="2BD26C46"/>
    <w:rsid w:val="2BDE5B5E"/>
    <w:rsid w:val="2C3F708C"/>
    <w:rsid w:val="2C871D94"/>
    <w:rsid w:val="2CAE4D3A"/>
    <w:rsid w:val="2CE7407F"/>
    <w:rsid w:val="2CFB6C68"/>
    <w:rsid w:val="2D5C4C74"/>
    <w:rsid w:val="2D5F771D"/>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2D81743"/>
    <w:rsid w:val="33086177"/>
    <w:rsid w:val="332A6495"/>
    <w:rsid w:val="333016EF"/>
    <w:rsid w:val="33314FCC"/>
    <w:rsid w:val="334F543C"/>
    <w:rsid w:val="336D70A5"/>
    <w:rsid w:val="33A76983"/>
    <w:rsid w:val="33CD0AF4"/>
    <w:rsid w:val="343D6FC0"/>
    <w:rsid w:val="34525876"/>
    <w:rsid w:val="346C54C4"/>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8024AE"/>
    <w:rsid w:val="3BCA2CB8"/>
    <w:rsid w:val="3C201861"/>
    <w:rsid w:val="3C351081"/>
    <w:rsid w:val="3C4F7E8A"/>
    <w:rsid w:val="3C545991"/>
    <w:rsid w:val="3C795E81"/>
    <w:rsid w:val="3C9C06C9"/>
    <w:rsid w:val="3CF212C3"/>
    <w:rsid w:val="3D4E0D02"/>
    <w:rsid w:val="3D532A3A"/>
    <w:rsid w:val="3D615C4A"/>
    <w:rsid w:val="3D9D29AC"/>
    <w:rsid w:val="3DD06792"/>
    <w:rsid w:val="3E6216DB"/>
    <w:rsid w:val="3E6D2368"/>
    <w:rsid w:val="3E8C50F6"/>
    <w:rsid w:val="3E9E6EFC"/>
    <w:rsid w:val="3EA147B7"/>
    <w:rsid w:val="3EAA1A98"/>
    <w:rsid w:val="3ED64314"/>
    <w:rsid w:val="3EDA3818"/>
    <w:rsid w:val="3EEF2E69"/>
    <w:rsid w:val="3EFE284D"/>
    <w:rsid w:val="3F0062A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001B9"/>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A00CF2"/>
    <w:rsid w:val="49540677"/>
    <w:rsid w:val="49851138"/>
    <w:rsid w:val="49926C6C"/>
    <w:rsid w:val="49AA4FB0"/>
    <w:rsid w:val="49DB78B5"/>
    <w:rsid w:val="49E97A04"/>
    <w:rsid w:val="49EA569C"/>
    <w:rsid w:val="4A4831FA"/>
    <w:rsid w:val="4A494A22"/>
    <w:rsid w:val="4A911B79"/>
    <w:rsid w:val="4ADF223E"/>
    <w:rsid w:val="4AF07DCC"/>
    <w:rsid w:val="4B620F05"/>
    <w:rsid w:val="4BA42C32"/>
    <w:rsid w:val="4BAD0F90"/>
    <w:rsid w:val="4C2274BE"/>
    <w:rsid w:val="4C3D3054"/>
    <w:rsid w:val="4CD95DD7"/>
    <w:rsid w:val="4D2C6E03"/>
    <w:rsid w:val="4D377F90"/>
    <w:rsid w:val="4D743394"/>
    <w:rsid w:val="4D7C0517"/>
    <w:rsid w:val="4DD86D52"/>
    <w:rsid w:val="4DDE7B5E"/>
    <w:rsid w:val="4E062159"/>
    <w:rsid w:val="4E074A10"/>
    <w:rsid w:val="4E543FF1"/>
    <w:rsid w:val="4E86609F"/>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9A433C"/>
    <w:rsid w:val="51AD2147"/>
    <w:rsid w:val="51D501ED"/>
    <w:rsid w:val="522D7F16"/>
    <w:rsid w:val="523952D8"/>
    <w:rsid w:val="523B2FBD"/>
    <w:rsid w:val="52400F9E"/>
    <w:rsid w:val="52473BB8"/>
    <w:rsid w:val="5288313B"/>
    <w:rsid w:val="52D27DE3"/>
    <w:rsid w:val="52F33045"/>
    <w:rsid w:val="531F408E"/>
    <w:rsid w:val="53406525"/>
    <w:rsid w:val="534B5C0F"/>
    <w:rsid w:val="53E44017"/>
    <w:rsid w:val="5432323D"/>
    <w:rsid w:val="54331B24"/>
    <w:rsid w:val="54583460"/>
    <w:rsid w:val="54686A39"/>
    <w:rsid w:val="54E641C3"/>
    <w:rsid w:val="54EC6DF6"/>
    <w:rsid w:val="54F16F78"/>
    <w:rsid w:val="55215714"/>
    <w:rsid w:val="554D7806"/>
    <w:rsid w:val="55876BE5"/>
    <w:rsid w:val="55A94050"/>
    <w:rsid w:val="55CA36B6"/>
    <w:rsid w:val="567F5F3C"/>
    <w:rsid w:val="56DB6AC7"/>
    <w:rsid w:val="56DF16DC"/>
    <w:rsid w:val="56DF6C95"/>
    <w:rsid w:val="57184CF1"/>
    <w:rsid w:val="571E77BD"/>
    <w:rsid w:val="57780B5F"/>
    <w:rsid w:val="57B96494"/>
    <w:rsid w:val="57DD76E9"/>
    <w:rsid w:val="57FC658A"/>
    <w:rsid w:val="57FE5FE5"/>
    <w:rsid w:val="586A1F97"/>
    <w:rsid w:val="589C6ECF"/>
    <w:rsid w:val="58EF1411"/>
    <w:rsid w:val="59597413"/>
    <w:rsid w:val="59BA4CD4"/>
    <w:rsid w:val="59EE5797"/>
    <w:rsid w:val="5AC272A3"/>
    <w:rsid w:val="5B307B0A"/>
    <w:rsid w:val="5B557E8F"/>
    <w:rsid w:val="5BB1110B"/>
    <w:rsid w:val="5C2B7BE1"/>
    <w:rsid w:val="5C621337"/>
    <w:rsid w:val="5C7F01BD"/>
    <w:rsid w:val="5CF35248"/>
    <w:rsid w:val="5D1A4582"/>
    <w:rsid w:val="5D6C33D5"/>
    <w:rsid w:val="5DA25547"/>
    <w:rsid w:val="5DC5227C"/>
    <w:rsid w:val="5DD32B36"/>
    <w:rsid w:val="5DEC6C8E"/>
    <w:rsid w:val="5DF951D1"/>
    <w:rsid w:val="5DFA4819"/>
    <w:rsid w:val="5E2725DC"/>
    <w:rsid w:val="5EFB79A1"/>
    <w:rsid w:val="5F2A616C"/>
    <w:rsid w:val="5F3C052E"/>
    <w:rsid w:val="5F6C71D0"/>
    <w:rsid w:val="5F785148"/>
    <w:rsid w:val="5F8E3006"/>
    <w:rsid w:val="5FA171DD"/>
    <w:rsid w:val="5FA8049F"/>
    <w:rsid w:val="5FC04A97"/>
    <w:rsid w:val="5FE94B7D"/>
    <w:rsid w:val="5FF2718E"/>
    <w:rsid w:val="5FFF4EA8"/>
    <w:rsid w:val="60251BBC"/>
    <w:rsid w:val="602B2726"/>
    <w:rsid w:val="60417BB4"/>
    <w:rsid w:val="60433DF0"/>
    <w:rsid w:val="60B2650C"/>
    <w:rsid w:val="611D40E2"/>
    <w:rsid w:val="614462DE"/>
    <w:rsid w:val="61B516C4"/>
    <w:rsid w:val="61EF4764"/>
    <w:rsid w:val="62516C98"/>
    <w:rsid w:val="625904A9"/>
    <w:rsid w:val="62A64AED"/>
    <w:rsid w:val="62BE2B8C"/>
    <w:rsid w:val="6300246C"/>
    <w:rsid w:val="63213EEF"/>
    <w:rsid w:val="632D32DF"/>
    <w:rsid w:val="636B778B"/>
    <w:rsid w:val="63713FBD"/>
    <w:rsid w:val="63950102"/>
    <w:rsid w:val="641D5FD9"/>
    <w:rsid w:val="64391413"/>
    <w:rsid w:val="64566E62"/>
    <w:rsid w:val="647677D7"/>
    <w:rsid w:val="64770209"/>
    <w:rsid w:val="65042865"/>
    <w:rsid w:val="651360F5"/>
    <w:rsid w:val="651B024D"/>
    <w:rsid w:val="65571260"/>
    <w:rsid w:val="65620EA6"/>
    <w:rsid w:val="65AB3C61"/>
    <w:rsid w:val="65B25CB4"/>
    <w:rsid w:val="65CE2481"/>
    <w:rsid w:val="65F77B57"/>
    <w:rsid w:val="65FB616C"/>
    <w:rsid w:val="661125F2"/>
    <w:rsid w:val="6611695D"/>
    <w:rsid w:val="66194DC3"/>
    <w:rsid w:val="66267FAE"/>
    <w:rsid w:val="668D09A2"/>
    <w:rsid w:val="669764AC"/>
    <w:rsid w:val="66D1436D"/>
    <w:rsid w:val="66D55C0F"/>
    <w:rsid w:val="672A40B7"/>
    <w:rsid w:val="6746660F"/>
    <w:rsid w:val="6749451C"/>
    <w:rsid w:val="674A4227"/>
    <w:rsid w:val="678278F4"/>
    <w:rsid w:val="679300D6"/>
    <w:rsid w:val="684478D1"/>
    <w:rsid w:val="686109FC"/>
    <w:rsid w:val="686801CC"/>
    <w:rsid w:val="688C32E6"/>
    <w:rsid w:val="689C2C37"/>
    <w:rsid w:val="689E061E"/>
    <w:rsid w:val="68D84C26"/>
    <w:rsid w:val="68F55EA4"/>
    <w:rsid w:val="694D466A"/>
    <w:rsid w:val="695143FB"/>
    <w:rsid w:val="698A3A01"/>
    <w:rsid w:val="698D0D6B"/>
    <w:rsid w:val="69E6116E"/>
    <w:rsid w:val="6A051C1C"/>
    <w:rsid w:val="6A461941"/>
    <w:rsid w:val="6A6D3983"/>
    <w:rsid w:val="6AA33CF1"/>
    <w:rsid w:val="6AAE5669"/>
    <w:rsid w:val="6ABD1719"/>
    <w:rsid w:val="6ACC25CE"/>
    <w:rsid w:val="6B275374"/>
    <w:rsid w:val="6BEB28AD"/>
    <w:rsid w:val="6C123536"/>
    <w:rsid w:val="6C1B3E73"/>
    <w:rsid w:val="6C1D1BAE"/>
    <w:rsid w:val="6C32108A"/>
    <w:rsid w:val="6C495CD7"/>
    <w:rsid w:val="6C6C7186"/>
    <w:rsid w:val="6C71153E"/>
    <w:rsid w:val="6C757A27"/>
    <w:rsid w:val="6CA67BC0"/>
    <w:rsid w:val="6CE10EDA"/>
    <w:rsid w:val="6D4F01B3"/>
    <w:rsid w:val="6D9B0E92"/>
    <w:rsid w:val="6DC319FF"/>
    <w:rsid w:val="6E1844B8"/>
    <w:rsid w:val="6E541954"/>
    <w:rsid w:val="6E6D5C0E"/>
    <w:rsid w:val="6E7C3113"/>
    <w:rsid w:val="6EA67FA2"/>
    <w:rsid w:val="6ED722D3"/>
    <w:rsid w:val="6F957251"/>
    <w:rsid w:val="70921C55"/>
    <w:rsid w:val="71283ECD"/>
    <w:rsid w:val="713D11CB"/>
    <w:rsid w:val="7147364E"/>
    <w:rsid w:val="71502437"/>
    <w:rsid w:val="71E362C3"/>
    <w:rsid w:val="71E511AB"/>
    <w:rsid w:val="7219039A"/>
    <w:rsid w:val="731775B6"/>
    <w:rsid w:val="73A8335B"/>
    <w:rsid w:val="73BA11B9"/>
    <w:rsid w:val="73D60472"/>
    <w:rsid w:val="73F53D48"/>
    <w:rsid w:val="7496752E"/>
    <w:rsid w:val="755B54D7"/>
    <w:rsid w:val="75765328"/>
    <w:rsid w:val="75A177EE"/>
    <w:rsid w:val="75D86CD4"/>
    <w:rsid w:val="760E7139"/>
    <w:rsid w:val="76496AA8"/>
    <w:rsid w:val="76745CA5"/>
    <w:rsid w:val="768559AF"/>
    <w:rsid w:val="76A05F87"/>
    <w:rsid w:val="76A730E4"/>
    <w:rsid w:val="76F33AE6"/>
    <w:rsid w:val="76F41191"/>
    <w:rsid w:val="771D3195"/>
    <w:rsid w:val="778111CA"/>
    <w:rsid w:val="779352B4"/>
    <w:rsid w:val="77C011B5"/>
    <w:rsid w:val="77DF2692"/>
    <w:rsid w:val="77E65FB7"/>
    <w:rsid w:val="77EC1D59"/>
    <w:rsid w:val="781F64BC"/>
    <w:rsid w:val="783E6571"/>
    <w:rsid w:val="78502F65"/>
    <w:rsid w:val="786E6C4A"/>
    <w:rsid w:val="789D2BB8"/>
    <w:rsid w:val="78C75521"/>
    <w:rsid w:val="78DB6555"/>
    <w:rsid w:val="78FD20DF"/>
    <w:rsid w:val="795654B4"/>
    <w:rsid w:val="79E24199"/>
    <w:rsid w:val="7A281851"/>
    <w:rsid w:val="7A550F13"/>
    <w:rsid w:val="7A773BB5"/>
    <w:rsid w:val="7AD20151"/>
    <w:rsid w:val="7ADD5115"/>
    <w:rsid w:val="7B345817"/>
    <w:rsid w:val="7B5D3DBD"/>
    <w:rsid w:val="7B62786A"/>
    <w:rsid w:val="7BAD7F79"/>
    <w:rsid w:val="7BCC77A1"/>
    <w:rsid w:val="7BE82E7A"/>
    <w:rsid w:val="7C047330"/>
    <w:rsid w:val="7C1A0DC0"/>
    <w:rsid w:val="7C614B37"/>
    <w:rsid w:val="7CE039CF"/>
    <w:rsid w:val="7D54267F"/>
    <w:rsid w:val="7D7C739E"/>
    <w:rsid w:val="7DBD5F66"/>
    <w:rsid w:val="7DC17EA6"/>
    <w:rsid w:val="7E0D5B2C"/>
    <w:rsid w:val="7E2115B9"/>
    <w:rsid w:val="7E7F66A4"/>
    <w:rsid w:val="7EA72D17"/>
    <w:rsid w:val="7EC73FA6"/>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styleId="3">
    <w:name w:val="Normal Indent"/>
    <w:basedOn w:val="1"/>
    <w:next w:val="4"/>
    <w:qFormat/>
    <w:uiPriority w:val="0"/>
    <w:pPr>
      <w:ind w:firstLine="420"/>
    </w:pPr>
  </w:style>
  <w:style w:type="paragraph" w:customStyle="1" w:styleId="4">
    <w:name w:val="正文首行缩进 21"/>
    <w:basedOn w:val="5"/>
    <w:next w:val="1"/>
    <w:qFormat/>
    <w:uiPriority w:val="0"/>
    <w:pPr>
      <w:spacing w:afterLines="0"/>
      <w:ind w:left="420" w:firstLine="420" w:firstLineChars="200"/>
    </w:pPr>
    <w:rPr>
      <w:lang w:eastAsia="zh-CN" w:bidi="ar-SA"/>
    </w:r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0"/>
    <w:qFormat/>
    <w:uiPriority w:val="99"/>
    <w:pPr>
      <w:spacing w:after="120"/>
    </w:pPr>
    <w:rPr>
      <w:rFonts w:ascii="Calibri" w:hAnsi="Calibri"/>
      <w:szCs w:val="22"/>
    </w:rPr>
  </w:style>
  <w:style w:type="paragraph" w:styleId="8">
    <w:name w:val="Date"/>
    <w:basedOn w:val="1"/>
    <w:next w:val="1"/>
    <w:link w:val="21"/>
    <w:qFormat/>
    <w:uiPriority w:val="99"/>
    <w:pPr>
      <w:ind w:left="100" w:leftChars="2500"/>
    </w:pPr>
  </w:style>
  <w:style w:type="paragraph" w:styleId="9">
    <w:name w:val="footer"/>
    <w:basedOn w:val="1"/>
    <w:link w:val="22"/>
    <w:qFormat/>
    <w:uiPriority w:val="99"/>
    <w:pPr>
      <w:tabs>
        <w:tab w:val="center" w:pos="4153"/>
        <w:tab w:val="right" w:pos="8306"/>
      </w:tabs>
      <w:snapToGrid w:val="0"/>
      <w:jc w:val="left"/>
    </w:pPr>
    <w:rPr>
      <w:sz w:val="18"/>
    </w:rPr>
  </w:style>
  <w:style w:type="paragraph" w:styleId="10">
    <w:name w:val="header"/>
    <w:basedOn w:val="1"/>
    <w:link w:val="23"/>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paragraph" w:styleId="13">
    <w:name w:val="Body Text First Indent 2"/>
    <w:basedOn w:val="5"/>
    <w:next w:val="1"/>
    <w:qFormat/>
    <w:uiPriority w:val="99"/>
    <w:pPr>
      <w:spacing w:line="240" w:lineRule="auto"/>
      <w:ind w:firstLine="42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正文文本 Char"/>
    <w:basedOn w:val="15"/>
    <w:link w:val="7"/>
    <w:semiHidden/>
    <w:qFormat/>
    <w:uiPriority w:val="99"/>
    <w:rPr>
      <w:color w:val="000000"/>
      <w:kern w:val="0"/>
      <w:szCs w:val="20"/>
    </w:rPr>
  </w:style>
  <w:style w:type="character" w:customStyle="1" w:styleId="21">
    <w:name w:val="日期 Char"/>
    <w:basedOn w:val="15"/>
    <w:link w:val="8"/>
    <w:semiHidden/>
    <w:qFormat/>
    <w:uiPriority w:val="99"/>
    <w:rPr>
      <w:color w:val="000000"/>
      <w:kern w:val="0"/>
      <w:szCs w:val="20"/>
    </w:rPr>
  </w:style>
  <w:style w:type="character" w:customStyle="1" w:styleId="22">
    <w:name w:val="页脚 Char"/>
    <w:basedOn w:val="17"/>
    <w:link w:val="9"/>
    <w:qFormat/>
    <w:locked/>
    <w:uiPriority w:val="99"/>
    <w:rPr>
      <w:rFonts w:cs="Times New Roman"/>
      <w:color w:val="000000"/>
      <w:sz w:val="18"/>
    </w:rPr>
  </w:style>
  <w:style w:type="character" w:customStyle="1" w:styleId="23">
    <w:name w:val="页眉 Char"/>
    <w:basedOn w:val="17"/>
    <w:link w:val="10"/>
    <w:qFormat/>
    <w:locked/>
    <w:uiPriority w:val="99"/>
    <w:rPr>
      <w:rFonts w:cs="Times New Roman"/>
      <w:color w:val="000000"/>
      <w:sz w:val="18"/>
      <w:szCs w:val="18"/>
    </w:rPr>
  </w:style>
  <w:style w:type="paragraph" w:customStyle="1" w:styleId="24">
    <w:name w:val="BodyText"/>
    <w:basedOn w:val="1"/>
    <w:qFormat/>
    <w:uiPriority w:val="99"/>
    <w:pPr>
      <w:spacing w:after="120"/>
    </w:pPr>
    <w:rPr>
      <w:rFonts w:ascii="Calibri" w:hAnsi="Calibri"/>
      <w:szCs w:val="22"/>
    </w:rPr>
  </w:style>
  <w:style w:type="table" w:customStyle="1" w:styleId="25">
    <w:name w:val="TableNormal"/>
    <w:semiHidden/>
    <w:qFormat/>
    <w:uiPriority w:val="99"/>
    <w:tblPr>
      <w:tblCellMar>
        <w:top w:w="0" w:type="dxa"/>
        <w:left w:w="0" w:type="dxa"/>
        <w:bottom w:w="0" w:type="dxa"/>
        <w:right w:w="0" w:type="dxa"/>
      </w:tblCellMar>
    </w:tblPr>
  </w:style>
  <w:style w:type="character" w:customStyle="1" w:styleId="26">
    <w:name w:val="UserStyle_0"/>
    <w:basedOn w:val="17"/>
    <w:qFormat/>
    <w:uiPriority w:val="99"/>
    <w:rPr>
      <w:rFonts w:ascii="Times New Roman" w:eastAsia="宋体" w:cs="Times New Roman"/>
      <w:color w:val="0000FF"/>
      <w:sz w:val="21"/>
      <w:u w:val="single"/>
      <w:lang w:val="en-US" w:eastAsia="zh-CN"/>
    </w:rPr>
  </w:style>
  <w:style w:type="character" w:customStyle="1" w:styleId="27">
    <w:name w:val="AnnotationReference"/>
    <w:qFormat/>
    <w:uiPriority w:val="99"/>
    <w:rPr>
      <w:sz w:val="21"/>
    </w:rPr>
  </w:style>
  <w:style w:type="character" w:customStyle="1" w:styleId="28">
    <w:name w:val="UserStyle_2"/>
    <w:basedOn w:val="17"/>
    <w:qFormat/>
    <w:uiPriority w:val="99"/>
    <w:rPr>
      <w:rFonts w:ascii="Times New Roman" w:eastAsia="宋体" w:cs="Times New Roman"/>
      <w:color w:val="0000FF"/>
      <w:sz w:val="21"/>
      <w:u w:val="single"/>
      <w:lang w:val="en-US" w:eastAsia="zh-CN"/>
    </w:rPr>
  </w:style>
  <w:style w:type="character" w:customStyle="1" w:styleId="29">
    <w:name w:val="UserStyle_3"/>
    <w:semiHidden/>
    <w:qFormat/>
    <w:uiPriority w:val="99"/>
    <w:rPr>
      <w:rFonts w:ascii="Times New Roman" w:hAnsi="Times New Roman" w:eastAsia="宋体"/>
      <w:kern w:val="2"/>
      <w:sz w:val="21"/>
      <w:lang w:val="en-US" w:eastAsia="zh-CN"/>
    </w:rPr>
  </w:style>
  <w:style w:type="paragraph" w:customStyle="1" w:styleId="30">
    <w:name w:val="UserStyle_5"/>
    <w:basedOn w:val="1"/>
    <w:next w:val="31"/>
    <w:qFormat/>
    <w:uiPriority w:val="99"/>
    <w:pPr>
      <w:spacing w:before="566" w:after="544" w:line="566" w:lineRule="atLeast"/>
      <w:jc w:val="center"/>
    </w:pPr>
    <w:rPr>
      <w:rFonts w:ascii="Arial" w:eastAsia="黑体"/>
      <w:sz w:val="54"/>
    </w:rPr>
  </w:style>
  <w:style w:type="paragraph" w:customStyle="1" w:styleId="31">
    <w:name w:val="UserStyle_6"/>
    <w:basedOn w:val="1"/>
    <w:next w:val="32"/>
    <w:qFormat/>
    <w:uiPriority w:val="99"/>
    <w:pPr>
      <w:spacing w:before="187" w:after="175" w:line="374" w:lineRule="atLeast"/>
      <w:jc w:val="center"/>
    </w:pPr>
    <w:rPr>
      <w:sz w:val="36"/>
    </w:rPr>
  </w:style>
  <w:style w:type="paragraph" w:customStyle="1" w:styleId="32">
    <w:name w:val="UserStyle_16"/>
    <w:basedOn w:val="1"/>
    <w:next w:val="33"/>
    <w:qFormat/>
    <w:uiPriority w:val="99"/>
    <w:pPr>
      <w:spacing w:before="158" w:after="153" w:line="323" w:lineRule="atLeast"/>
      <w:jc w:val="center"/>
    </w:pPr>
    <w:rPr>
      <w:rFonts w:ascii="Arial" w:eastAsia="黑体"/>
      <w:sz w:val="31"/>
    </w:rPr>
  </w:style>
  <w:style w:type="paragraph" w:customStyle="1" w:styleId="33">
    <w:name w:val="UserStyle_10"/>
    <w:basedOn w:val="1"/>
    <w:next w:val="34"/>
    <w:qFormat/>
    <w:uiPriority w:val="99"/>
    <w:pPr>
      <w:spacing w:line="289" w:lineRule="atLeast"/>
      <w:jc w:val="center"/>
    </w:pPr>
    <w:rPr>
      <w:sz w:val="28"/>
    </w:rPr>
  </w:style>
  <w:style w:type="paragraph" w:customStyle="1" w:styleId="34">
    <w:name w:val="UserStyle_11"/>
    <w:basedOn w:val="1"/>
    <w:next w:val="1"/>
    <w:qFormat/>
    <w:uiPriority w:val="99"/>
    <w:pPr>
      <w:spacing w:before="175" w:after="102" w:line="351" w:lineRule="atLeast"/>
    </w:pPr>
    <w:rPr>
      <w:rFonts w:eastAsia="黑体"/>
    </w:rPr>
  </w:style>
  <w:style w:type="paragraph" w:customStyle="1" w:styleId="35">
    <w:name w:val="UserStyle_7"/>
    <w:basedOn w:val="1"/>
    <w:next w:val="1"/>
    <w:qFormat/>
    <w:uiPriority w:val="99"/>
    <w:pPr>
      <w:tabs>
        <w:tab w:val="left" w:leader="dot" w:pos="8503"/>
      </w:tabs>
      <w:spacing w:line="317" w:lineRule="atLeast"/>
      <w:ind w:firstLine="629"/>
    </w:pPr>
  </w:style>
  <w:style w:type="paragraph" w:customStyle="1" w:styleId="36">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7">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8">
    <w:name w:val="UserStyle_9"/>
    <w:basedOn w:val="1"/>
    <w:next w:val="1"/>
    <w:qFormat/>
    <w:uiPriority w:val="99"/>
    <w:pPr>
      <w:tabs>
        <w:tab w:val="left" w:leader="dot" w:pos="8503"/>
      </w:tabs>
      <w:spacing w:line="317" w:lineRule="atLeast"/>
      <w:ind w:firstLine="419"/>
    </w:pPr>
  </w:style>
  <w:style w:type="paragraph" w:customStyle="1" w:styleId="39">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0">
    <w:name w:val="UserStyle_13"/>
    <w:basedOn w:val="1"/>
    <w:qFormat/>
    <w:uiPriority w:val="99"/>
    <w:pPr>
      <w:spacing w:line="240" w:lineRule="auto"/>
      <w:textAlignment w:val="auto"/>
    </w:pPr>
    <w:rPr>
      <w:sz w:val="32"/>
      <w:szCs w:val="32"/>
    </w:rPr>
  </w:style>
  <w:style w:type="paragraph" w:customStyle="1" w:styleId="41">
    <w:name w:val="UserStyle_14"/>
    <w:basedOn w:val="1"/>
    <w:qFormat/>
    <w:uiPriority w:val="99"/>
    <w:pPr>
      <w:spacing w:line="600" w:lineRule="atLeast"/>
      <w:jc w:val="center"/>
      <w:textAlignment w:val="auto"/>
    </w:pPr>
    <w:rPr>
      <w:rFonts w:ascii="Arial" w:hAnsi="Arial"/>
      <w:sz w:val="24"/>
      <w:szCs w:val="24"/>
    </w:rPr>
  </w:style>
  <w:style w:type="paragraph" w:customStyle="1" w:styleId="42">
    <w:name w:val="UserStyle_15"/>
    <w:basedOn w:val="1"/>
    <w:next w:val="1"/>
    <w:qFormat/>
    <w:uiPriority w:val="99"/>
    <w:pPr>
      <w:tabs>
        <w:tab w:val="left" w:leader="dot" w:pos="8503"/>
      </w:tabs>
      <w:spacing w:line="317" w:lineRule="atLeast"/>
      <w:ind w:firstLine="209"/>
    </w:pPr>
  </w:style>
  <w:style w:type="paragraph" w:customStyle="1" w:styleId="43">
    <w:name w:val="UserStyle_17"/>
    <w:basedOn w:val="1"/>
    <w:qFormat/>
    <w:uiPriority w:val="99"/>
    <w:pPr>
      <w:spacing w:line="480" w:lineRule="exact"/>
      <w:ind w:firstLine="420" w:firstLineChars="200"/>
      <w:textAlignment w:val="auto"/>
    </w:pPr>
    <w:rPr>
      <w:kern w:val="2"/>
      <w:sz w:val="24"/>
      <w:szCs w:val="24"/>
    </w:rPr>
  </w:style>
  <w:style w:type="table" w:customStyle="1" w:styleId="44">
    <w:name w:val="TableGrid"/>
    <w:basedOn w:val="25"/>
    <w:qFormat/>
    <w:uiPriority w:val="99"/>
    <w:tblPr>
      <w:tblCellMar>
        <w:top w:w="0" w:type="dxa"/>
        <w:left w:w="0" w:type="dxa"/>
        <w:bottom w:w="0" w:type="dxa"/>
        <w:right w:w="0" w:type="dxa"/>
      </w:tblCellMar>
    </w:tblPr>
  </w:style>
  <w:style w:type="paragraph" w:customStyle="1" w:styleId="45">
    <w:name w:val="BodyTextIndent"/>
    <w:basedOn w:val="1"/>
    <w:qFormat/>
    <w:uiPriority w:val="99"/>
    <w:pPr>
      <w:spacing w:after="120"/>
      <w:ind w:left="420" w:leftChars="200"/>
    </w:pPr>
  </w:style>
  <w:style w:type="paragraph" w:customStyle="1" w:styleId="46">
    <w:name w:val="BodyText1I2"/>
    <w:basedOn w:val="45"/>
    <w:qFormat/>
    <w:uiPriority w:val="99"/>
    <w:pPr>
      <w:ind w:firstLine="420" w:firstLineChars="200"/>
    </w:pPr>
  </w:style>
  <w:style w:type="paragraph" w:customStyle="1" w:styleId="47">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1312</Words>
  <Characters>1444</Characters>
  <Lines>10</Lines>
  <Paragraphs>3</Paragraphs>
  <TotalTime>12</TotalTime>
  <ScaleCrop>false</ScaleCrop>
  <LinksUpToDate>false</LinksUpToDate>
  <CharactersWithSpaces>1588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♪(´ε｀ )</cp:lastModifiedBy>
  <cp:lastPrinted>2020-09-03T08:09:00Z</cp:lastPrinted>
  <dcterms:modified xsi:type="dcterms:W3CDTF">2023-03-07T02:15:23Z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4B223CA2B5B24F0BBC3925F45DAE3489</vt:lpwstr>
  </property>
</Properties>
</file>