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4"/>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5</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default" w:ascii="宋体" w:hAnsi="宋体" w:eastAsia="宋体" w:cs="Times New Roman"/>
          <w:b/>
          <w:bCs w:val="0"/>
          <w:color w:val="auto"/>
          <w:sz w:val="44"/>
          <w:szCs w:val="44"/>
          <w:lang w:val="en-US" w:eastAsia="zh-CN"/>
        </w:rPr>
      </w:pPr>
      <w:r>
        <w:rPr>
          <w:rStyle w:val="17"/>
          <w:rFonts w:hint="default" w:ascii="宋体" w:hAnsi="宋体" w:eastAsia="宋体" w:cs="Times New Roman"/>
          <w:b/>
          <w:bCs w:val="0"/>
          <w:color w:val="auto"/>
          <w:sz w:val="44"/>
          <w:szCs w:val="44"/>
          <w:lang w:val="en-US" w:eastAsia="zh-CN"/>
        </w:rPr>
        <w:t>鄂尔多斯市泰纳非金属制品有限公司</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Times New Roman"/>
          <w:b/>
          <w:bCs w:val="0"/>
          <w:color w:val="auto"/>
          <w:sz w:val="44"/>
          <w:szCs w:val="44"/>
          <w:lang w:val="en-US" w:eastAsia="zh-CN"/>
        </w:rPr>
        <w:t>玻化微珠</w:t>
      </w:r>
      <w:r>
        <w:rPr>
          <w:rStyle w:val="17"/>
          <w:rFonts w:hint="default" w:ascii="宋体" w:hAnsi="宋体" w:eastAsia="宋体" w:cs="Times New Roman"/>
          <w:b/>
          <w:bCs w:val="0"/>
          <w:color w:val="auto"/>
          <w:sz w:val="44"/>
          <w:szCs w:val="44"/>
          <w:lang w:val="en-US" w:eastAsia="zh-CN"/>
        </w:rPr>
        <w:t>珍珠</w:t>
      </w:r>
      <w:r>
        <w:rPr>
          <w:rStyle w:val="17"/>
          <w:rFonts w:hint="eastAsia" w:ascii="宋体" w:hAnsi="宋体" w:eastAsia="宋体" w:cs="Times New Roman"/>
          <w:b/>
          <w:bCs w:val="0"/>
          <w:color w:val="auto"/>
          <w:sz w:val="44"/>
          <w:szCs w:val="44"/>
          <w:lang w:val="en-US" w:eastAsia="zh-CN"/>
        </w:rPr>
        <w:t>岩建设项目</w:t>
      </w:r>
      <w:r>
        <w:rPr>
          <w:rStyle w:val="17"/>
          <w:rFonts w:hint="eastAsia" w:ascii="宋体" w:hAnsi="宋体" w:eastAsia="宋体" w:cs="宋体"/>
          <w:b/>
          <w:bCs w:val="0"/>
          <w:color w:val="auto"/>
          <w:sz w:val="44"/>
          <w:szCs w:val="44"/>
        </w:rPr>
        <w:t>环境</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宋体"/>
          <w:b/>
          <w:bCs w:val="0"/>
          <w:color w:val="auto"/>
          <w:sz w:val="44"/>
          <w:szCs w:val="44"/>
        </w:rPr>
        <w:t>影响报告表的批复</w:t>
      </w:r>
    </w:p>
    <w:p>
      <w:pPr>
        <w:spacing w:line="360" w:lineRule="auto"/>
        <w:textAlignment w:val="auto"/>
        <w:rPr>
          <w:rStyle w:val="17"/>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Style w:val="17"/>
          <w:rFonts w:hint="eastAsia" w:ascii="仿宋" w:hAnsi="仿宋" w:eastAsia="仿宋" w:cs="Times New Roman"/>
          <w:sz w:val="32"/>
          <w:szCs w:val="32"/>
          <w:lang w:eastAsia="zh-CN"/>
        </w:rPr>
      </w:pPr>
      <w:r>
        <w:rPr>
          <w:rStyle w:val="17"/>
          <w:rFonts w:hint="default" w:ascii="仿宋" w:hAnsi="仿宋" w:eastAsia="仿宋" w:cs="Times New Roman"/>
          <w:sz w:val="32"/>
          <w:szCs w:val="32"/>
          <w:lang w:val="en-US" w:eastAsia="zh-CN"/>
        </w:rPr>
        <w:t>鄂尔多斯市泰纳非金属制品有限公司</w:t>
      </w:r>
      <w:r>
        <w:rPr>
          <w:rStyle w:val="17"/>
          <w:rFonts w:hint="eastAsia" w:ascii="仿宋" w:hAnsi="仿宋" w:eastAsia="仿宋" w:cs="Times New Roman"/>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报送的由内蒙古</w:t>
      </w:r>
      <w:r>
        <w:rPr>
          <w:rStyle w:val="17"/>
          <w:rFonts w:hint="eastAsia" w:ascii="仿宋" w:hAnsi="仿宋" w:eastAsia="仿宋"/>
          <w:sz w:val="32"/>
          <w:szCs w:val="32"/>
          <w:lang w:eastAsia="zh-CN"/>
        </w:rPr>
        <w:t>新仕界项目管理</w:t>
      </w:r>
      <w:r>
        <w:rPr>
          <w:rStyle w:val="17"/>
          <w:rFonts w:hint="eastAsia" w:ascii="仿宋" w:hAnsi="仿宋" w:eastAsia="仿宋"/>
          <w:sz w:val="32"/>
          <w:szCs w:val="32"/>
        </w:rPr>
        <w:t>有限公司</w:t>
      </w:r>
      <w:r>
        <w:rPr>
          <w:rStyle w:val="17"/>
          <w:rFonts w:hint="eastAsia" w:ascii="仿宋" w:hAnsi="仿宋" w:eastAsia="仿宋"/>
          <w:sz w:val="32"/>
          <w:szCs w:val="32"/>
          <w:lang w:val="en-US" w:eastAsia="zh-CN"/>
        </w:rPr>
        <w:t>编</w:t>
      </w:r>
      <w:r>
        <w:rPr>
          <w:rStyle w:val="17"/>
          <w:rFonts w:hint="eastAsia" w:ascii="仿宋" w:hAnsi="仿宋" w:eastAsia="仿宋"/>
          <w:sz w:val="32"/>
          <w:szCs w:val="32"/>
        </w:rPr>
        <w:t>制的《</w:t>
      </w:r>
      <w:r>
        <w:rPr>
          <w:rStyle w:val="17"/>
          <w:rFonts w:hint="default" w:ascii="仿宋" w:hAnsi="仿宋" w:eastAsia="仿宋" w:cs="Times New Roman"/>
          <w:sz w:val="32"/>
          <w:szCs w:val="32"/>
          <w:lang w:val="en-US" w:eastAsia="zh-CN"/>
        </w:rPr>
        <w:t>鄂尔多斯市泰纳非金属制品有限公司</w:t>
      </w:r>
      <w:r>
        <w:rPr>
          <w:rStyle w:val="17"/>
          <w:rFonts w:hint="eastAsia" w:ascii="仿宋" w:hAnsi="仿宋" w:eastAsia="仿宋" w:cs="Times New Roman"/>
          <w:sz w:val="32"/>
          <w:szCs w:val="32"/>
          <w:lang w:val="en-US" w:eastAsia="zh-CN"/>
        </w:rPr>
        <w:t>玻化微珠</w:t>
      </w:r>
      <w:r>
        <w:rPr>
          <w:rStyle w:val="17"/>
          <w:rFonts w:hint="default" w:ascii="仿宋" w:hAnsi="仿宋" w:eastAsia="仿宋" w:cs="Times New Roman"/>
          <w:sz w:val="32"/>
          <w:szCs w:val="32"/>
          <w:lang w:val="en-US" w:eastAsia="zh-CN"/>
        </w:rPr>
        <w:t>珍珠岩</w:t>
      </w:r>
      <w:r>
        <w:rPr>
          <w:rStyle w:val="17"/>
          <w:rFonts w:hint="eastAsia" w:ascii="仿宋" w:hAnsi="仿宋" w:eastAsia="仿宋" w:cs="Times New Roman"/>
          <w:sz w:val="32"/>
          <w:szCs w:val="32"/>
          <w:lang w:val="en-US" w:eastAsia="zh-CN"/>
        </w:rPr>
        <w:t>项目</w:t>
      </w:r>
      <w:r>
        <w:rPr>
          <w:rStyle w:val="17"/>
          <w:rFonts w:hint="eastAsia" w:ascii="仿宋" w:hAnsi="仿宋" w:eastAsia="仿宋" w:cs="Times New Roman"/>
          <w:sz w:val="32"/>
          <w:szCs w:val="32"/>
        </w:rPr>
        <w:t>环境</w:t>
      </w:r>
      <w:r>
        <w:rPr>
          <w:rStyle w:val="17"/>
          <w:rFonts w:hint="eastAsia" w:ascii="仿宋" w:hAnsi="仿宋" w:eastAsia="仿宋"/>
          <w:sz w:val="32"/>
          <w:szCs w:val="32"/>
        </w:rPr>
        <w:t>影响报告表》（以下简称《报告表》）已收悉</w:t>
      </w:r>
      <w:r>
        <w:rPr>
          <w:rStyle w:val="17"/>
          <w:rFonts w:hint="eastAsia" w:ascii="仿宋" w:hAnsi="仿宋" w:eastAsia="仿宋"/>
          <w:sz w:val="32"/>
          <w:szCs w:val="32"/>
          <w:lang w:eastAsia="zh-CN"/>
        </w:rPr>
        <w:t>。</w:t>
      </w:r>
      <w:r>
        <w:rPr>
          <w:rStyle w:val="17"/>
          <w:rFonts w:hint="eastAsia" w:ascii="仿宋" w:hAnsi="仿宋" w:eastAsia="仿宋"/>
          <w:sz w:val="32"/>
          <w:szCs w:val="32"/>
        </w:rPr>
        <w:t>该项目属于新建项目，位于</w:t>
      </w:r>
      <w:r>
        <w:rPr>
          <w:rStyle w:val="17"/>
          <w:rFonts w:hint="default" w:ascii="仿宋" w:hAnsi="仿宋" w:eastAsia="仿宋" w:cs="Times New Roman"/>
          <w:sz w:val="32"/>
          <w:szCs w:val="32"/>
          <w:lang w:val="en-US" w:eastAsia="zh-CN"/>
        </w:rPr>
        <w:t>鄂尔多斯装备制造产业园祥和路5号</w:t>
      </w:r>
      <w:r>
        <w:rPr>
          <w:rStyle w:val="17"/>
          <w:rFonts w:hint="eastAsia" w:ascii="仿宋" w:hAnsi="仿宋" w:eastAsia="仿宋" w:cs="Times New Roman"/>
          <w:sz w:val="32"/>
          <w:szCs w:val="32"/>
          <w:lang w:val="en-US" w:eastAsia="zh-CN"/>
        </w:rPr>
        <w:t>。项目总</w:t>
      </w:r>
      <w:r>
        <w:rPr>
          <w:rStyle w:val="17"/>
          <w:rFonts w:hint="eastAsia" w:ascii="仿宋" w:hAnsi="仿宋" w:eastAsia="仿宋" w:cs="Times New Roman"/>
          <w:sz w:val="32"/>
          <w:szCs w:val="32"/>
          <w:lang w:eastAsia="zh-CN"/>
        </w:rPr>
        <w:t>占地面积</w:t>
      </w:r>
      <w:r>
        <w:rPr>
          <w:rStyle w:val="17"/>
          <w:rFonts w:hint="default" w:ascii="仿宋" w:hAnsi="仿宋" w:eastAsia="仿宋" w:cs="Times New Roman"/>
          <w:sz w:val="32"/>
          <w:szCs w:val="32"/>
          <w:lang w:val="en-US" w:eastAsia="zh-CN"/>
        </w:rPr>
        <w:t>2</w:t>
      </w:r>
      <w:r>
        <w:rPr>
          <w:rStyle w:val="17"/>
          <w:rFonts w:hint="eastAsia" w:ascii="仿宋" w:hAnsi="仿宋" w:eastAsia="仿宋" w:cs="Times New Roman"/>
          <w:sz w:val="32"/>
          <w:szCs w:val="32"/>
          <w:lang w:val="en-US" w:eastAsia="zh-CN"/>
        </w:rPr>
        <w:t>60</w:t>
      </w:r>
      <w:r>
        <w:rPr>
          <w:rStyle w:val="17"/>
          <w:rFonts w:hint="default" w:ascii="仿宋" w:hAnsi="仿宋" w:eastAsia="仿宋" w:cs="Times New Roman"/>
          <w:sz w:val="32"/>
          <w:szCs w:val="32"/>
          <w:lang w:val="en-US" w:eastAsia="zh-CN"/>
        </w:rPr>
        <w:t>0</w:t>
      </w:r>
      <w:r>
        <w:rPr>
          <w:rStyle w:val="17"/>
          <w:rFonts w:hint="eastAsia" w:ascii="仿宋" w:hAnsi="仿宋" w:eastAsia="仿宋" w:cs="Times New Roman"/>
          <w:sz w:val="32"/>
          <w:szCs w:val="32"/>
          <w:lang w:eastAsia="zh-CN"/>
        </w:rPr>
        <w:t>平方米，</w:t>
      </w:r>
      <w:r>
        <w:rPr>
          <w:rStyle w:val="17"/>
          <w:rFonts w:hint="default" w:ascii="仿宋" w:hAnsi="仿宋" w:eastAsia="仿宋" w:cs="Times New Roman"/>
          <w:sz w:val="32"/>
          <w:szCs w:val="32"/>
        </w:rPr>
        <w:t>总</w:t>
      </w:r>
      <w:r>
        <w:rPr>
          <w:rStyle w:val="17"/>
          <w:rFonts w:hint="default" w:ascii="仿宋" w:hAnsi="仿宋" w:eastAsia="仿宋" w:cs="Times New Roman"/>
          <w:color w:val="auto"/>
          <w:sz w:val="32"/>
          <w:szCs w:val="32"/>
          <w:lang w:eastAsia="zh-CN"/>
        </w:rPr>
        <w:t>投资</w:t>
      </w:r>
      <w:r>
        <w:rPr>
          <w:rStyle w:val="17"/>
          <w:rFonts w:hint="default" w:ascii="仿宋" w:hAnsi="仿宋" w:eastAsia="仿宋" w:cs="Times New Roman"/>
          <w:color w:val="auto"/>
          <w:sz w:val="32"/>
          <w:szCs w:val="32"/>
          <w:lang w:val="en-US" w:eastAsia="zh-CN"/>
        </w:rPr>
        <w:t>500</w:t>
      </w:r>
      <w:r>
        <w:rPr>
          <w:rStyle w:val="17"/>
          <w:rFonts w:hint="eastAsia" w:ascii="仿宋" w:hAnsi="仿宋" w:eastAsia="仿宋" w:cs="Times New Roman"/>
          <w:color w:val="auto"/>
          <w:sz w:val="32"/>
          <w:szCs w:val="32"/>
          <w:lang w:val="en-US" w:eastAsia="zh-CN"/>
        </w:rPr>
        <w:t>万</w:t>
      </w:r>
      <w:r>
        <w:rPr>
          <w:rStyle w:val="17"/>
          <w:rFonts w:hint="default" w:ascii="仿宋" w:hAnsi="仿宋" w:eastAsia="仿宋" w:cs="Times New Roman"/>
          <w:color w:val="auto"/>
          <w:sz w:val="32"/>
          <w:szCs w:val="32"/>
          <w:lang w:eastAsia="zh-CN"/>
        </w:rPr>
        <w:t>元，</w:t>
      </w:r>
      <w:r>
        <w:rPr>
          <w:rStyle w:val="17"/>
          <w:rFonts w:hint="eastAsia" w:ascii="仿宋" w:hAnsi="仿宋" w:eastAsia="仿宋" w:cs="Times New Roman"/>
          <w:color w:val="auto"/>
          <w:sz w:val="32"/>
          <w:szCs w:val="32"/>
          <w:lang w:eastAsia="zh-CN"/>
        </w:rPr>
        <w:t>其中</w:t>
      </w:r>
      <w:r>
        <w:rPr>
          <w:rStyle w:val="17"/>
          <w:rFonts w:hint="default" w:ascii="仿宋" w:hAnsi="仿宋" w:eastAsia="仿宋" w:cs="Times New Roman"/>
          <w:color w:val="auto"/>
          <w:sz w:val="32"/>
          <w:szCs w:val="32"/>
          <w:lang w:eastAsia="zh-CN"/>
        </w:rPr>
        <w:t>环保投资</w:t>
      </w:r>
      <w:r>
        <w:rPr>
          <w:rStyle w:val="17"/>
          <w:rFonts w:hint="eastAsia" w:ascii="仿宋" w:hAnsi="仿宋" w:eastAsia="仿宋" w:cs="Times New Roman"/>
          <w:color w:val="auto"/>
          <w:sz w:val="32"/>
          <w:szCs w:val="32"/>
          <w:lang w:val="en-US" w:eastAsia="zh-CN"/>
        </w:rPr>
        <w:t>138.2万元</w:t>
      </w:r>
      <w:r>
        <w:rPr>
          <w:rStyle w:val="17"/>
          <w:rFonts w:hint="eastAsia" w:ascii="仿宋" w:hAnsi="仿宋" w:eastAsia="仿宋" w:cs="Times New Roman"/>
          <w:color w:val="auto"/>
          <w:sz w:val="32"/>
          <w:szCs w:val="32"/>
          <w:lang w:eastAsia="zh-CN"/>
        </w:rPr>
        <w:t>。主要建设内容及规模：</w:t>
      </w:r>
      <w:r>
        <w:rPr>
          <w:rStyle w:val="17"/>
          <w:rFonts w:hint="eastAsia" w:ascii="仿宋" w:hAnsi="仿宋" w:eastAsia="仿宋" w:cs="Times New Roman"/>
          <w:color w:val="auto"/>
          <w:sz w:val="32"/>
          <w:szCs w:val="32"/>
          <w:lang w:val="en-US" w:eastAsia="zh-CN"/>
        </w:rPr>
        <w:t>租赁全封闭厂房一座，厂房内进行分区（生产区、原料区、成品区），</w:t>
      </w:r>
      <w:r>
        <w:rPr>
          <w:rStyle w:val="17"/>
          <w:rFonts w:hint="eastAsia" w:ascii="仿宋" w:hAnsi="仿宋" w:eastAsia="仿宋"/>
          <w:sz w:val="32"/>
          <w:szCs w:val="32"/>
          <w:lang w:eastAsia="zh-CN"/>
        </w:rPr>
        <w:t>主体工程、辅助工程及储运工程均依托原有</w:t>
      </w:r>
      <w:r>
        <w:rPr>
          <w:rStyle w:val="17"/>
          <w:rFonts w:hint="eastAsia" w:ascii="仿宋" w:hAnsi="仿宋" w:eastAsia="仿宋"/>
          <w:sz w:val="32"/>
          <w:szCs w:val="32"/>
          <w:lang w:val="en-US" w:eastAsia="zh-CN"/>
        </w:rPr>
        <w:t>,在</w:t>
      </w:r>
      <w:r>
        <w:rPr>
          <w:rStyle w:val="17"/>
          <w:rFonts w:hint="eastAsia" w:ascii="仿宋" w:hAnsi="仿宋" w:eastAsia="仿宋" w:cs="Times New Roman"/>
          <w:color w:val="auto"/>
          <w:sz w:val="32"/>
          <w:szCs w:val="32"/>
          <w:lang w:val="en-US" w:eastAsia="zh-CN"/>
        </w:rPr>
        <w:t>生产区内新建1条15000吨/年玻化微珠生产线。</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ascii="仿宋" w:hAnsi="仿宋" w:eastAsia="仿宋" w:cs="仿宋"/>
          <w:color w:val="FF0000"/>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7"/>
          <w:rFonts w:ascii="仿宋" w:hAnsi="仿宋" w:eastAsia="仿宋"/>
          <w:sz w:val="32"/>
          <w:szCs w:val="32"/>
        </w:rPr>
        <w:t xml:space="preserve"> </w:t>
      </w:r>
      <w:r>
        <w:rPr>
          <w:rStyle w:val="17"/>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7"/>
          <w:rFonts w:hint="eastAsia" w:ascii="仿宋" w:hAnsi="仿宋" w:eastAsia="仿宋"/>
          <w:color w:val="auto"/>
          <w:sz w:val="32"/>
          <w:szCs w:val="32"/>
          <w:highlight w:val="none"/>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7"/>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7"/>
          <w:rFonts w:hint="eastAsia" w:ascii="仿宋" w:hAnsi="仿宋" w:eastAsia="仿宋"/>
          <w:color w:val="auto"/>
          <w:sz w:val="32"/>
          <w:szCs w:val="32"/>
          <w:highlight w:val="none"/>
        </w:rPr>
      </w:pPr>
      <w:r>
        <w:rPr>
          <w:rFonts w:hint="default" w:ascii="仿宋" w:hAnsi="仿宋" w:eastAsia="仿宋" w:cs="仿宋"/>
          <w:color w:val="auto"/>
          <w:kern w:val="0"/>
          <w:sz w:val="32"/>
          <w:szCs w:val="32"/>
          <w:highlight w:val="none"/>
          <w:lang w:val="en-US" w:eastAsia="zh-CN" w:bidi="ar-SA"/>
        </w:rPr>
        <w:t>运营期</w:t>
      </w:r>
      <w:r>
        <w:rPr>
          <w:rFonts w:hint="eastAsia" w:ascii="仿宋" w:hAnsi="仿宋" w:eastAsia="仿宋" w:cs="仿宋"/>
          <w:color w:val="auto"/>
          <w:kern w:val="0"/>
          <w:sz w:val="32"/>
          <w:szCs w:val="32"/>
          <w:highlight w:val="none"/>
          <w:lang w:val="en-US" w:eastAsia="zh-CN" w:bidi="ar-SA"/>
        </w:rPr>
        <w:t>物</w:t>
      </w:r>
      <w:r>
        <w:rPr>
          <w:rFonts w:hint="default" w:ascii="仿宋" w:hAnsi="仿宋" w:eastAsia="仿宋" w:cs="仿宋"/>
          <w:color w:val="auto"/>
          <w:kern w:val="0"/>
          <w:sz w:val="32"/>
          <w:szCs w:val="32"/>
          <w:highlight w:val="none"/>
          <w:lang w:val="en-US" w:eastAsia="zh-CN" w:bidi="ar-SA"/>
        </w:rPr>
        <w:t>料储存、装卸、输送、生产过程全封闭。</w:t>
      </w:r>
      <w:r>
        <w:rPr>
          <w:rFonts w:hint="eastAsia" w:ascii="仿宋" w:hAnsi="仿宋" w:eastAsia="仿宋" w:cs="仿宋"/>
          <w:color w:val="auto"/>
          <w:sz w:val="32"/>
          <w:szCs w:val="32"/>
          <w:lang w:eastAsia="zh-CN"/>
        </w:rPr>
        <w:t>预热炉废气</w:t>
      </w:r>
      <w:r>
        <w:rPr>
          <w:rFonts w:hint="eastAsia" w:ascii="仿宋" w:hAnsi="仿宋" w:eastAsia="仿宋" w:cs="仿宋"/>
          <w:color w:val="auto"/>
          <w:sz w:val="32"/>
          <w:szCs w:val="32"/>
          <w:lang w:val="en-US" w:eastAsia="zh-CN"/>
        </w:rPr>
        <w:t>经处理后由15米高排气筒排放,其中颗粒物执行《工业炉窑大气污染物排放标准》（GB9078-1996）表2中非金属加热炉二级标准，二氧化硫执行《工业炉窑大气污染物排放标准》（GB9078-1996）表4中燃煤炉窑二级标准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氮氧化物参照执行《大气污染物综合排放标准》（GB16297-1996）表2中二级标准。成品分离颗粒物经处理后由15米高排气筒排放,参照执行《大气污染物综合排放标准》（GB16297-1996）表2中的二级标准。</w:t>
      </w:r>
      <w:r>
        <w:rPr>
          <w:rStyle w:val="17"/>
          <w:rFonts w:hint="eastAsia" w:ascii="仿宋" w:hAnsi="仿宋" w:eastAsia="仿宋"/>
          <w:color w:val="auto"/>
          <w:sz w:val="32"/>
          <w:szCs w:val="32"/>
          <w:highlight w:val="none"/>
          <w:lang w:val="en-US" w:eastAsia="zh-CN"/>
        </w:rPr>
        <w:t>项目废气无组织排放执行《</w:t>
      </w:r>
      <w:r>
        <w:rPr>
          <w:rStyle w:val="17"/>
          <w:rFonts w:hint="eastAsia" w:ascii="仿宋" w:hAnsi="仿宋" w:eastAsia="仿宋"/>
          <w:color w:val="auto"/>
          <w:sz w:val="32"/>
          <w:szCs w:val="32"/>
          <w:highlight w:val="none"/>
        </w:rPr>
        <w:t>大气污染物综合排放标准》（GB16297-1996）</w:t>
      </w:r>
      <w:r>
        <w:rPr>
          <w:rFonts w:ascii="仿宋" w:hAnsi="仿宋" w:eastAsia="仿宋" w:cs="仿宋"/>
          <w:color w:val="auto"/>
          <w:sz w:val="32"/>
          <w:szCs w:val="32"/>
          <w:highlight w:val="none"/>
        </w:rPr>
        <w:t>表2</w:t>
      </w:r>
      <w:r>
        <w:rPr>
          <w:rFonts w:hint="eastAsia" w:ascii="仿宋" w:hAnsi="仿宋" w:eastAsia="仿宋" w:cs="仿宋"/>
          <w:color w:val="auto"/>
          <w:sz w:val="32"/>
          <w:szCs w:val="32"/>
          <w:highlight w:val="none"/>
        </w:rPr>
        <w:t>中</w:t>
      </w:r>
      <w:r>
        <w:rPr>
          <w:rStyle w:val="17"/>
          <w:rFonts w:hint="eastAsia" w:ascii="仿宋" w:hAnsi="仿宋" w:eastAsia="仿宋"/>
          <w:color w:val="auto"/>
          <w:sz w:val="32"/>
          <w:szCs w:val="32"/>
          <w:highlight w:val="none"/>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7"/>
          <w:rFonts w:hint="eastAsia" w:ascii="仿宋" w:hAnsi="仿宋" w:eastAsia="仿宋" w:cs="Times New Roman"/>
          <w:color w:val="auto"/>
          <w:sz w:val="32"/>
          <w:szCs w:val="32"/>
          <w:lang w:val="en-US" w:eastAsia="zh-CN"/>
        </w:rPr>
      </w:pPr>
      <w:r>
        <w:rPr>
          <w:rStyle w:val="17"/>
          <w:rFonts w:hint="default" w:ascii="仿宋" w:hAnsi="仿宋" w:eastAsia="仿宋" w:cs="Times New Roman"/>
          <w:color w:val="auto"/>
          <w:sz w:val="32"/>
          <w:szCs w:val="32"/>
          <w:lang w:val="en-US" w:eastAsia="zh-CN"/>
        </w:rPr>
        <w:t>运</w:t>
      </w:r>
      <w:r>
        <w:rPr>
          <w:rStyle w:val="17"/>
          <w:rFonts w:hint="eastAsia" w:ascii="仿宋" w:hAnsi="仿宋" w:eastAsia="仿宋" w:cs="Times New Roman"/>
          <w:color w:val="auto"/>
          <w:sz w:val="32"/>
          <w:szCs w:val="32"/>
          <w:lang w:val="en-US" w:eastAsia="zh-CN"/>
        </w:rPr>
        <w:t>营</w:t>
      </w:r>
      <w:r>
        <w:rPr>
          <w:rStyle w:val="17"/>
          <w:rFonts w:hint="default" w:ascii="仿宋" w:hAnsi="仿宋" w:eastAsia="仿宋" w:cs="Times New Roman"/>
          <w:color w:val="auto"/>
          <w:sz w:val="32"/>
          <w:szCs w:val="32"/>
          <w:lang w:val="en-US" w:eastAsia="zh-CN"/>
        </w:rPr>
        <w:t>期</w:t>
      </w:r>
      <w:r>
        <w:rPr>
          <w:rStyle w:val="17"/>
          <w:rFonts w:hint="eastAsia" w:ascii="仿宋" w:hAnsi="仿宋" w:eastAsia="仿宋" w:cs="Times New Roman"/>
          <w:color w:val="auto"/>
          <w:sz w:val="32"/>
          <w:szCs w:val="32"/>
          <w:lang w:val="en-US" w:eastAsia="zh-CN"/>
        </w:rPr>
        <w:t>不产生生产废水。</w:t>
      </w:r>
      <w:r>
        <w:rPr>
          <w:rStyle w:val="17"/>
          <w:rFonts w:hint="default" w:ascii="仿宋" w:hAnsi="仿宋" w:eastAsia="仿宋" w:cs="Times New Roman"/>
          <w:color w:val="auto"/>
          <w:sz w:val="32"/>
          <w:szCs w:val="32"/>
          <w:lang w:val="en-US" w:eastAsia="zh-CN"/>
        </w:rPr>
        <w:t>生活污水经厂区化粪池</w:t>
      </w:r>
      <w:r>
        <w:rPr>
          <w:rStyle w:val="17"/>
          <w:rFonts w:hint="eastAsia" w:ascii="仿宋" w:hAnsi="仿宋" w:eastAsia="仿宋" w:cs="Times New Roman"/>
          <w:color w:val="auto"/>
          <w:sz w:val="32"/>
          <w:szCs w:val="32"/>
          <w:lang w:val="en-US" w:eastAsia="zh-CN"/>
        </w:rPr>
        <w:t>沉淀</w:t>
      </w:r>
      <w:r>
        <w:rPr>
          <w:rStyle w:val="17"/>
          <w:rFonts w:hint="default" w:ascii="仿宋" w:hAnsi="仿宋" w:eastAsia="仿宋" w:cs="Times New Roman"/>
          <w:color w:val="auto"/>
          <w:sz w:val="32"/>
          <w:szCs w:val="32"/>
          <w:lang w:val="en-US" w:eastAsia="zh-CN"/>
        </w:rPr>
        <w:t>后</w:t>
      </w:r>
      <w:r>
        <w:rPr>
          <w:rStyle w:val="17"/>
          <w:rFonts w:hint="eastAsia" w:ascii="仿宋" w:hAnsi="仿宋" w:eastAsia="仿宋" w:cs="Times New Roman"/>
          <w:color w:val="auto"/>
          <w:sz w:val="32"/>
          <w:szCs w:val="32"/>
          <w:lang w:val="en-US" w:eastAsia="zh-CN"/>
        </w:rPr>
        <w:t>排入园区污水管网。</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pPr>
      <w:r>
        <w:rPr>
          <w:rStyle w:val="17"/>
          <w:rFonts w:hint="eastAsia" w:ascii="仿宋" w:hAnsi="仿宋" w:eastAsia="仿宋"/>
          <w:color w:val="auto"/>
          <w:sz w:val="32"/>
          <w:szCs w:val="32"/>
        </w:rPr>
        <w:t>运营期厂界噪声执行《工业企业厂界环境噪声排放</w:t>
      </w:r>
      <w:r>
        <w:rPr>
          <w:rStyle w:val="17"/>
          <w:rFonts w:hint="eastAsia" w:ascii="仿宋" w:hAnsi="仿宋" w:eastAsia="仿宋"/>
          <w:color w:val="auto"/>
          <w:sz w:val="32"/>
          <w:szCs w:val="32"/>
          <w:lang w:val="en-US" w:eastAsia="zh-CN"/>
        </w:rPr>
        <w:t>标</w:t>
      </w:r>
      <w:r>
        <w:rPr>
          <w:rStyle w:val="17"/>
          <w:rFonts w:hint="eastAsia" w:ascii="仿宋" w:hAnsi="仿宋" w:eastAsia="仿宋"/>
          <w:color w:val="auto"/>
          <w:sz w:val="32"/>
          <w:szCs w:val="32"/>
        </w:rPr>
        <w:t>准》（GB12348-2008）中</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类标准。</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rPr>
          <w:rStyle w:val="17"/>
          <w:rFonts w:hint="eastAsia" w:ascii="仿宋" w:hAnsi="仿宋" w:eastAsia="仿宋" w:cs="Times New Roman"/>
          <w:color w:val="auto"/>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妥善处置各类固体废弃物。</w:t>
      </w:r>
      <w:r>
        <w:rPr>
          <w:rStyle w:val="17"/>
          <w:rFonts w:hint="eastAsia" w:ascii="仿宋" w:hAnsi="仿宋" w:eastAsia="仿宋" w:cs="Times New Roman"/>
          <w:color w:val="auto"/>
          <w:sz w:val="32"/>
          <w:szCs w:val="32"/>
          <w:lang w:val="en-US" w:eastAsia="zh-CN" w:bidi="ar-SA"/>
        </w:rPr>
        <w:t>运营期产生的除尘灰收集后外售</w:t>
      </w:r>
      <w:r>
        <w:rPr>
          <w:rFonts w:hint="default" w:ascii="仿宋" w:hAnsi="仿宋" w:eastAsia="仿宋" w:cs="仿宋"/>
          <w:strike w:val="0"/>
          <w:dstrike w:val="0"/>
          <w:color w:val="auto"/>
          <w:kern w:val="0"/>
          <w:sz w:val="32"/>
          <w:szCs w:val="32"/>
          <w:lang w:val="en-US" w:eastAsia="zh-CN" w:bidi="ar-SA"/>
        </w:rPr>
        <w:t>综合利用</w:t>
      </w:r>
      <w:r>
        <w:rPr>
          <w:rStyle w:val="17"/>
          <w:rFonts w:hint="eastAsia" w:ascii="仿宋" w:hAnsi="仿宋" w:eastAsia="仿宋" w:cs="Times New Roman"/>
          <w:color w:val="auto"/>
          <w:sz w:val="32"/>
          <w:szCs w:val="32"/>
          <w:lang w:val="en-US" w:eastAsia="zh-CN" w:bidi="ar-SA"/>
        </w:rPr>
        <w:t>。建设单位须严格按照《一般工业固体废物贮存和填埋污染控制标准》（GB18599-2020）处置一般固废，不得乱弃。</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按照《排污口规范化整治技术要求》（环监〔1996〕470号）规范设置排污口。</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lang w:val="en-US" w:eastAsia="zh-CN"/>
        </w:rPr>
        <w:t>你单位应委托有相应资质的设计单位对建设项目重点环保设施进行设计，并在项目施工及运行过程中严格落实环保设施安全生产工作要求。</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项目建设必须严格执行环境保护“三同时”制度。项目竣工后，须按照规定程序实施竣工环境保护验收。</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eastAsia="仿宋"/>
          <w:color w:val="auto"/>
          <w:sz w:val="32"/>
          <w:szCs w:val="32"/>
        </w:rPr>
        <w:t>你</w:t>
      </w:r>
      <w:r>
        <w:rPr>
          <w:rStyle w:val="17"/>
          <w:rFonts w:hint="eastAsia" w:eastAsia="仿宋"/>
          <w:color w:val="auto"/>
          <w:sz w:val="32"/>
          <w:szCs w:val="32"/>
        </w:rPr>
        <w:t>单位</w:t>
      </w:r>
      <w:r>
        <w:rPr>
          <w:rStyle w:val="17"/>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7"/>
          <w:rFonts w:hint="eastAsia" w:eastAsia="仿宋"/>
          <w:color w:val="auto"/>
          <w:sz w:val="32"/>
          <w:szCs w:val="32"/>
        </w:rPr>
        <w:t>该项目的</w:t>
      </w:r>
      <w:r>
        <w:rPr>
          <w:rStyle w:val="17"/>
          <w:rFonts w:eastAsia="仿宋"/>
          <w:color w:val="auto"/>
          <w:sz w:val="32"/>
          <w:szCs w:val="32"/>
        </w:rPr>
        <w:t>事中事后监管</w:t>
      </w:r>
      <w:r>
        <w:rPr>
          <w:rFonts w:eastAsia="仿宋"/>
          <w:color w:val="auto"/>
          <w:sz w:val="32"/>
          <w:szCs w:val="32"/>
        </w:rPr>
        <w:t>。</w:t>
      </w:r>
      <w:r>
        <w:rPr>
          <w:rStyle w:val="17"/>
          <w:rFonts w:ascii="仿宋" w:hAnsi="仿宋" w:eastAsia="仿宋"/>
          <w:color w:val="auto"/>
          <w:sz w:val="32"/>
          <w:szCs w:val="32"/>
        </w:rPr>
        <w:t xml:space="preserve">                                                                                                 </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w:t>
      </w:r>
      <w:bookmarkStart w:id="0" w:name="_GoBack"/>
      <w:bookmarkEnd w:id="0"/>
      <w:r>
        <w:rPr>
          <w:rStyle w:val="17"/>
          <w:rFonts w:hint="eastAsia" w:ascii="仿宋" w:hAnsi="仿宋" w:eastAsia="仿宋"/>
          <w:color w:val="auto"/>
          <w:sz w:val="32"/>
          <w:szCs w:val="32"/>
        </w:rPr>
        <w:t>决定开工建设，其环评文件应重新审核。如果建设地点、规模、防治污染和防止生态破坏的措施等发生重大变化时，需重新报批环评文件。</w:t>
      </w:r>
    </w:p>
    <w:p>
      <w:pPr>
        <w:pStyle w:val="3"/>
        <w:spacing w:line="360" w:lineRule="auto"/>
        <w:ind w:firstLine="0"/>
        <w:rPr>
          <w:color w:val="auto"/>
        </w:rPr>
      </w:pPr>
    </w:p>
    <w:p>
      <w:pPr>
        <w:pStyle w:val="13"/>
        <w:rPr>
          <w:color w:val="auto"/>
        </w:rPr>
      </w:pPr>
    </w:p>
    <w:p/>
    <w:p>
      <w:pPr>
        <w:pStyle w:val="13"/>
      </w:pPr>
    </w:p>
    <w:p>
      <w:pPr>
        <w:spacing w:line="360" w:lineRule="auto"/>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3</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3</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3</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1E3D92"/>
    <w:rsid w:val="01210341"/>
    <w:rsid w:val="01AC556B"/>
    <w:rsid w:val="02546298"/>
    <w:rsid w:val="02DD4C33"/>
    <w:rsid w:val="02DD5B4F"/>
    <w:rsid w:val="02F3233D"/>
    <w:rsid w:val="0358144A"/>
    <w:rsid w:val="03A03DE5"/>
    <w:rsid w:val="03A05D81"/>
    <w:rsid w:val="03A96EC4"/>
    <w:rsid w:val="03C1757D"/>
    <w:rsid w:val="03F37592"/>
    <w:rsid w:val="03F963FB"/>
    <w:rsid w:val="04161698"/>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4D97"/>
    <w:rsid w:val="075F5B44"/>
    <w:rsid w:val="07E24DC5"/>
    <w:rsid w:val="084E135E"/>
    <w:rsid w:val="08660559"/>
    <w:rsid w:val="088554D8"/>
    <w:rsid w:val="08A1120A"/>
    <w:rsid w:val="08AD4A87"/>
    <w:rsid w:val="08B51389"/>
    <w:rsid w:val="08CE2C2B"/>
    <w:rsid w:val="08EA5D86"/>
    <w:rsid w:val="08FE4C90"/>
    <w:rsid w:val="090362EF"/>
    <w:rsid w:val="090866C9"/>
    <w:rsid w:val="097134F8"/>
    <w:rsid w:val="09812FC0"/>
    <w:rsid w:val="098F5074"/>
    <w:rsid w:val="099077F7"/>
    <w:rsid w:val="09B06929"/>
    <w:rsid w:val="0A3D33B0"/>
    <w:rsid w:val="0A5D0D80"/>
    <w:rsid w:val="0A667AEF"/>
    <w:rsid w:val="0A6D53BD"/>
    <w:rsid w:val="0A9A115F"/>
    <w:rsid w:val="0AA477AD"/>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A33FF"/>
    <w:rsid w:val="0EB72A51"/>
    <w:rsid w:val="0EC36AE6"/>
    <w:rsid w:val="0EF12AE6"/>
    <w:rsid w:val="0EF75580"/>
    <w:rsid w:val="0F1B51C5"/>
    <w:rsid w:val="0F7E2F3B"/>
    <w:rsid w:val="0F8B77A7"/>
    <w:rsid w:val="0FB279DE"/>
    <w:rsid w:val="0FD03B40"/>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072620"/>
    <w:rsid w:val="12EA255A"/>
    <w:rsid w:val="12F232D0"/>
    <w:rsid w:val="12F64B6E"/>
    <w:rsid w:val="13464D5E"/>
    <w:rsid w:val="1398649C"/>
    <w:rsid w:val="13991E92"/>
    <w:rsid w:val="139A0B1F"/>
    <w:rsid w:val="13C532EF"/>
    <w:rsid w:val="144C07C7"/>
    <w:rsid w:val="15415332"/>
    <w:rsid w:val="155A50AA"/>
    <w:rsid w:val="1562595D"/>
    <w:rsid w:val="15652C35"/>
    <w:rsid w:val="156D1455"/>
    <w:rsid w:val="15E91737"/>
    <w:rsid w:val="16015C16"/>
    <w:rsid w:val="16041455"/>
    <w:rsid w:val="1651030E"/>
    <w:rsid w:val="168C74C9"/>
    <w:rsid w:val="16AE2B1F"/>
    <w:rsid w:val="16FF6904"/>
    <w:rsid w:val="171F5F2F"/>
    <w:rsid w:val="1747459A"/>
    <w:rsid w:val="178F5508"/>
    <w:rsid w:val="17D90483"/>
    <w:rsid w:val="17DE3E23"/>
    <w:rsid w:val="17E15C23"/>
    <w:rsid w:val="181C5F12"/>
    <w:rsid w:val="18207E93"/>
    <w:rsid w:val="18A37FC9"/>
    <w:rsid w:val="18AE27A5"/>
    <w:rsid w:val="18CC5434"/>
    <w:rsid w:val="18E54146"/>
    <w:rsid w:val="19473B43"/>
    <w:rsid w:val="19AC1F9C"/>
    <w:rsid w:val="19EA6791"/>
    <w:rsid w:val="19F825D9"/>
    <w:rsid w:val="1A437161"/>
    <w:rsid w:val="1A6C6995"/>
    <w:rsid w:val="1A805ECF"/>
    <w:rsid w:val="1AFA27E4"/>
    <w:rsid w:val="1B8126FA"/>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A33B45"/>
    <w:rsid w:val="1DD85EE2"/>
    <w:rsid w:val="1E322AFA"/>
    <w:rsid w:val="1E39255D"/>
    <w:rsid w:val="1E565798"/>
    <w:rsid w:val="1E5B4E2F"/>
    <w:rsid w:val="1EB145A4"/>
    <w:rsid w:val="1EB26A2F"/>
    <w:rsid w:val="1ECA7508"/>
    <w:rsid w:val="1F197ECC"/>
    <w:rsid w:val="1F9A03FC"/>
    <w:rsid w:val="1F9F4FD0"/>
    <w:rsid w:val="1FB13B43"/>
    <w:rsid w:val="1FFD3A90"/>
    <w:rsid w:val="202A5E57"/>
    <w:rsid w:val="203E5C2F"/>
    <w:rsid w:val="20723F75"/>
    <w:rsid w:val="208B0C0A"/>
    <w:rsid w:val="209F2E8C"/>
    <w:rsid w:val="20C94FCD"/>
    <w:rsid w:val="20CF0133"/>
    <w:rsid w:val="21402EA9"/>
    <w:rsid w:val="21500F9E"/>
    <w:rsid w:val="217D77E0"/>
    <w:rsid w:val="21957C48"/>
    <w:rsid w:val="21B53E47"/>
    <w:rsid w:val="21EF70BE"/>
    <w:rsid w:val="220E66BC"/>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2D044F"/>
    <w:rsid w:val="267000E4"/>
    <w:rsid w:val="269E1BDF"/>
    <w:rsid w:val="26C86AE1"/>
    <w:rsid w:val="26DB7EAB"/>
    <w:rsid w:val="27063174"/>
    <w:rsid w:val="2745621A"/>
    <w:rsid w:val="274B306C"/>
    <w:rsid w:val="27856069"/>
    <w:rsid w:val="27FC632B"/>
    <w:rsid w:val="28150F91"/>
    <w:rsid w:val="28667C49"/>
    <w:rsid w:val="288E0726"/>
    <w:rsid w:val="289A0EE5"/>
    <w:rsid w:val="28A2177B"/>
    <w:rsid w:val="28DA25CC"/>
    <w:rsid w:val="2956242B"/>
    <w:rsid w:val="29625978"/>
    <w:rsid w:val="29BE7B24"/>
    <w:rsid w:val="29EC1002"/>
    <w:rsid w:val="29FF2103"/>
    <w:rsid w:val="2A173A82"/>
    <w:rsid w:val="2A27019D"/>
    <w:rsid w:val="2A4A7282"/>
    <w:rsid w:val="2A527001"/>
    <w:rsid w:val="2A77431C"/>
    <w:rsid w:val="2AB8571B"/>
    <w:rsid w:val="2ABD6442"/>
    <w:rsid w:val="2ACD268E"/>
    <w:rsid w:val="2AF53CB3"/>
    <w:rsid w:val="2B496FAB"/>
    <w:rsid w:val="2B5F7DC4"/>
    <w:rsid w:val="2B752707"/>
    <w:rsid w:val="2BD26C46"/>
    <w:rsid w:val="2BDE5B5E"/>
    <w:rsid w:val="2C3F708C"/>
    <w:rsid w:val="2C7A3CC3"/>
    <w:rsid w:val="2C871D94"/>
    <w:rsid w:val="2CAE4D3A"/>
    <w:rsid w:val="2CE7407F"/>
    <w:rsid w:val="2CFB6C68"/>
    <w:rsid w:val="2D5C4C74"/>
    <w:rsid w:val="2D5F771D"/>
    <w:rsid w:val="2D8A292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5321BF"/>
    <w:rsid w:val="3166710B"/>
    <w:rsid w:val="31B97443"/>
    <w:rsid w:val="31E74361"/>
    <w:rsid w:val="321E77E6"/>
    <w:rsid w:val="322F75E5"/>
    <w:rsid w:val="3239406E"/>
    <w:rsid w:val="3245462B"/>
    <w:rsid w:val="32862408"/>
    <w:rsid w:val="32A41A78"/>
    <w:rsid w:val="33086177"/>
    <w:rsid w:val="332A6495"/>
    <w:rsid w:val="333016EF"/>
    <w:rsid w:val="33314FCC"/>
    <w:rsid w:val="334F543C"/>
    <w:rsid w:val="336D70A5"/>
    <w:rsid w:val="33A76983"/>
    <w:rsid w:val="33CD0AF4"/>
    <w:rsid w:val="343216BF"/>
    <w:rsid w:val="343D6FC0"/>
    <w:rsid w:val="34525876"/>
    <w:rsid w:val="346C54C4"/>
    <w:rsid w:val="352944D8"/>
    <w:rsid w:val="3587701E"/>
    <w:rsid w:val="361479B3"/>
    <w:rsid w:val="362A341F"/>
    <w:rsid w:val="36CB51E2"/>
    <w:rsid w:val="36D33EE3"/>
    <w:rsid w:val="37075CEA"/>
    <w:rsid w:val="371F6C8E"/>
    <w:rsid w:val="372344BA"/>
    <w:rsid w:val="37334EA2"/>
    <w:rsid w:val="375C4DD9"/>
    <w:rsid w:val="375D3876"/>
    <w:rsid w:val="37647A49"/>
    <w:rsid w:val="37663248"/>
    <w:rsid w:val="37966A72"/>
    <w:rsid w:val="37E5426D"/>
    <w:rsid w:val="37FF7133"/>
    <w:rsid w:val="38114125"/>
    <w:rsid w:val="38176CB5"/>
    <w:rsid w:val="38252AC8"/>
    <w:rsid w:val="38855EC9"/>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BE22A84"/>
    <w:rsid w:val="3C201861"/>
    <w:rsid w:val="3C351081"/>
    <w:rsid w:val="3C4F7E8A"/>
    <w:rsid w:val="3C545991"/>
    <w:rsid w:val="3C795E81"/>
    <w:rsid w:val="3C9C06C9"/>
    <w:rsid w:val="3CF212C3"/>
    <w:rsid w:val="3D4E0D02"/>
    <w:rsid w:val="3D615C4A"/>
    <w:rsid w:val="3D9D29AC"/>
    <w:rsid w:val="3DD06792"/>
    <w:rsid w:val="3DF17B5D"/>
    <w:rsid w:val="3E0B0C1F"/>
    <w:rsid w:val="3E52684D"/>
    <w:rsid w:val="3E6216DB"/>
    <w:rsid w:val="3E6D2368"/>
    <w:rsid w:val="3E8C50F6"/>
    <w:rsid w:val="3E9E6EFC"/>
    <w:rsid w:val="3EA147B7"/>
    <w:rsid w:val="3EAA1A98"/>
    <w:rsid w:val="3EC314F9"/>
    <w:rsid w:val="3ED64314"/>
    <w:rsid w:val="3EDA3818"/>
    <w:rsid w:val="3EEF2E69"/>
    <w:rsid w:val="3EFB5137"/>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686388"/>
    <w:rsid w:val="41C31E09"/>
    <w:rsid w:val="41D47B54"/>
    <w:rsid w:val="42096DA4"/>
    <w:rsid w:val="42427E61"/>
    <w:rsid w:val="42571ED3"/>
    <w:rsid w:val="42894808"/>
    <w:rsid w:val="42A12AD7"/>
    <w:rsid w:val="42A27245"/>
    <w:rsid w:val="42B31FAB"/>
    <w:rsid w:val="42C15BDB"/>
    <w:rsid w:val="431B4412"/>
    <w:rsid w:val="4331043E"/>
    <w:rsid w:val="4331172A"/>
    <w:rsid w:val="433E53DA"/>
    <w:rsid w:val="435B399F"/>
    <w:rsid w:val="438A6A89"/>
    <w:rsid w:val="4392593E"/>
    <w:rsid w:val="439E58A0"/>
    <w:rsid w:val="43B31C0B"/>
    <w:rsid w:val="43DA60A1"/>
    <w:rsid w:val="43E35A87"/>
    <w:rsid w:val="43EC55F4"/>
    <w:rsid w:val="4477148F"/>
    <w:rsid w:val="44947B97"/>
    <w:rsid w:val="44A75A3C"/>
    <w:rsid w:val="44B519AF"/>
    <w:rsid w:val="44F07757"/>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835CCA"/>
    <w:rsid w:val="479235C6"/>
    <w:rsid w:val="481E12C4"/>
    <w:rsid w:val="482F22FC"/>
    <w:rsid w:val="483A153F"/>
    <w:rsid w:val="48714DBB"/>
    <w:rsid w:val="488C6E00"/>
    <w:rsid w:val="48BC2687"/>
    <w:rsid w:val="48F549A5"/>
    <w:rsid w:val="49540677"/>
    <w:rsid w:val="49926C6C"/>
    <w:rsid w:val="49AA4FB0"/>
    <w:rsid w:val="49DB78B5"/>
    <w:rsid w:val="49E30CA1"/>
    <w:rsid w:val="49E97A04"/>
    <w:rsid w:val="49EA569C"/>
    <w:rsid w:val="4A494A22"/>
    <w:rsid w:val="4A733A4B"/>
    <w:rsid w:val="4A911B79"/>
    <w:rsid w:val="4ADF223E"/>
    <w:rsid w:val="4AF07DCC"/>
    <w:rsid w:val="4B620F05"/>
    <w:rsid w:val="4BA42C32"/>
    <w:rsid w:val="4BAD0F90"/>
    <w:rsid w:val="4C2274BE"/>
    <w:rsid w:val="4CC36B68"/>
    <w:rsid w:val="4CD95DD7"/>
    <w:rsid w:val="4D377F90"/>
    <w:rsid w:val="4D743394"/>
    <w:rsid w:val="4D7C0517"/>
    <w:rsid w:val="4DD86D52"/>
    <w:rsid w:val="4DDE7B5E"/>
    <w:rsid w:val="4E062159"/>
    <w:rsid w:val="4E543FF1"/>
    <w:rsid w:val="4E9407BC"/>
    <w:rsid w:val="4EC56144"/>
    <w:rsid w:val="4F044A24"/>
    <w:rsid w:val="4F0B6B33"/>
    <w:rsid w:val="4F2B1F6E"/>
    <w:rsid w:val="4F4437F3"/>
    <w:rsid w:val="4F824AB9"/>
    <w:rsid w:val="4F8B1BBF"/>
    <w:rsid w:val="4F94752D"/>
    <w:rsid w:val="4F9668DE"/>
    <w:rsid w:val="4FD91C66"/>
    <w:rsid w:val="4FDF1ADA"/>
    <w:rsid w:val="4FE651D4"/>
    <w:rsid w:val="501660DD"/>
    <w:rsid w:val="505F24B0"/>
    <w:rsid w:val="50681DDC"/>
    <w:rsid w:val="507026E4"/>
    <w:rsid w:val="50720FD1"/>
    <w:rsid w:val="50C61171"/>
    <w:rsid w:val="51167CDE"/>
    <w:rsid w:val="51324DA9"/>
    <w:rsid w:val="518E1BCB"/>
    <w:rsid w:val="51AD2147"/>
    <w:rsid w:val="51CE1891"/>
    <w:rsid w:val="51D501ED"/>
    <w:rsid w:val="522D7F16"/>
    <w:rsid w:val="523952D8"/>
    <w:rsid w:val="523B2FBD"/>
    <w:rsid w:val="52400F9E"/>
    <w:rsid w:val="52473BB8"/>
    <w:rsid w:val="5288313B"/>
    <w:rsid w:val="52D27DE3"/>
    <w:rsid w:val="52F33045"/>
    <w:rsid w:val="531F408E"/>
    <w:rsid w:val="53406525"/>
    <w:rsid w:val="534B5C0F"/>
    <w:rsid w:val="53B316E5"/>
    <w:rsid w:val="53E44017"/>
    <w:rsid w:val="5432323D"/>
    <w:rsid w:val="54331B24"/>
    <w:rsid w:val="54501D06"/>
    <w:rsid w:val="54583460"/>
    <w:rsid w:val="54686A39"/>
    <w:rsid w:val="54E641C3"/>
    <w:rsid w:val="54EC6DF6"/>
    <w:rsid w:val="54F16F78"/>
    <w:rsid w:val="55215714"/>
    <w:rsid w:val="554D7806"/>
    <w:rsid w:val="55876BE5"/>
    <w:rsid w:val="55A94050"/>
    <w:rsid w:val="55CA36B6"/>
    <w:rsid w:val="567F5F3C"/>
    <w:rsid w:val="56C1236A"/>
    <w:rsid w:val="56D32535"/>
    <w:rsid w:val="56DB6AC7"/>
    <w:rsid w:val="56DF16DC"/>
    <w:rsid w:val="57184CF1"/>
    <w:rsid w:val="57780B5F"/>
    <w:rsid w:val="57B96494"/>
    <w:rsid w:val="57DB2096"/>
    <w:rsid w:val="57DD76E9"/>
    <w:rsid w:val="57FC658A"/>
    <w:rsid w:val="57FE5FE5"/>
    <w:rsid w:val="58443253"/>
    <w:rsid w:val="586A1F97"/>
    <w:rsid w:val="58782EFD"/>
    <w:rsid w:val="589C6ECF"/>
    <w:rsid w:val="59597413"/>
    <w:rsid w:val="59BA4CD4"/>
    <w:rsid w:val="59EE5797"/>
    <w:rsid w:val="5AC272A3"/>
    <w:rsid w:val="5B307B0A"/>
    <w:rsid w:val="5B557E8F"/>
    <w:rsid w:val="5B57504B"/>
    <w:rsid w:val="5BB1110B"/>
    <w:rsid w:val="5C2B7BE1"/>
    <w:rsid w:val="5C621337"/>
    <w:rsid w:val="5C7F01BD"/>
    <w:rsid w:val="5D6C33D5"/>
    <w:rsid w:val="5DA25547"/>
    <w:rsid w:val="5DC5227C"/>
    <w:rsid w:val="5DD32B36"/>
    <w:rsid w:val="5DEC6C8E"/>
    <w:rsid w:val="5DF951D1"/>
    <w:rsid w:val="5DFA4819"/>
    <w:rsid w:val="5EFB79A1"/>
    <w:rsid w:val="5F047298"/>
    <w:rsid w:val="5F2A616C"/>
    <w:rsid w:val="5F3C052E"/>
    <w:rsid w:val="5F6C71D0"/>
    <w:rsid w:val="5F785148"/>
    <w:rsid w:val="5FA8049F"/>
    <w:rsid w:val="5FC04A97"/>
    <w:rsid w:val="5FE94B7D"/>
    <w:rsid w:val="5FF2718E"/>
    <w:rsid w:val="5FFF4EA8"/>
    <w:rsid w:val="602B2726"/>
    <w:rsid w:val="60417BB4"/>
    <w:rsid w:val="60B2650C"/>
    <w:rsid w:val="611D40E2"/>
    <w:rsid w:val="614462DE"/>
    <w:rsid w:val="61B516C4"/>
    <w:rsid w:val="61EF4764"/>
    <w:rsid w:val="625904A9"/>
    <w:rsid w:val="62A64AED"/>
    <w:rsid w:val="62BE2B8C"/>
    <w:rsid w:val="632D32DF"/>
    <w:rsid w:val="636B778B"/>
    <w:rsid w:val="63713FBD"/>
    <w:rsid w:val="63950102"/>
    <w:rsid w:val="641D5FD9"/>
    <w:rsid w:val="64566E62"/>
    <w:rsid w:val="647677D7"/>
    <w:rsid w:val="64770209"/>
    <w:rsid w:val="65042865"/>
    <w:rsid w:val="651360F5"/>
    <w:rsid w:val="651B024D"/>
    <w:rsid w:val="6554084E"/>
    <w:rsid w:val="65571260"/>
    <w:rsid w:val="65620EA6"/>
    <w:rsid w:val="65AB3C61"/>
    <w:rsid w:val="65B25CB4"/>
    <w:rsid w:val="65BD63F3"/>
    <w:rsid w:val="65CE2481"/>
    <w:rsid w:val="65FB616C"/>
    <w:rsid w:val="661125F2"/>
    <w:rsid w:val="6611695D"/>
    <w:rsid w:val="66194DC3"/>
    <w:rsid w:val="66267FAE"/>
    <w:rsid w:val="668D09A2"/>
    <w:rsid w:val="669764AC"/>
    <w:rsid w:val="66D55C0F"/>
    <w:rsid w:val="672A40B7"/>
    <w:rsid w:val="67306A1E"/>
    <w:rsid w:val="6746660F"/>
    <w:rsid w:val="6749451C"/>
    <w:rsid w:val="674A4227"/>
    <w:rsid w:val="679300D6"/>
    <w:rsid w:val="684478D1"/>
    <w:rsid w:val="686109FC"/>
    <w:rsid w:val="686801CC"/>
    <w:rsid w:val="688C32E6"/>
    <w:rsid w:val="68D84C26"/>
    <w:rsid w:val="69012A9A"/>
    <w:rsid w:val="694D466A"/>
    <w:rsid w:val="695143FB"/>
    <w:rsid w:val="698A3A01"/>
    <w:rsid w:val="698D0D6B"/>
    <w:rsid w:val="69E6116E"/>
    <w:rsid w:val="6A051C1C"/>
    <w:rsid w:val="6A461941"/>
    <w:rsid w:val="6A554E4C"/>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DD864C0"/>
    <w:rsid w:val="6E1844B8"/>
    <w:rsid w:val="6E541954"/>
    <w:rsid w:val="6E6D5C0E"/>
    <w:rsid w:val="6E7C3113"/>
    <w:rsid w:val="6EA67FA2"/>
    <w:rsid w:val="6F957251"/>
    <w:rsid w:val="70921C55"/>
    <w:rsid w:val="71283ECD"/>
    <w:rsid w:val="713D11CB"/>
    <w:rsid w:val="7147364E"/>
    <w:rsid w:val="71502437"/>
    <w:rsid w:val="71E362C3"/>
    <w:rsid w:val="7219039A"/>
    <w:rsid w:val="72ED59AC"/>
    <w:rsid w:val="731775B6"/>
    <w:rsid w:val="73BA11B9"/>
    <w:rsid w:val="73D60472"/>
    <w:rsid w:val="73E01C2A"/>
    <w:rsid w:val="73F53D48"/>
    <w:rsid w:val="7496752E"/>
    <w:rsid w:val="74C90E72"/>
    <w:rsid w:val="755B54D7"/>
    <w:rsid w:val="75765328"/>
    <w:rsid w:val="75A177EE"/>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E6C4A"/>
    <w:rsid w:val="789D2BB8"/>
    <w:rsid w:val="78DB6555"/>
    <w:rsid w:val="78FD20DF"/>
    <w:rsid w:val="79200D1B"/>
    <w:rsid w:val="795654B4"/>
    <w:rsid w:val="79E24199"/>
    <w:rsid w:val="7A281851"/>
    <w:rsid w:val="7A550F13"/>
    <w:rsid w:val="7A773BB5"/>
    <w:rsid w:val="7AD20151"/>
    <w:rsid w:val="7B345817"/>
    <w:rsid w:val="7B5D3DBD"/>
    <w:rsid w:val="7B62786A"/>
    <w:rsid w:val="7BAD7F79"/>
    <w:rsid w:val="7BE82E7A"/>
    <w:rsid w:val="7C047330"/>
    <w:rsid w:val="7C1A0DC0"/>
    <w:rsid w:val="7C614B37"/>
    <w:rsid w:val="7CE039CF"/>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styleId="3">
    <w:name w:val="Normal Indent"/>
    <w:basedOn w:val="1"/>
    <w:next w:val="4"/>
    <w:qFormat/>
    <w:uiPriority w:val="0"/>
    <w:pPr>
      <w:ind w:firstLine="420"/>
    </w:pPr>
  </w:style>
  <w:style w:type="paragraph" w:customStyle="1" w:styleId="4">
    <w:name w:val="正文首行缩进 21"/>
    <w:basedOn w:val="5"/>
    <w:next w:val="1"/>
    <w:qFormat/>
    <w:uiPriority w:val="0"/>
    <w:pPr>
      <w:spacing w:afterLines="0"/>
      <w:ind w:left="420" w:firstLine="420" w:firstLineChars="200"/>
    </w:pPr>
    <w:rPr>
      <w:lang w:eastAsia="zh-CN" w:bidi="ar-SA"/>
    </w:rPr>
  </w:style>
  <w:style w:type="paragraph" w:styleId="5">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20"/>
    <w:qFormat/>
    <w:uiPriority w:val="99"/>
    <w:pPr>
      <w:spacing w:after="120"/>
    </w:pPr>
    <w:rPr>
      <w:rFonts w:ascii="Calibri" w:hAnsi="Calibri"/>
      <w:szCs w:val="22"/>
    </w:rPr>
  </w:style>
  <w:style w:type="paragraph" w:styleId="8">
    <w:name w:val="Date"/>
    <w:basedOn w:val="1"/>
    <w:next w:val="1"/>
    <w:link w:val="21"/>
    <w:qFormat/>
    <w:uiPriority w:val="99"/>
    <w:pPr>
      <w:ind w:left="100" w:leftChars="2500"/>
    </w:pPr>
  </w:style>
  <w:style w:type="paragraph" w:styleId="9">
    <w:name w:val="footer"/>
    <w:basedOn w:val="1"/>
    <w:link w:val="22"/>
    <w:qFormat/>
    <w:uiPriority w:val="99"/>
    <w:pPr>
      <w:tabs>
        <w:tab w:val="center" w:pos="4153"/>
        <w:tab w:val="right" w:pos="8306"/>
      </w:tabs>
      <w:snapToGrid w:val="0"/>
      <w:jc w:val="left"/>
    </w:pPr>
    <w:rPr>
      <w:sz w:val="18"/>
    </w:rPr>
  </w:style>
  <w:style w:type="paragraph" w:styleId="10">
    <w:name w:val="header"/>
    <w:basedOn w:val="1"/>
    <w:link w:val="23"/>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7"/>
    <w:next w:val="1"/>
    <w:qFormat/>
    <w:uiPriority w:val="0"/>
    <w:pPr>
      <w:spacing w:after="120"/>
      <w:ind w:firstLine="420" w:firstLineChars="100"/>
    </w:pPr>
  </w:style>
  <w:style w:type="paragraph" w:styleId="13">
    <w:name w:val="Body Text First Indent 2"/>
    <w:basedOn w:val="5"/>
    <w:next w:val="1"/>
    <w:qFormat/>
    <w:uiPriority w:val="99"/>
    <w:pPr>
      <w:spacing w:line="240" w:lineRule="auto"/>
      <w:ind w:firstLine="42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0">
    <w:name w:val="正文文本 Char"/>
    <w:basedOn w:val="15"/>
    <w:link w:val="7"/>
    <w:semiHidden/>
    <w:qFormat/>
    <w:uiPriority w:val="99"/>
    <w:rPr>
      <w:color w:val="000000"/>
      <w:kern w:val="0"/>
      <w:szCs w:val="20"/>
    </w:rPr>
  </w:style>
  <w:style w:type="character" w:customStyle="1" w:styleId="21">
    <w:name w:val="日期 Char"/>
    <w:basedOn w:val="15"/>
    <w:link w:val="8"/>
    <w:semiHidden/>
    <w:qFormat/>
    <w:uiPriority w:val="99"/>
    <w:rPr>
      <w:color w:val="000000"/>
      <w:kern w:val="0"/>
      <w:szCs w:val="20"/>
    </w:rPr>
  </w:style>
  <w:style w:type="character" w:customStyle="1" w:styleId="22">
    <w:name w:val="页脚 Char"/>
    <w:basedOn w:val="17"/>
    <w:link w:val="9"/>
    <w:qFormat/>
    <w:locked/>
    <w:uiPriority w:val="99"/>
    <w:rPr>
      <w:rFonts w:cs="Times New Roman"/>
      <w:color w:val="000000"/>
      <w:sz w:val="18"/>
    </w:rPr>
  </w:style>
  <w:style w:type="character" w:customStyle="1" w:styleId="23">
    <w:name w:val="页眉 Char"/>
    <w:basedOn w:val="17"/>
    <w:link w:val="10"/>
    <w:qFormat/>
    <w:locked/>
    <w:uiPriority w:val="99"/>
    <w:rPr>
      <w:rFonts w:cs="Times New Roman"/>
      <w:color w:val="000000"/>
      <w:sz w:val="18"/>
      <w:szCs w:val="18"/>
    </w:rPr>
  </w:style>
  <w:style w:type="paragraph" w:customStyle="1" w:styleId="24">
    <w:name w:val="BodyText"/>
    <w:basedOn w:val="1"/>
    <w:qFormat/>
    <w:uiPriority w:val="99"/>
    <w:pPr>
      <w:spacing w:after="120"/>
    </w:pPr>
    <w:rPr>
      <w:rFonts w:ascii="Calibri" w:hAnsi="Calibri"/>
      <w:szCs w:val="22"/>
    </w:rPr>
  </w:style>
  <w:style w:type="table" w:customStyle="1" w:styleId="25">
    <w:name w:val="TableNormal"/>
    <w:semiHidden/>
    <w:qFormat/>
    <w:uiPriority w:val="99"/>
    <w:tblPr>
      <w:tblCellMar>
        <w:top w:w="0" w:type="dxa"/>
        <w:left w:w="0" w:type="dxa"/>
        <w:bottom w:w="0" w:type="dxa"/>
        <w:right w:w="0" w:type="dxa"/>
      </w:tblCellMar>
    </w:tblPr>
  </w:style>
  <w:style w:type="character" w:customStyle="1" w:styleId="26">
    <w:name w:val="UserStyle_0"/>
    <w:basedOn w:val="17"/>
    <w:qFormat/>
    <w:uiPriority w:val="99"/>
    <w:rPr>
      <w:rFonts w:ascii="Times New Roman" w:eastAsia="宋体" w:cs="Times New Roman"/>
      <w:color w:val="0000FF"/>
      <w:sz w:val="21"/>
      <w:u w:val="single"/>
      <w:lang w:val="en-US" w:eastAsia="zh-CN"/>
    </w:rPr>
  </w:style>
  <w:style w:type="character" w:customStyle="1" w:styleId="27">
    <w:name w:val="AnnotationReference"/>
    <w:qFormat/>
    <w:uiPriority w:val="99"/>
    <w:rPr>
      <w:sz w:val="21"/>
    </w:rPr>
  </w:style>
  <w:style w:type="character" w:customStyle="1" w:styleId="28">
    <w:name w:val="UserStyle_2"/>
    <w:basedOn w:val="17"/>
    <w:qFormat/>
    <w:uiPriority w:val="99"/>
    <w:rPr>
      <w:rFonts w:ascii="Times New Roman" w:eastAsia="宋体" w:cs="Times New Roman"/>
      <w:color w:val="0000FF"/>
      <w:sz w:val="21"/>
      <w:u w:val="single"/>
      <w:lang w:val="en-US" w:eastAsia="zh-CN"/>
    </w:rPr>
  </w:style>
  <w:style w:type="character" w:customStyle="1" w:styleId="29">
    <w:name w:val="UserStyle_3"/>
    <w:semiHidden/>
    <w:qFormat/>
    <w:uiPriority w:val="99"/>
    <w:rPr>
      <w:rFonts w:ascii="Times New Roman" w:hAnsi="Times New Roman" w:eastAsia="宋体"/>
      <w:kern w:val="2"/>
      <w:sz w:val="21"/>
      <w:lang w:val="en-US" w:eastAsia="zh-CN"/>
    </w:rPr>
  </w:style>
  <w:style w:type="paragraph" w:customStyle="1" w:styleId="30">
    <w:name w:val="UserStyle_5"/>
    <w:basedOn w:val="1"/>
    <w:next w:val="31"/>
    <w:qFormat/>
    <w:uiPriority w:val="99"/>
    <w:pPr>
      <w:spacing w:before="566" w:after="544" w:line="566" w:lineRule="atLeast"/>
      <w:jc w:val="center"/>
    </w:pPr>
    <w:rPr>
      <w:rFonts w:ascii="Arial" w:eastAsia="黑体"/>
      <w:sz w:val="54"/>
    </w:rPr>
  </w:style>
  <w:style w:type="paragraph" w:customStyle="1" w:styleId="31">
    <w:name w:val="UserStyle_6"/>
    <w:basedOn w:val="1"/>
    <w:next w:val="32"/>
    <w:qFormat/>
    <w:uiPriority w:val="99"/>
    <w:pPr>
      <w:spacing w:before="187" w:after="175" w:line="374" w:lineRule="atLeast"/>
      <w:jc w:val="center"/>
    </w:pPr>
    <w:rPr>
      <w:sz w:val="36"/>
    </w:rPr>
  </w:style>
  <w:style w:type="paragraph" w:customStyle="1" w:styleId="32">
    <w:name w:val="UserStyle_16"/>
    <w:basedOn w:val="1"/>
    <w:next w:val="33"/>
    <w:qFormat/>
    <w:uiPriority w:val="99"/>
    <w:pPr>
      <w:spacing w:before="158" w:after="153" w:line="323" w:lineRule="atLeast"/>
      <w:jc w:val="center"/>
    </w:pPr>
    <w:rPr>
      <w:rFonts w:ascii="Arial" w:eastAsia="黑体"/>
      <w:sz w:val="31"/>
    </w:rPr>
  </w:style>
  <w:style w:type="paragraph" w:customStyle="1" w:styleId="33">
    <w:name w:val="UserStyle_10"/>
    <w:basedOn w:val="1"/>
    <w:next w:val="34"/>
    <w:qFormat/>
    <w:uiPriority w:val="99"/>
    <w:pPr>
      <w:spacing w:line="289" w:lineRule="atLeast"/>
      <w:jc w:val="center"/>
    </w:pPr>
    <w:rPr>
      <w:sz w:val="28"/>
    </w:rPr>
  </w:style>
  <w:style w:type="paragraph" w:customStyle="1" w:styleId="34">
    <w:name w:val="UserStyle_11"/>
    <w:basedOn w:val="1"/>
    <w:next w:val="1"/>
    <w:qFormat/>
    <w:uiPriority w:val="99"/>
    <w:pPr>
      <w:spacing w:before="175" w:after="102" w:line="351" w:lineRule="atLeast"/>
    </w:pPr>
    <w:rPr>
      <w:rFonts w:eastAsia="黑体"/>
    </w:rPr>
  </w:style>
  <w:style w:type="paragraph" w:customStyle="1" w:styleId="35">
    <w:name w:val="UserStyle_7"/>
    <w:basedOn w:val="1"/>
    <w:next w:val="1"/>
    <w:qFormat/>
    <w:uiPriority w:val="99"/>
    <w:pPr>
      <w:tabs>
        <w:tab w:val="left" w:leader="dot" w:pos="8503"/>
      </w:tabs>
      <w:spacing w:line="317" w:lineRule="atLeast"/>
      <w:ind w:firstLine="629"/>
    </w:pPr>
  </w:style>
  <w:style w:type="paragraph" w:customStyle="1" w:styleId="36">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7">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8">
    <w:name w:val="UserStyle_9"/>
    <w:basedOn w:val="1"/>
    <w:next w:val="1"/>
    <w:qFormat/>
    <w:uiPriority w:val="99"/>
    <w:pPr>
      <w:tabs>
        <w:tab w:val="left" w:leader="dot" w:pos="8503"/>
      </w:tabs>
      <w:spacing w:line="317" w:lineRule="atLeast"/>
      <w:ind w:firstLine="419"/>
    </w:pPr>
  </w:style>
  <w:style w:type="paragraph" w:customStyle="1" w:styleId="39">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0">
    <w:name w:val="UserStyle_13"/>
    <w:basedOn w:val="1"/>
    <w:qFormat/>
    <w:uiPriority w:val="99"/>
    <w:pPr>
      <w:spacing w:line="240" w:lineRule="auto"/>
      <w:textAlignment w:val="auto"/>
    </w:pPr>
    <w:rPr>
      <w:sz w:val="32"/>
      <w:szCs w:val="32"/>
    </w:rPr>
  </w:style>
  <w:style w:type="paragraph" w:customStyle="1" w:styleId="41">
    <w:name w:val="UserStyle_14"/>
    <w:basedOn w:val="1"/>
    <w:qFormat/>
    <w:uiPriority w:val="99"/>
    <w:pPr>
      <w:spacing w:line="600" w:lineRule="atLeast"/>
      <w:jc w:val="center"/>
      <w:textAlignment w:val="auto"/>
    </w:pPr>
    <w:rPr>
      <w:rFonts w:ascii="Arial" w:hAnsi="Arial"/>
      <w:sz w:val="24"/>
      <w:szCs w:val="24"/>
    </w:rPr>
  </w:style>
  <w:style w:type="paragraph" w:customStyle="1" w:styleId="42">
    <w:name w:val="UserStyle_15"/>
    <w:basedOn w:val="1"/>
    <w:next w:val="1"/>
    <w:qFormat/>
    <w:uiPriority w:val="99"/>
    <w:pPr>
      <w:tabs>
        <w:tab w:val="left" w:leader="dot" w:pos="8503"/>
      </w:tabs>
      <w:spacing w:line="317" w:lineRule="atLeast"/>
      <w:ind w:firstLine="209"/>
    </w:pPr>
  </w:style>
  <w:style w:type="paragraph" w:customStyle="1" w:styleId="43">
    <w:name w:val="UserStyle_17"/>
    <w:basedOn w:val="1"/>
    <w:qFormat/>
    <w:uiPriority w:val="99"/>
    <w:pPr>
      <w:spacing w:line="480" w:lineRule="exact"/>
      <w:ind w:firstLine="420" w:firstLineChars="200"/>
      <w:textAlignment w:val="auto"/>
    </w:pPr>
    <w:rPr>
      <w:kern w:val="2"/>
      <w:sz w:val="24"/>
      <w:szCs w:val="24"/>
    </w:rPr>
  </w:style>
  <w:style w:type="table" w:customStyle="1" w:styleId="44">
    <w:name w:val="TableGrid"/>
    <w:basedOn w:val="25"/>
    <w:qFormat/>
    <w:uiPriority w:val="99"/>
    <w:tblPr>
      <w:tblCellMar>
        <w:top w:w="0" w:type="dxa"/>
        <w:left w:w="0" w:type="dxa"/>
        <w:bottom w:w="0" w:type="dxa"/>
        <w:right w:w="0" w:type="dxa"/>
      </w:tblCellMar>
    </w:tblPr>
  </w:style>
  <w:style w:type="paragraph" w:customStyle="1" w:styleId="45">
    <w:name w:val="BodyTextIndent"/>
    <w:basedOn w:val="1"/>
    <w:qFormat/>
    <w:uiPriority w:val="99"/>
    <w:pPr>
      <w:spacing w:after="120"/>
      <w:ind w:left="420" w:leftChars="200"/>
    </w:pPr>
  </w:style>
  <w:style w:type="paragraph" w:customStyle="1" w:styleId="46">
    <w:name w:val="BodyText1I2"/>
    <w:basedOn w:val="45"/>
    <w:qFormat/>
    <w:uiPriority w:val="99"/>
    <w:pPr>
      <w:ind w:firstLine="420" w:firstLineChars="200"/>
    </w:pPr>
  </w:style>
  <w:style w:type="paragraph" w:customStyle="1" w:styleId="47">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8">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1241</Words>
  <Characters>1368</Characters>
  <Lines>10</Lines>
  <Paragraphs>3</Paragraphs>
  <TotalTime>3</TotalTime>
  <ScaleCrop>false</ScaleCrop>
  <LinksUpToDate>false</LinksUpToDate>
  <CharactersWithSpaces>1508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2023-03-02T01:09:47Z</cp:lastPrinted>
  <dcterms:modified xsi:type="dcterms:W3CDTF">2023-03-02T01:09:54Z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4B223CA2B5B24F0BBC3925F45DAE3489</vt:lpwstr>
  </property>
</Properties>
</file>