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pStyle w:val="26"/>
        <w:rPr>
          <w:rStyle w:val="17"/>
          <w:color w:val="auto"/>
        </w:rPr>
      </w:pPr>
    </w:p>
    <w:p>
      <w:pPr>
        <w:snapToGrid w:val="0"/>
        <w:spacing w:line="600" w:lineRule="exact"/>
        <w:rPr>
          <w:rStyle w:val="17"/>
          <w:rFonts w:ascii="仿宋_GB2312" w:eastAsia="仿宋_GB2312"/>
          <w:color w:val="auto"/>
          <w:sz w:val="32"/>
          <w:szCs w:val="32"/>
        </w:rPr>
      </w:pPr>
    </w:p>
    <w:p>
      <w:pPr>
        <w:snapToGrid w:val="0"/>
        <w:spacing w:line="600" w:lineRule="exact"/>
        <w:ind w:firstLine="2880" w:firstLineChars="900"/>
        <w:rPr>
          <w:rStyle w:val="17"/>
          <w:rFonts w:ascii="仿宋" w:hAnsi="仿宋" w:eastAsia="仿宋"/>
          <w:color w:val="auto"/>
          <w:sz w:val="32"/>
          <w:szCs w:val="32"/>
        </w:rPr>
      </w:pPr>
      <w:r>
        <w:rPr>
          <w:rStyle w:val="17"/>
          <w:rFonts w:hint="eastAsia" w:ascii="仿宋" w:hAnsi="仿宋" w:eastAsia="仿宋"/>
          <w:color w:val="auto"/>
          <w:sz w:val="32"/>
          <w:szCs w:val="32"/>
        </w:rPr>
        <w:t>鄂环东审字〔</w:t>
      </w:r>
      <w:r>
        <w:rPr>
          <w:rStyle w:val="17"/>
          <w:rFonts w:ascii="仿宋" w:hAnsi="仿宋" w:eastAsia="仿宋"/>
          <w:color w:val="auto"/>
          <w:sz w:val="32"/>
          <w:szCs w:val="32"/>
        </w:rPr>
        <w:t>202</w:t>
      </w:r>
      <w:r>
        <w:rPr>
          <w:rStyle w:val="17"/>
          <w:rFonts w:hint="eastAsia" w:ascii="仿宋" w:hAnsi="仿宋" w:eastAsia="仿宋"/>
          <w:color w:val="auto"/>
          <w:sz w:val="32"/>
          <w:szCs w:val="32"/>
          <w:lang w:val="en-US" w:eastAsia="zh-CN"/>
        </w:rPr>
        <w:t>3</w:t>
      </w:r>
      <w:r>
        <w:rPr>
          <w:rStyle w:val="17"/>
          <w:rFonts w:hint="eastAsia" w:ascii="仿宋" w:hAnsi="仿宋" w:eastAsia="仿宋"/>
          <w:color w:val="auto"/>
          <w:sz w:val="32"/>
          <w:szCs w:val="32"/>
        </w:rPr>
        <w:t>〕</w:t>
      </w:r>
      <w:r>
        <w:rPr>
          <w:rStyle w:val="17"/>
          <w:rFonts w:hint="eastAsia" w:ascii="仿宋" w:hAnsi="仿宋" w:eastAsia="仿宋"/>
          <w:color w:val="auto"/>
          <w:sz w:val="32"/>
          <w:szCs w:val="32"/>
          <w:lang w:val="en-US" w:eastAsia="zh-CN"/>
        </w:rPr>
        <w:t>4</w:t>
      </w:r>
      <w:r>
        <w:rPr>
          <w:rStyle w:val="17"/>
          <w:rFonts w:hint="eastAsia" w:ascii="仿宋" w:hAnsi="仿宋" w:eastAsia="仿宋"/>
          <w:color w:val="auto"/>
          <w:sz w:val="32"/>
          <w:szCs w:val="32"/>
        </w:rPr>
        <w:t>号</w:t>
      </w:r>
      <w:r>
        <w:rPr>
          <w:rStyle w:val="17"/>
          <w:rFonts w:ascii="仿宋" w:hAnsi="仿宋" w:eastAsia="仿宋"/>
          <w:color w:val="auto"/>
          <w:sz w:val="32"/>
          <w:szCs w:val="32"/>
        </w:rPr>
        <w:t xml:space="preserve"> </w:t>
      </w:r>
    </w:p>
    <w:p>
      <w:pPr>
        <w:spacing w:line="600" w:lineRule="exact"/>
        <w:jc w:val="center"/>
        <w:rPr>
          <w:rStyle w:val="17"/>
          <w:rFonts w:hint="eastAsia" w:ascii="宋体" w:hAnsi="宋体" w:eastAsia="宋体" w:cs="宋体"/>
          <w:b/>
          <w:bCs w:val="0"/>
          <w:color w:val="auto"/>
          <w:sz w:val="44"/>
          <w:szCs w:val="44"/>
        </w:rPr>
      </w:pPr>
    </w:p>
    <w:p>
      <w:pPr>
        <w:spacing w:line="600" w:lineRule="exact"/>
        <w:jc w:val="center"/>
        <w:rPr>
          <w:rStyle w:val="17"/>
          <w:rFonts w:ascii="宋体" w:hAnsi="宋体"/>
          <w:b/>
          <w:bCs w:val="0"/>
          <w:color w:val="auto"/>
          <w:sz w:val="44"/>
          <w:szCs w:val="44"/>
        </w:rPr>
      </w:pPr>
      <w:r>
        <w:rPr>
          <w:rStyle w:val="17"/>
          <w:rFonts w:hint="eastAsia" w:ascii="宋体" w:hAnsi="宋体"/>
          <w:b/>
          <w:bCs w:val="0"/>
          <w:color w:val="auto"/>
          <w:sz w:val="44"/>
          <w:szCs w:val="44"/>
        </w:rPr>
        <w:t>鄂尔多斯市生态环境局东胜区分局关于</w:t>
      </w:r>
    </w:p>
    <w:p>
      <w:pPr>
        <w:spacing w:line="600" w:lineRule="exact"/>
        <w:jc w:val="center"/>
        <w:rPr>
          <w:rStyle w:val="17"/>
          <w:rFonts w:hint="eastAsia" w:ascii="宋体" w:hAnsi="宋体"/>
          <w:b/>
          <w:bCs w:val="0"/>
          <w:color w:val="auto"/>
          <w:sz w:val="44"/>
          <w:szCs w:val="44"/>
          <w:lang w:eastAsia="zh-CN"/>
        </w:rPr>
      </w:pPr>
      <w:r>
        <w:rPr>
          <w:rStyle w:val="17"/>
          <w:rFonts w:hint="eastAsia" w:ascii="宋体" w:hAnsi="宋体"/>
          <w:b/>
          <w:bCs w:val="0"/>
          <w:color w:val="auto"/>
          <w:sz w:val="44"/>
          <w:szCs w:val="44"/>
          <w:lang w:eastAsia="zh-CN"/>
        </w:rPr>
        <w:t>鄂尔多斯市元蒙酒业有限公司年产</w:t>
      </w:r>
    </w:p>
    <w:p>
      <w:pPr>
        <w:spacing w:line="600" w:lineRule="exact"/>
        <w:jc w:val="center"/>
        <w:rPr>
          <w:rStyle w:val="17"/>
          <w:rFonts w:hint="default" w:ascii="宋体" w:hAnsi="宋体" w:eastAsia="宋体" w:cs="Times New Roman"/>
          <w:b/>
          <w:bCs w:val="0"/>
          <w:color w:val="auto"/>
          <w:sz w:val="44"/>
          <w:szCs w:val="44"/>
          <w:lang w:eastAsia="zh-CN"/>
        </w:rPr>
      </w:pPr>
      <w:r>
        <w:rPr>
          <w:rStyle w:val="17"/>
          <w:rFonts w:hint="eastAsia" w:ascii="宋体" w:hAnsi="宋体"/>
          <w:b/>
          <w:bCs w:val="0"/>
          <w:color w:val="auto"/>
          <w:sz w:val="44"/>
          <w:szCs w:val="44"/>
          <w:lang w:eastAsia="zh-CN"/>
        </w:rPr>
        <w:t>500吨高粱白酒建设</w:t>
      </w:r>
      <w:r>
        <w:rPr>
          <w:rStyle w:val="17"/>
          <w:rFonts w:hint="default" w:ascii="宋体" w:hAnsi="宋体" w:eastAsia="宋体" w:cs="Times New Roman"/>
          <w:b/>
          <w:bCs w:val="0"/>
          <w:color w:val="auto"/>
          <w:sz w:val="44"/>
          <w:szCs w:val="44"/>
          <w:lang w:eastAsia="zh-CN"/>
        </w:rPr>
        <w:t>项目</w:t>
      </w:r>
    </w:p>
    <w:p>
      <w:pPr>
        <w:spacing w:line="600" w:lineRule="exact"/>
        <w:jc w:val="center"/>
        <w:rPr>
          <w:rStyle w:val="17"/>
          <w:rFonts w:hint="eastAsia" w:ascii="宋体" w:hAnsi="宋体" w:eastAsia="宋体" w:cs="宋体"/>
          <w:b/>
          <w:bCs w:val="0"/>
          <w:color w:val="auto"/>
          <w:sz w:val="44"/>
          <w:szCs w:val="44"/>
        </w:rPr>
      </w:pPr>
      <w:r>
        <w:rPr>
          <w:rStyle w:val="17"/>
          <w:rFonts w:hint="eastAsia" w:ascii="宋体" w:hAnsi="宋体" w:eastAsia="宋体" w:cs="宋体"/>
          <w:b/>
          <w:bCs w:val="0"/>
          <w:color w:val="auto"/>
          <w:sz w:val="44"/>
          <w:szCs w:val="44"/>
        </w:rPr>
        <w:t>环境影响报告表的批复</w:t>
      </w:r>
    </w:p>
    <w:p>
      <w:pPr>
        <w:spacing w:line="360" w:lineRule="auto"/>
        <w:textAlignment w:val="auto"/>
        <w:rPr>
          <w:rStyle w:val="17"/>
          <w:rFonts w:hint="eastAsia" w:ascii="仿宋" w:hAnsi="仿宋" w:eastAsia="仿宋"/>
          <w:sz w:val="32"/>
          <w:szCs w:val="32"/>
          <w:lang w:eastAsia="zh-CN"/>
        </w:rPr>
      </w:pPr>
    </w:p>
    <w:p>
      <w:pPr>
        <w:keepNext w:val="0"/>
        <w:keepLines w:val="0"/>
        <w:pageBreakBefore w:val="0"/>
        <w:widowControl/>
        <w:kinsoku/>
        <w:wordWrap/>
        <w:overflowPunct/>
        <w:topLinePunct w:val="0"/>
        <w:autoSpaceDE/>
        <w:autoSpaceDN/>
        <w:bidi w:val="0"/>
        <w:spacing w:line="580" w:lineRule="exact"/>
        <w:ind w:left="0" w:leftChars="0" w:firstLine="0" w:firstLineChars="0"/>
        <w:rPr>
          <w:rStyle w:val="17"/>
          <w:rFonts w:hint="eastAsia" w:ascii="仿宋" w:hAnsi="仿宋" w:eastAsia="仿宋" w:cs="Times New Roman"/>
          <w:sz w:val="32"/>
          <w:szCs w:val="32"/>
          <w:lang w:eastAsia="zh-CN"/>
        </w:rPr>
      </w:pPr>
      <w:r>
        <w:rPr>
          <w:rStyle w:val="17"/>
          <w:rFonts w:hint="eastAsia" w:ascii="仿宋" w:hAnsi="仿宋" w:eastAsia="仿宋"/>
          <w:sz w:val="32"/>
          <w:szCs w:val="32"/>
          <w:lang w:eastAsia="zh-CN"/>
        </w:rPr>
        <w:t>鄂尔多斯市元蒙酒业有限公司：</w:t>
      </w:r>
    </w:p>
    <w:p>
      <w:pPr>
        <w:keepNext w:val="0"/>
        <w:keepLines w:val="0"/>
        <w:pageBreakBefore w:val="0"/>
        <w:widowControl/>
        <w:kinsoku/>
        <w:wordWrap/>
        <w:overflowPunct/>
        <w:topLinePunct w:val="0"/>
        <w:autoSpaceDE/>
        <w:autoSpaceDN/>
        <w:bidi w:val="0"/>
        <w:adjustRightInd w:val="0"/>
        <w:snapToGrid w:val="0"/>
        <w:spacing w:line="580" w:lineRule="exact"/>
        <w:jc w:val="both"/>
        <w:rPr>
          <w:rStyle w:val="17"/>
          <w:rFonts w:hint="eastAsia" w:ascii="仿宋" w:hAnsi="仿宋" w:eastAsia="仿宋"/>
          <w:color w:val="0000FF"/>
          <w:sz w:val="32"/>
          <w:szCs w:val="32"/>
        </w:rPr>
      </w:pPr>
      <w:r>
        <w:rPr>
          <w:rStyle w:val="17"/>
          <w:rFonts w:hint="eastAsia" w:ascii="仿宋" w:hAnsi="仿宋" w:eastAsia="仿宋"/>
          <w:sz w:val="32"/>
          <w:szCs w:val="32"/>
          <w:lang w:val="en-US" w:eastAsia="zh-CN"/>
        </w:rPr>
        <w:t xml:space="preserve">    </w:t>
      </w:r>
      <w:r>
        <w:rPr>
          <w:rStyle w:val="17"/>
          <w:rFonts w:hint="eastAsia" w:ascii="仿宋" w:hAnsi="仿宋" w:eastAsia="仿宋"/>
          <w:sz w:val="32"/>
          <w:szCs w:val="32"/>
        </w:rPr>
        <w:t>你</w:t>
      </w:r>
      <w:r>
        <w:rPr>
          <w:rStyle w:val="17"/>
          <w:rFonts w:hint="eastAsia" w:ascii="仿宋" w:hAnsi="仿宋" w:eastAsia="仿宋"/>
          <w:sz w:val="32"/>
          <w:szCs w:val="32"/>
          <w:lang w:val="en-US" w:eastAsia="zh-CN"/>
        </w:rPr>
        <w:t>单位</w:t>
      </w:r>
      <w:r>
        <w:rPr>
          <w:rStyle w:val="17"/>
          <w:rFonts w:hint="eastAsia" w:ascii="仿宋" w:hAnsi="仿宋" w:eastAsia="仿宋"/>
          <w:sz w:val="32"/>
          <w:szCs w:val="32"/>
        </w:rPr>
        <w:t>报送的由内蒙古中政国环工程顾问有限公司</w:t>
      </w:r>
      <w:r>
        <w:rPr>
          <w:rStyle w:val="17"/>
          <w:rFonts w:hint="eastAsia" w:ascii="仿宋" w:hAnsi="仿宋" w:eastAsia="仿宋"/>
          <w:sz w:val="32"/>
          <w:szCs w:val="32"/>
          <w:lang w:val="en-US" w:eastAsia="zh-CN"/>
        </w:rPr>
        <w:t>编</w:t>
      </w:r>
      <w:r>
        <w:rPr>
          <w:rStyle w:val="17"/>
          <w:rFonts w:hint="eastAsia" w:ascii="仿宋" w:hAnsi="仿宋" w:eastAsia="仿宋"/>
          <w:sz w:val="32"/>
          <w:szCs w:val="32"/>
        </w:rPr>
        <w:t>制的《</w:t>
      </w:r>
      <w:r>
        <w:rPr>
          <w:rStyle w:val="17"/>
          <w:rFonts w:hint="eastAsia" w:ascii="仿宋" w:hAnsi="仿宋" w:eastAsia="仿宋"/>
          <w:sz w:val="32"/>
          <w:szCs w:val="32"/>
          <w:lang w:eastAsia="zh-CN"/>
        </w:rPr>
        <w:t>鄂尔多斯市元蒙酒业有限公司年产500吨高粱白酒建设</w:t>
      </w:r>
      <w:r>
        <w:rPr>
          <w:rStyle w:val="17"/>
          <w:rFonts w:hint="default" w:ascii="仿宋" w:hAnsi="仿宋" w:eastAsia="仿宋"/>
          <w:sz w:val="32"/>
          <w:szCs w:val="32"/>
          <w:lang w:eastAsia="zh-CN"/>
        </w:rPr>
        <w:t>项目</w:t>
      </w:r>
      <w:r>
        <w:rPr>
          <w:rStyle w:val="17"/>
          <w:rFonts w:hint="eastAsia" w:ascii="仿宋" w:hAnsi="仿宋" w:eastAsia="仿宋"/>
          <w:sz w:val="32"/>
          <w:szCs w:val="32"/>
        </w:rPr>
        <w:t>环境影响报告表》（以下简称《报告表》）已收悉</w:t>
      </w:r>
      <w:r>
        <w:rPr>
          <w:rStyle w:val="17"/>
          <w:rFonts w:hint="eastAsia" w:ascii="仿宋" w:hAnsi="仿宋" w:eastAsia="仿宋"/>
          <w:sz w:val="32"/>
          <w:szCs w:val="32"/>
          <w:lang w:eastAsia="zh-CN"/>
        </w:rPr>
        <w:t>。</w:t>
      </w:r>
      <w:r>
        <w:rPr>
          <w:rStyle w:val="17"/>
          <w:rFonts w:hint="eastAsia" w:ascii="仿宋" w:hAnsi="仿宋" w:eastAsia="仿宋"/>
          <w:sz w:val="32"/>
          <w:szCs w:val="32"/>
        </w:rPr>
        <w:t>该项目属于新建项目，位于东胜区罕台镇撖家塔村</w:t>
      </w:r>
      <w:r>
        <w:rPr>
          <w:rStyle w:val="17"/>
          <w:rFonts w:hint="eastAsia" w:ascii="仿宋" w:hAnsi="仿宋" w:eastAsia="仿宋"/>
          <w:sz w:val="32"/>
          <w:szCs w:val="32"/>
          <w:lang w:eastAsia="zh-CN"/>
        </w:rPr>
        <w:t>，崔家塔北、九撖线西</w:t>
      </w:r>
      <w:r>
        <w:rPr>
          <w:rStyle w:val="17"/>
          <w:rFonts w:hint="eastAsia" w:ascii="仿宋" w:hAnsi="仿宋" w:eastAsia="仿宋"/>
          <w:sz w:val="32"/>
          <w:szCs w:val="32"/>
          <w:lang w:val="en-US" w:eastAsia="zh-CN"/>
        </w:rPr>
        <w:t>。项目总</w:t>
      </w:r>
      <w:r>
        <w:rPr>
          <w:rStyle w:val="17"/>
          <w:rFonts w:hint="eastAsia" w:ascii="仿宋" w:hAnsi="仿宋" w:eastAsia="仿宋"/>
          <w:sz w:val="32"/>
          <w:szCs w:val="32"/>
          <w:lang w:eastAsia="zh-CN"/>
        </w:rPr>
        <w:t>占地面积</w:t>
      </w:r>
      <w:r>
        <w:rPr>
          <w:rStyle w:val="17"/>
          <w:rFonts w:hint="eastAsia" w:ascii="仿宋" w:hAnsi="仿宋" w:eastAsia="仿宋"/>
          <w:sz w:val="32"/>
          <w:szCs w:val="32"/>
          <w:lang w:val="en-US" w:eastAsia="zh-CN"/>
        </w:rPr>
        <w:t>21984.4</w:t>
      </w:r>
      <w:r>
        <w:rPr>
          <w:rStyle w:val="17"/>
          <w:rFonts w:hint="eastAsia" w:ascii="仿宋" w:hAnsi="仿宋" w:eastAsia="仿宋"/>
          <w:sz w:val="32"/>
          <w:szCs w:val="32"/>
          <w:lang w:eastAsia="zh-CN"/>
        </w:rPr>
        <w:t>平方米，</w:t>
      </w:r>
      <w:r>
        <w:rPr>
          <w:rStyle w:val="17"/>
          <w:rFonts w:hint="default" w:ascii="仿宋" w:hAnsi="仿宋" w:eastAsia="仿宋"/>
          <w:sz w:val="32"/>
          <w:szCs w:val="32"/>
        </w:rPr>
        <w:t>总投资</w:t>
      </w:r>
      <w:r>
        <w:rPr>
          <w:rStyle w:val="17"/>
          <w:rFonts w:hint="eastAsia" w:ascii="仿宋" w:hAnsi="仿宋" w:eastAsia="仿宋"/>
          <w:sz w:val="32"/>
          <w:szCs w:val="32"/>
          <w:lang w:val="en-US" w:eastAsia="zh-CN"/>
        </w:rPr>
        <w:t>4</w:t>
      </w:r>
      <w:bookmarkStart w:id="0" w:name="_GoBack"/>
      <w:bookmarkEnd w:id="0"/>
      <w:r>
        <w:rPr>
          <w:rStyle w:val="17"/>
          <w:rFonts w:hint="eastAsia" w:ascii="仿宋" w:hAnsi="仿宋" w:eastAsia="仿宋"/>
          <w:sz w:val="32"/>
          <w:szCs w:val="32"/>
          <w:lang w:val="en-US" w:eastAsia="zh-CN"/>
        </w:rPr>
        <w:t>00万</w:t>
      </w:r>
      <w:r>
        <w:rPr>
          <w:rStyle w:val="17"/>
          <w:rFonts w:hint="default" w:ascii="仿宋" w:hAnsi="仿宋" w:eastAsia="仿宋"/>
          <w:sz w:val="32"/>
          <w:szCs w:val="32"/>
        </w:rPr>
        <w:t>元，</w:t>
      </w:r>
      <w:r>
        <w:rPr>
          <w:rStyle w:val="17"/>
          <w:rFonts w:hint="eastAsia" w:ascii="仿宋" w:hAnsi="仿宋" w:eastAsia="仿宋"/>
          <w:sz w:val="32"/>
          <w:szCs w:val="32"/>
          <w:lang w:eastAsia="zh-CN"/>
        </w:rPr>
        <w:t>其中</w:t>
      </w:r>
      <w:r>
        <w:rPr>
          <w:rStyle w:val="17"/>
          <w:rFonts w:hint="default" w:ascii="仿宋" w:hAnsi="仿宋" w:eastAsia="仿宋"/>
          <w:sz w:val="32"/>
          <w:szCs w:val="32"/>
        </w:rPr>
        <w:t>环保投资</w:t>
      </w:r>
      <w:r>
        <w:rPr>
          <w:rStyle w:val="17"/>
          <w:rFonts w:hint="eastAsia" w:ascii="仿宋" w:hAnsi="仿宋" w:eastAsia="仿宋"/>
          <w:sz w:val="32"/>
          <w:szCs w:val="32"/>
          <w:lang w:val="en-US" w:eastAsia="zh-CN"/>
        </w:rPr>
        <w:t>69万元</w:t>
      </w:r>
      <w:r>
        <w:rPr>
          <w:rStyle w:val="17"/>
          <w:rFonts w:hint="eastAsia" w:ascii="仿宋" w:hAnsi="仿宋" w:eastAsia="仿宋"/>
          <w:sz w:val="32"/>
          <w:szCs w:val="32"/>
        </w:rPr>
        <w:t>。</w:t>
      </w:r>
      <w:r>
        <w:rPr>
          <w:rStyle w:val="17"/>
          <w:rFonts w:hint="eastAsia" w:ascii="仿宋" w:hAnsi="仿宋" w:eastAsia="仿宋"/>
          <w:sz w:val="32"/>
          <w:szCs w:val="32"/>
          <w:lang w:eastAsia="zh-CN"/>
        </w:rPr>
        <w:t>主要建设内容及规模：厂房为租赁，发酵车间、蒸馏车间、罐装车间等主体工程、辅助工程及部分储运工程均依托原有</w:t>
      </w:r>
      <w:r>
        <w:rPr>
          <w:rStyle w:val="17"/>
          <w:rFonts w:hint="eastAsia" w:ascii="仿宋" w:hAnsi="仿宋" w:eastAsia="仿宋"/>
          <w:sz w:val="32"/>
          <w:szCs w:val="32"/>
          <w:lang w:val="en-US" w:eastAsia="zh-CN"/>
        </w:rPr>
        <w:t>,新建1座建筑面积200m</w:t>
      </w:r>
      <w:r>
        <w:rPr>
          <w:rStyle w:val="17"/>
          <w:rFonts w:hint="eastAsia" w:ascii="仿宋" w:hAnsi="仿宋" w:eastAsia="仿宋"/>
          <w:sz w:val="32"/>
          <w:szCs w:val="32"/>
          <w:vertAlign w:val="superscript"/>
          <w:lang w:val="en-US" w:eastAsia="zh-CN"/>
        </w:rPr>
        <w:t>2</w:t>
      </w:r>
      <w:r>
        <w:rPr>
          <w:rStyle w:val="17"/>
          <w:rFonts w:hint="eastAsia" w:ascii="仿宋" w:hAnsi="仿宋" w:eastAsia="仿宋"/>
          <w:sz w:val="32"/>
          <w:szCs w:val="32"/>
          <w:vertAlign w:val="baseline"/>
          <w:lang w:val="en-US" w:eastAsia="zh-CN"/>
        </w:rPr>
        <w:t>的</w:t>
      </w:r>
      <w:r>
        <w:rPr>
          <w:rStyle w:val="17"/>
          <w:rFonts w:hint="eastAsia" w:ascii="仿宋" w:hAnsi="仿宋" w:eastAsia="仿宋"/>
          <w:sz w:val="32"/>
          <w:szCs w:val="32"/>
          <w:lang w:val="en-US" w:eastAsia="zh-CN"/>
        </w:rPr>
        <w:t>全封闭酒糟堆场，新建1座占地面积4m</w:t>
      </w:r>
      <w:r>
        <w:rPr>
          <w:rStyle w:val="17"/>
          <w:rFonts w:hint="eastAsia" w:ascii="仿宋" w:hAnsi="仿宋" w:eastAsia="仿宋"/>
          <w:sz w:val="32"/>
          <w:szCs w:val="32"/>
          <w:vertAlign w:val="superscript"/>
          <w:lang w:val="en-US" w:eastAsia="zh-CN"/>
        </w:rPr>
        <w:t>2</w:t>
      </w:r>
      <w:r>
        <w:rPr>
          <w:rStyle w:val="17"/>
          <w:rFonts w:hint="eastAsia" w:ascii="仿宋" w:hAnsi="仿宋" w:eastAsia="仿宋"/>
          <w:sz w:val="32"/>
          <w:szCs w:val="32"/>
          <w:vertAlign w:val="baseline"/>
          <w:lang w:val="en-US" w:eastAsia="zh-CN"/>
        </w:rPr>
        <w:t>的</w:t>
      </w:r>
      <w:r>
        <w:rPr>
          <w:rStyle w:val="17"/>
          <w:rFonts w:hint="eastAsia" w:ascii="仿宋" w:hAnsi="仿宋" w:eastAsia="仿宋"/>
          <w:sz w:val="32"/>
          <w:szCs w:val="32"/>
          <w:lang w:val="en-US" w:eastAsia="zh-CN"/>
        </w:rPr>
        <w:t>危废暂存间用于</w:t>
      </w:r>
      <w:r>
        <w:rPr>
          <w:rStyle w:val="17"/>
          <w:rFonts w:hint="eastAsia" w:ascii="仿宋" w:hAnsi="仿宋" w:eastAsia="仿宋" w:cs="Times New Roman"/>
          <w:color w:val="auto"/>
          <w:sz w:val="32"/>
          <w:szCs w:val="32"/>
          <w:lang w:val="en-US" w:eastAsia="zh-CN"/>
        </w:rPr>
        <w:t>暂</w:t>
      </w:r>
      <w:r>
        <w:rPr>
          <w:rStyle w:val="17"/>
          <w:rFonts w:hint="eastAsia" w:ascii="仿宋" w:hAnsi="仿宋" w:eastAsia="仿宋" w:cs="Times New Roman"/>
          <w:color w:val="auto"/>
          <w:sz w:val="32"/>
          <w:szCs w:val="32"/>
          <w:lang w:eastAsia="zh-CN"/>
        </w:rPr>
        <w:t>存本项目运营过程</w:t>
      </w:r>
      <w:r>
        <w:rPr>
          <w:rStyle w:val="17"/>
          <w:rFonts w:hint="eastAsia" w:ascii="仿宋" w:hAnsi="仿宋" w:eastAsia="仿宋" w:cs="Times New Roman"/>
          <w:color w:val="auto"/>
          <w:sz w:val="32"/>
          <w:szCs w:val="32"/>
          <w:lang w:val="en-US" w:eastAsia="zh-CN"/>
        </w:rPr>
        <w:t>中</w:t>
      </w:r>
      <w:r>
        <w:rPr>
          <w:rStyle w:val="17"/>
          <w:rFonts w:hint="eastAsia" w:ascii="仿宋" w:hAnsi="仿宋" w:eastAsia="仿宋" w:cs="Times New Roman"/>
          <w:color w:val="auto"/>
          <w:sz w:val="32"/>
          <w:szCs w:val="32"/>
          <w:lang w:eastAsia="zh-CN"/>
        </w:rPr>
        <w:t>产生的</w:t>
      </w:r>
      <w:r>
        <w:rPr>
          <w:rStyle w:val="17"/>
          <w:rFonts w:hint="eastAsia" w:ascii="仿宋" w:hAnsi="仿宋" w:eastAsia="仿宋"/>
          <w:sz w:val="32"/>
          <w:szCs w:val="32"/>
          <w:lang w:val="en-US" w:eastAsia="zh-CN"/>
        </w:rPr>
        <w:t>废活性炭和实验室废液，</w:t>
      </w:r>
      <w:r>
        <w:rPr>
          <w:rStyle w:val="17"/>
          <w:rFonts w:hint="eastAsia" w:ascii="仿宋" w:hAnsi="仿宋" w:eastAsia="仿宋" w:cs="Times New Roman"/>
          <w:color w:val="auto"/>
          <w:sz w:val="32"/>
          <w:szCs w:val="32"/>
          <w:lang w:val="en-US" w:eastAsia="zh-CN"/>
        </w:rPr>
        <w:t>配套建设公用工程、环保工程等</w:t>
      </w:r>
      <w:r>
        <w:rPr>
          <w:rStyle w:val="17"/>
          <w:rFonts w:hint="eastAsia" w:ascii="仿宋" w:hAnsi="仿宋" w:eastAsia="仿宋"/>
          <w:sz w:val="32"/>
          <w:szCs w:val="32"/>
          <w:lang w:eastAsia="zh-CN"/>
        </w:rPr>
        <w:t>。项目</w:t>
      </w:r>
      <w:r>
        <w:rPr>
          <w:rStyle w:val="17"/>
          <w:rFonts w:hint="eastAsia" w:ascii="仿宋" w:hAnsi="仿宋" w:eastAsia="仿宋"/>
          <w:sz w:val="32"/>
          <w:szCs w:val="32"/>
          <w:lang w:val="en-US" w:eastAsia="zh-CN"/>
        </w:rPr>
        <w:t>建成后</w:t>
      </w:r>
      <w:r>
        <w:rPr>
          <w:rStyle w:val="17"/>
          <w:rFonts w:hint="eastAsia" w:ascii="仿宋" w:hAnsi="仿宋" w:eastAsia="仿宋"/>
          <w:sz w:val="32"/>
          <w:szCs w:val="32"/>
          <w:lang w:eastAsia="zh-CN"/>
        </w:rPr>
        <w:t>年生产白酒原酒500</w:t>
      </w:r>
      <w:r>
        <w:rPr>
          <w:rStyle w:val="17"/>
          <w:rFonts w:hint="eastAsia" w:ascii="仿宋" w:hAnsi="仿宋" w:eastAsia="仿宋"/>
          <w:sz w:val="32"/>
          <w:szCs w:val="32"/>
          <w:lang w:val="en-US" w:eastAsia="zh-CN"/>
        </w:rPr>
        <w:t>吨</w:t>
      </w:r>
      <w:r>
        <w:rPr>
          <w:rStyle w:val="17"/>
          <w:rFonts w:hint="eastAsia" w:ascii="仿宋" w:hAnsi="仿宋" w:eastAsia="仿宋"/>
          <w:sz w:val="32"/>
          <w:szCs w:val="32"/>
          <w:lang w:eastAsia="zh-CN"/>
        </w:rPr>
        <w:t>，勾兑后年产692</w:t>
      </w:r>
      <w:r>
        <w:rPr>
          <w:rStyle w:val="17"/>
          <w:rFonts w:hint="eastAsia" w:ascii="仿宋" w:hAnsi="仿宋" w:eastAsia="仿宋"/>
          <w:sz w:val="32"/>
          <w:szCs w:val="32"/>
          <w:lang w:val="en-US" w:eastAsia="zh-CN"/>
        </w:rPr>
        <w:t>吨</w:t>
      </w:r>
      <w:r>
        <w:rPr>
          <w:rStyle w:val="17"/>
          <w:rFonts w:hint="eastAsia" w:ascii="仿宋" w:hAnsi="仿宋" w:eastAsia="仿宋"/>
          <w:sz w:val="32"/>
          <w:szCs w:val="32"/>
          <w:lang w:eastAsia="zh-CN"/>
        </w:rPr>
        <w:t>瓶装白酒。</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both"/>
        <w:textAlignment w:val="auto"/>
        <w:rPr>
          <w:rStyle w:val="17"/>
          <w:rFonts w:ascii="仿宋" w:hAnsi="仿宋" w:eastAsia="仿宋"/>
          <w:color w:val="auto"/>
          <w:sz w:val="32"/>
          <w:szCs w:val="32"/>
        </w:rPr>
      </w:pPr>
      <w:r>
        <w:rPr>
          <w:rStyle w:val="17"/>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r>
        <w:rPr>
          <w:rStyle w:val="17"/>
          <w:rFonts w:ascii="仿宋" w:hAnsi="仿宋" w:eastAsia="仿宋"/>
          <w:sz w:val="32"/>
          <w:szCs w:val="32"/>
        </w:rPr>
        <w:t xml:space="preserve"> </w:t>
      </w:r>
      <w:r>
        <w:rPr>
          <w:rStyle w:val="17"/>
          <w:rFonts w:ascii="仿宋" w:hAnsi="仿宋" w:eastAsia="仿宋"/>
          <w:color w:val="auto"/>
          <w:sz w:val="32"/>
          <w:szCs w:val="32"/>
        </w:rPr>
        <w:t xml:space="preserve"> </w:t>
      </w:r>
    </w:p>
    <w:p>
      <w:pPr>
        <w:keepNext w:val="0"/>
        <w:keepLines w:val="0"/>
        <w:pageBreakBefore w:val="0"/>
        <w:widowControl/>
        <w:numPr>
          <w:ilvl w:val="0"/>
          <w:numId w:val="1"/>
        </w:numPr>
        <w:kinsoku/>
        <w:wordWrap/>
        <w:overflowPunct/>
        <w:topLinePunct w:val="0"/>
        <w:autoSpaceDE/>
        <w:autoSpaceDN/>
        <w:bidi w:val="0"/>
        <w:adjustRightInd/>
        <w:snapToGrid/>
        <w:spacing w:line="580" w:lineRule="exact"/>
        <w:ind w:left="-10" w:leftChars="0" w:firstLine="640" w:firstLineChars="0"/>
        <w:jc w:val="both"/>
        <w:textAlignment w:val="auto"/>
        <w:rPr>
          <w:rStyle w:val="17"/>
          <w:rFonts w:hint="eastAsia" w:ascii="仿宋" w:hAnsi="仿宋" w:eastAsia="仿宋" w:cs="Times New Roman"/>
          <w:color w:val="0000FF"/>
          <w:sz w:val="32"/>
          <w:szCs w:val="32"/>
          <w:highlight w:val="none"/>
          <w:lang w:val="en-US" w:eastAsia="zh-CN"/>
        </w:rPr>
      </w:pPr>
      <w:r>
        <w:rPr>
          <w:rFonts w:hint="eastAsia" w:ascii="仿宋" w:hAnsi="仿宋" w:eastAsia="仿宋" w:cs="仿宋"/>
          <w:color w:val="auto"/>
          <w:sz w:val="32"/>
          <w:szCs w:val="32"/>
        </w:rPr>
        <w:t>施工期噪声执行《建筑施工场界环境噪声排放标准》（GB12523-2011）；</w:t>
      </w:r>
      <w:r>
        <w:rPr>
          <w:rFonts w:ascii="仿宋" w:hAnsi="仿宋" w:eastAsia="仿宋" w:cs="仿宋"/>
          <w:color w:val="auto"/>
          <w:sz w:val="32"/>
          <w:szCs w:val="32"/>
        </w:rPr>
        <w:t>施工期大气污染物排放执行《大气污染物综合排放标准》</w:t>
      </w:r>
      <w:r>
        <w:rPr>
          <w:rFonts w:hint="eastAsia" w:ascii="仿宋" w:hAnsi="仿宋" w:eastAsia="仿宋" w:cs="仿宋"/>
          <w:color w:val="auto"/>
          <w:sz w:val="32"/>
          <w:szCs w:val="32"/>
        </w:rPr>
        <w:t>（</w:t>
      </w:r>
      <w:r>
        <w:rPr>
          <w:rFonts w:ascii="仿宋" w:hAnsi="仿宋" w:eastAsia="仿宋" w:cs="仿宋"/>
          <w:color w:val="auto"/>
          <w:sz w:val="32"/>
          <w:szCs w:val="32"/>
        </w:rPr>
        <w:t>GB16297-1996</w:t>
      </w:r>
      <w:r>
        <w:rPr>
          <w:rFonts w:hint="eastAsia" w:ascii="仿宋" w:hAnsi="仿宋" w:eastAsia="仿宋" w:cs="仿宋"/>
          <w:color w:val="auto"/>
          <w:sz w:val="32"/>
          <w:szCs w:val="32"/>
        </w:rPr>
        <w:t>）</w:t>
      </w:r>
      <w:r>
        <w:rPr>
          <w:rFonts w:ascii="仿宋" w:hAnsi="仿宋" w:eastAsia="仿宋" w:cs="仿宋"/>
          <w:color w:val="auto"/>
          <w:sz w:val="32"/>
          <w:szCs w:val="32"/>
        </w:rPr>
        <w:t>表2</w:t>
      </w:r>
      <w:r>
        <w:rPr>
          <w:rFonts w:hint="eastAsia" w:ascii="仿宋" w:hAnsi="仿宋" w:eastAsia="仿宋" w:cs="仿宋"/>
          <w:color w:val="auto"/>
          <w:sz w:val="32"/>
          <w:szCs w:val="32"/>
        </w:rPr>
        <w:t>中</w:t>
      </w:r>
      <w:r>
        <w:rPr>
          <w:rStyle w:val="17"/>
          <w:rFonts w:hint="eastAsia" w:ascii="仿宋" w:hAnsi="仿宋" w:eastAsia="仿宋"/>
          <w:color w:val="auto"/>
          <w:sz w:val="32"/>
          <w:szCs w:val="32"/>
        </w:rPr>
        <w:t>无组织排放监控浓度限值。</w:t>
      </w:r>
    </w:p>
    <w:p>
      <w:pPr>
        <w:keepNext w:val="0"/>
        <w:keepLines w:val="0"/>
        <w:pageBreakBefore w:val="0"/>
        <w:widowControl/>
        <w:numPr>
          <w:ilvl w:val="0"/>
          <w:numId w:val="1"/>
        </w:numPr>
        <w:kinsoku/>
        <w:wordWrap/>
        <w:overflowPunct/>
        <w:topLinePunct w:val="0"/>
        <w:autoSpaceDE/>
        <w:autoSpaceDN/>
        <w:bidi w:val="0"/>
        <w:adjustRightInd/>
        <w:snapToGrid/>
        <w:spacing w:line="580" w:lineRule="exact"/>
        <w:ind w:left="-10" w:leftChars="0" w:firstLine="640" w:firstLineChars="0"/>
        <w:jc w:val="both"/>
        <w:textAlignment w:val="auto"/>
        <w:rPr>
          <w:rStyle w:val="17"/>
          <w:rFonts w:hint="eastAsia" w:ascii="仿宋" w:hAnsi="仿宋" w:eastAsia="仿宋" w:cs="Times New Roman"/>
          <w:color w:val="auto"/>
          <w:sz w:val="32"/>
          <w:szCs w:val="32"/>
          <w:highlight w:val="none"/>
          <w:lang w:val="en-US" w:eastAsia="zh-CN"/>
        </w:rPr>
      </w:pPr>
      <w:r>
        <w:rPr>
          <w:rFonts w:hint="default" w:ascii="仿宋" w:hAnsi="仿宋" w:eastAsia="仿宋" w:cs="仿宋"/>
          <w:color w:val="auto"/>
          <w:kern w:val="0"/>
          <w:sz w:val="32"/>
          <w:szCs w:val="32"/>
          <w:lang w:val="en-US" w:eastAsia="zh-CN" w:bidi="ar-SA"/>
        </w:rPr>
        <w:t>运营期</w:t>
      </w:r>
      <w:r>
        <w:rPr>
          <w:rFonts w:hint="eastAsia" w:ascii="仿宋" w:hAnsi="仿宋" w:eastAsia="仿宋" w:cs="仿宋"/>
          <w:color w:val="auto"/>
          <w:kern w:val="0"/>
          <w:sz w:val="32"/>
          <w:szCs w:val="32"/>
          <w:lang w:val="en-US" w:eastAsia="zh-CN" w:bidi="ar-SA"/>
        </w:rPr>
        <w:t>物</w:t>
      </w:r>
      <w:r>
        <w:rPr>
          <w:rFonts w:hint="default" w:ascii="仿宋" w:hAnsi="仿宋" w:eastAsia="仿宋" w:cs="仿宋"/>
          <w:color w:val="auto"/>
          <w:kern w:val="0"/>
          <w:sz w:val="32"/>
          <w:szCs w:val="32"/>
          <w:lang w:val="en-US" w:eastAsia="zh-CN" w:bidi="ar-SA"/>
        </w:rPr>
        <w:t>料储存、装卸、输送、生产过程全封闭。</w:t>
      </w:r>
      <w:r>
        <w:rPr>
          <w:rStyle w:val="17"/>
          <w:rFonts w:hint="default" w:ascii="仿宋" w:hAnsi="仿宋" w:eastAsia="仿宋" w:cs="Times New Roman"/>
          <w:color w:val="auto"/>
          <w:sz w:val="32"/>
          <w:szCs w:val="32"/>
          <w:highlight w:val="none"/>
          <w:lang w:val="en-US" w:eastAsia="zh-CN"/>
        </w:rPr>
        <w:t>原料粉碎</w:t>
      </w:r>
      <w:r>
        <w:rPr>
          <w:rStyle w:val="17"/>
          <w:rFonts w:hint="eastAsia" w:ascii="仿宋" w:hAnsi="仿宋" w:eastAsia="仿宋" w:cs="Times New Roman"/>
          <w:color w:val="auto"/>
          <w:sz w:val="32"/>
          <w:szCs w:val="32"/>
          <w:highlight w:val="none"/>
          <w:lang w:val="en-US" w:eastAsia="zh-CN"/>
        </w:rPr>
        <w:t>废气经收集处理后由15米高排气筒排放,执行《大气污染物综合排放标准》（GB16297-1996）表2中二级标准限值。</w:t>
      </w:r>
      <w:r>
        <w:rPr>
          <w:rStyle w:val="17"/>
          <w:rFonts w:hint="default" w:ascii="仿宋" w:hAnsi="仿宋" w:eastAsia="仿宋" w:cs="Times New Roman"/>
          <w:color w:val="auto"/>
          <w:sz w:val="32"/>
          <w:szCs w:val="32"/>
          <w:highlight w:val="none"/>
          <w:lang w:val="en-US" w:eastAsia="zh-CN"/>
        </w:rPr>
        <w:t>酒糟堆场</w:t>
      </w:r>
      <w:r>
        <w:rPr>
          <w:rStyle w:val="17"/>
          <w:rFonts w:hint="eastAsia" w:ascii="仿宋" w:hAnsi="仿宋" w:eastAsia="仿宋" w:cs="Times New Roman"/>
          <w:color w:val="auto"/>
          <w:sz w:val="32"/>
          <w:szCs w:val="32"/>
          <w:highlight w:val="none"/>
          <w:lang w:val="en-US" w:eastAsia="zh-CN"/>
        </w:rPr>
        <w:t>、发酵车间废气经收集处理后由另一根15米高排气筒排放，执行《大气污染物综合排放标准》（GB16297-1996）表2中二级标准限值。</w:t>
      </w:r>
      <w:r>
        <w:rPr>
          <w:rStyle w:val="17"/>
          <w:rFonts w:hint="default" w:ascii="仿宋" w:hAnsi="仿宋" w:eastAsia="仿宋" w:cs="Times New Roman"/>
          <w:color w:val="auto"/>
          <w:sz w:val="32"/>
          <w:szCs w:val="32"/>
          <w:highlight w:val="none"/>
          <w:lang w:val="en-US" w:eastAsia="zh-CN"/>
        </w:rPr>
        <w:t>生物质锅炉</w:t>
      </w:r>
      <w:r>
        <w:rPr>
          <w:rStyle w:val="17"/>
          <w:rFonts w:hint="eastAsia" w:ascii="仿宋" w:hAnsi="仿宋" w:eastAsia="仿宋" w:cs="Times New Roman"/>
          <w:color w:val="auto"/>
          <w:sz w:val="32"/>
          <w:szCs w:val="32"/>
          <w:highlight w:val="none"/>
          <w:lang w:val="en-US" w:eastAsia="zh-CN"/>
        </w:rPr>
        <w:t>废气经处理后由25米高排气筒排放，执行</w:t>
      </w:r>
      <w:r>
        <w:rPr>
          <w:rStyle w:val="17"/>
          <w:rFonts w:hint="default" w:ascii="仿宋" w:hAnsi="仿宋" w:eastAsia="仿宋" w:cs="Times New Roman"/>
          <w:color w:val="auto"/>
          <w:sz w:val="32"/>
          <w:szCs w:val="32"/>
          <w:highlight w:val="none"/>
          <w:lang w:val="en-US" w:eastAsia="zh-CN"/>
        </w:rPr>
        <w:t>《锅炉大气污染物排放标准</w:t>
      </w:r>
      <w:r>
        <w:rPr>
          <w:rStyle w:val="17"/>
          <w:rFonts w:hint="eastAsia" w:ascii="仿宋" w:hAnsi="仿宋" w:eastAsia="仿宋" w:cs="Times New Roman"/>
          <w:color w:val="auto"/>
          <w:sz w:val="32"/>
          <w:szCs w:val="32"/>
          <w:highlight w:val="none"/>
          <w:lang w:val="en-US" w:eastAsia="zh-CN"/>
        </w:rPr>
        <w:t>》</w:t>
      </w:r>
      <w:r>
        <w:rPr>
          <w:rStyle w:val="17"/>
          <w:rFonts w:hint="default" w:ascii="仿宋" w:hAnsi="仿宋" w:eastAsia="仿宋" w:cs="Times New Roman"/>
          <w:color w:val="auto"/>
          <w:sz w:val="32"/>
          <w:szCs w:val="32"/>
          <w:highlight w:val="none"/>
          <w:lang w:val="en-US" w:eastAsia="zh-CN"/>
        </w:rPr>
        <w:t>（GB13271-20</w:t>
      </w:r>
      <w:r>
        <w:rPr>
          <w:rStyle w:val="17"/>
          <w:rFonts w:hint="eastAsia" w:ascii="仿宋" w:hAnsi="仿宋" w:eastAsia="仿宋" w:cs="Times New Roman"/>
          <w:color w:val="auto"/>
          <w:sz w:val="32"/>
          <w:szCs w:val="32"/>
          <w:highlight w:val="none"/>
          <w:lang w:val="en-US" w:eastAsia="zh-CN"/>
        </w:rPr>
        <w:t>14</w:t>
      </w:r>
      <w:r>
        <w:rPr>
          <w:rStyle w:val="17"/>
          <w:rFonts w:hint="default" w:ascii="仿宋" w:hAnsi="仿宋" w:eastAsia="仿宋" w:cs="Times New Roman"/>
          <w:color w:val="auto"/>
          <w:sz w:val="32"/>
          <w:szCs w:val="32"/>
          <w:highlight w:val="none"/>
          <w:lang w:val="en-US" w:eastAsia="zh-CN"/>
        </w:rPr>
        <w:t>）表2新建锅炉大气污染物排放浓度限值中燃</w:t>
      </w:r>
      <w:r>
        <w:rPr>
          <w:rStyle w:val="17"/>
          <w:rFonts w:hint="eastAsia" w:ascii="仿宋" w:hAnsi="仿宋" w:eastAsia="仿宋" w:cs="Times New Roman"/>
          <w:color w:val="auto"/>
          <w:sz w:val="32"/>
          <w:szCs w:val="32"/>
          <w:highlight w:val="none"/>
          <w:lang w:val="en-US" w:eastAsia="zh-CN"/>
        </w:rPr>
        <w:t>煤</w:t>
      </w:r>
      <w:r>
        <w:rPr>
          <w:rStyle w:val="17"/>
          <w:rFonts w:hint="default" w:ascii="仿宋" w:hAnsi="仿宋" w:eastAsia="仿宋" w:cs="Times New Roman"/>
          <w:color w:val="auto"/>
          <w:sz w:val="32"/>
          <w:szCs w:val="32"/>
          <w:highlight w:val="none"/>
          <w:lang w:val="en-US" w:eastAsia="zh-CN"/>
        </w:rPr>
        <w:t>锅炉浓度限值</w:t>
      </w:r>
      <w:r>
        <w:rPr>
          <w:rStyle w:val="17"/>
          <w:rFonts w:hint="eastAsia" w:ascii="仿宋" w:hAnsi="仿宋" w:eastAsia="仿宋" w:cs="Times New Roman"/>
          <w:color w:val="auto"/>
          <w:sz w:val="32"/>
          <w:szCs w:val="32"/>
          <w:highlight w:val="none"/>
          <w:lang w:val="en-US" w:eastAsia="zh-CN"/>
        </w:rPr>
        <w:t>。项目废气颗粒物、非甲烷总烃无组织排放执行《大气污染物综合排放标准》（GB16297-1996）</w:t>
      </w:r>
      <w:r>
        <w:rPr>
          <w:rStyle w:val="17"/>
          <w:rFonts w:hint="default" w:ascii="仿宋" w:hAnsi="仿宋" w:eastAsia="仿宋" w:cs="Times New Roman"/>
          <w:color w:val="auto"/>
          <w:sz w:val="32"/>
          <w:szCs w:val="32"/>
          <w:highlight w:val="none"/>
          <w:lang w:val="en-US" w:eastAsia="zh-CN"/>
        </w:rPr>
        <w:t>表2</w:t>
      </w:r>
      <w:r>
        <w:rPr>
          <w:rStyle w:val="17"/>
          <w:rFonts w:hint="eastAsia" w:ascii="仿宋" w:hAnsi="仿宋" w:eastAsia="仿宋" w:cs="Times New Roman"/>
          <w:color w:val="auto"/>
          <w:sz w:val="32"/>
          <w:szCs w:val="32"/>
          <w:highlight w:val="none"/>
          <w:lang w:val="en-US" w:eastAsia="zh-CN"/>
        </w:rPr>
        <w:t xml:space="preserve"> 中无组织排放监控浓度限值，NH</w:t>
      </w:r>
      <w:r>
        <w:rPr>
          <w:rStyle w:val="17"/>
          <w:rFonts w:hint="eastAsia" w:ascii="仿宋" w:hAnsi="仿宋" w:eastAsia="仿宋" w:cs="Times New Roman"/>
          <w:color w:val="auto"/>
          <w:sz w:val="18"/>
          <w:szCs w:val="18"/>
          <w:highlight w:val="none"/>
          <w:lang w:val="en-US" w:eastAsia="zh-CN"/>
        </w:rPr>
        <w:t>3</w:t>
      </w:r>
      <w:r>
        <w:rPr>
          <w:rStyle w:val="17"/>
          <w:rFonts w:hint="eastAsia" w:ascii="仿宋" w:hAnsi="仿宋" w:eastAsia="仿宋" w:cs="Times New Roman"/>
          <w:color w:val="auto"/>
          <w:sz w:val="32"/>
          <w:szCs w:val="32"/>
          <w:highlight w:val="none"/>
          <w:lang w:val="en-US" w:eastAsia="zh-CN"/>
        </w:rPr>
        <w:t>、H</w:t>
      </w:r>
      <w:r>
        <w:rPr>
          <w:rStyle w:val="17"/>
          <w:rFonts w:hint="eastAsia" w:ascii="仿宋" w:hAnsi="仿宋" w:eastAsia="仿宋" w:cs="Times New Roman"/>
          <w:color w:val="auto"/>
          <w:sz w:val="18"/>
          <w:szCs w:val="18"/>
          <w:highlight w:val="none"/>
          <w:lang w:val="en-US" w:eastAsia="zh-CN"/>
        </w:rPr>
        <w:t>2</w:t>
      </w:r>
      <w:r>
        <w:rPr>
          <w:rStyle w:val="17"/>
          <w:rFonts w:hint="eastAsia" w:ascii="仿宋" w:hAnsi="仿宋" w:eastAsia="仿宋" w:cs="Times New Roman"/>
          <w:color w:val="auto"/>
          <w:sz w:val="32"/>
          <w:szCs w:val="32"/>
          <w:highlight w:val="none"/>
          <w:lang w:val="en-US" w:eastAsia="zh-CN"/>
        </w:rPr>
        <w:t>S、臭气浓度无组织排放</w:t>
      </w:r>
      <w:r>
        <w:rPr>
          <w:rStyle w:val="17"/>
          <w:rFonts w:hint="default" w:ascii="仿宋" w:hAnsi="仿宋" w:eastAsia="仿宋" w:cs="Times New Roman"/>
          <w:color w:val="auto"/>
          <w:sz w:val="32"/>
          <w:szCs w:val="32"/>
          <w:highlight w:val="none"/>
          <w:lang w:val="en-US" w:eastAsia="zh-CN"/>
        </w:rPr>
        <w:t>执行《恶臭污染物排放标准》（GB14554-93）</w:t>
      </w:r>
      <w:r>
        <w:rPr>
          <w:rStyle w:val="17"/>
          <w:rFonts w:hint="eastAsia" w:ascii="仿宋" w:hAnsi="仿宋" w:eastAsia="仿宋" w:cs="Times New Roman"/>
          <w:color w:val="auto"/>
          <w:sz w:val="32"/>
          <w:szCs w:val="32"/>
          <w:highlight w:val="none"/>
          <w:lang w:val="en-US" w:eastAsia="zh-CN"/>
        </w:rPr>
        <w:t>表1 二级标准限值中新扩改建标准。</w:t>
      </w:r>
    </w:p>
    <w:p>
      <w:pPr>
        <w:keepNext w:val="0"/>
        <w:keepLines w:val="0"/>
        <w:pageBreakBefore w:val="0"/>
        <w:widowControl/>
        <w:numPr>
          <w:ilvl w:val="0"/>
          <w:numId w:val="1"/>
        </w:numPr>
        <w:kinsoku/>
        <w:wordWrap/>
        <w:overflowPunct/>
        <w:topLinePunct w:val="0"/>
        <w:autoSpaceDE/>
        <w:autoSpaceDN/>
        <w:bidi w:val="0"/>
        <w:adjustRightInd/>
        <w:snapToGrid/>
        <w:spacing w:line="580" w:lineRule="exact"/>
        <w:ind w:left="-10" w:leftChars="0" w:firstLine="640" w:firstLineChars="0"/>
        <w:jc w:val="both"/>
        <w:textAlignment w:val="auto"/>
        <w:rPr>
          <w:rStyle w:val="17"/>
          <w:rFonts w:hint="eastAsia" w:ascii="仿宋" w:hAnsi="仿宋" w:eastAsia="仿宋" w:cs="Times New Roman"/>
          <w:color w:val="auto"/>
          <w:sz w:val="32"/>
          <w:szCs w:val="32"/>
          <w:highlight w:val="none"/>
          <w:lang w:val="en-US" w:eastAsia="zh-CN"/>
        </w:rPr>
      </w:pPr>
      <w:r>
        <w:rPr>
          <w:rStyle w:val="17"/>
          <w:rFonts w:hint="default" w:ascii="仿宋" w:hAnsi="仿宋" w:eastAsia="仿宋" w:cs="Times New Roman"/>
          <w:color w:val="auto"/>
          <w:sz w:val="32"/>
          <w:szCs w:val="32"/>
          <w:highlight w:val="none"/>
          <w:lang w:val="en-US" w:eastAsia="zh-CN"/>
        </w:rPr>
        <w:t>运</w:t>
      </w:r>
      <w:r>
        <w:rPr>
          <w:rStyle w:val="17"/>
          <w:rFonts w:hint="eastAsia" w:ascii="仿宋" w:hAnsi="仿宋" w:eastAsia="仿宋" w:cs="Times New Roman"/>
          <w:color w:val="auto"/>
          <w:sz w:val="32"/>
          <w:szCs w:val="32"/>
          <w:highlight w:val="none"/>
          <w:lang w:val="en-US" w:eastAsia="zh-CN"/>
        </w:rPr>
        <w:t>营</w:t>
      </w:r>
      <w:r>
        <w:rPr>
          <w:rStyle w:val="17"/>
          <w:rFonts w:hint="default" w:ascii="仿宋" w:hAnsi="仿宋" w:eastAsia="仿宋" w:cs="Times New Roman"/>
          <w:color w:val="auto"/>
          <w:sz w:val="32"/>
          <w:szCs w:val="32"/>
          <w:highlight w:val="none"/>
          <w:lang w:val="en-US" w:eastAsia="zh-CN"/>
        </w:rPr>
        <w:t>期</w:t>
      </w:r>
      <w:r>
        <w:rPr>
          <w:rStyle w:val="17"/>
          <w:rFonts w:hint="eastAsia" w:ascii="仿宋" w:hAnsi="仿宋" w:eastAsia="仿宋" w:cs="Times New Roman"/>
          <w:color w:val="auto"/>
          <w:sz w:val="32"/>
          <w:szCs w:val="32"/>
          <w:highlight w:val="none"/>
          <w:lang w:val="en-US" w:eastAsia="zh-CN"/>
        </w:rPr>
        <w:t>生产废水和生活污水经厂区污水处理站处理后</w:t>
      </w:r>
      <w:r>
        <w:rPr>
          <w:rStyle w:val="17"/>
          <w:rFonts w:hint="default" w:ascii="仿宋" w:hAnsi="仿宋" w:eastAsia="仿宋" w:cs="Times New Roman"/>
          <w:color w:val="auto"/>
          <w:sz w:val="32"/>
          <w:szCs w:val="32"/>
          <w:highlight w:val="none"/>
          <w:lang w:val="en-US" w:eastAsia="zh-CN"/>
        </w:rPr>
        <w:t>达到《发酵酒精和白酒工业水污染物排放标准》（GB 27631-2011 ）表2</w:t>
      </w:r>
      <w:r>
        <w:rPr>
          <w:rStyle w:val="17"/>
          <w:rFonts w:hint="eastAsia" w:ascii="仿宋" w:hAnsi="仿宋" w:eastAsia="仿宋" w:cs="Times New Roman"/>
          <w:color w:val="auto"/>
          <w:sz w:val="32"/>
          <w:szCs w:val="32"/>
          <w:highlight w:val="none"/>
          <w:lang w:val="en-US" w:eastAsia="zh-CN"/>
        </w:rPr>
        <w:t xml:space="preserve"> </w:t>
      </w:r>
      <w:r>
        <w:rPr>
          <w:rStyle w:val="17"/>
          <w:rFonts w:hint="default" w:ascii="仿宋" w:hAnsi="仿宋" w:eastAsia="仿宋" w:cs="Times New Roman"/>
          <w:color w:val="auto"/>
          <w:sz w:val="32"/>
          <w:szCs w:val="32"/>
          <w:highlight w:val="none"/>
          <w:lang w:val="en-US" w:eastAsia="zh-CN"/>
        </w:rPr>
        <w:t>新建企业水污染物</w:t>
      </w:r>
      <w:r>
        <w:rPr>
          <w:rStyle w:val="17"/>
          <w:rFonts w:hint="eastAsia" w:ascii="仿宋" w:hAnsi="仿宋" w:eastAsia="仿宋" w:cs="Times New Roman"/>
          <w:color w:val="auto"/>
          <w:sz w:val="32"/>
          <w:szCs w:val="32"/>
          <w:highlight w:val="none"/>
          <w:lang w:val="en-US" w:eastAsia="zh-CN"/>
        </w:rPr>
        <w:t>间接</w:t>
      </w:r>
      <w:r>
        <w:rPr>
          <w:rStyle w:val="17"/>
          <w:rFonts w:hint="default" w:ascii="仿宋" w:hAnsi="仿宋" w:eastAsia="仿宋" w:cs="Times New Roman"/>
          <w:color w:val="auto"/>
          <w:sz w:val="32"/>
          <w:szCs w:val="32"/>
          <w:highlight w:val="none"/>
          <w:lang w:val="en-US" w:eastAsia="zh-CN"/>
        </w:rPr>
        <w:t>排放限值</w:t>
      </w:r>
      <w:r>
        <w:rPr>
          <w:rStyle w:val="17"/>
          <w:rFonts w:hint="eastAsia" w:ascii="仿宋" w:hAnsi="仿宋" w:eastAsia="仿宋" w:cs="Times New Roman"/>
          <w:color w:val="auto"/>
          <w:sz w:val="32"/>
          <w:szCs w:val="32"/>
          <w:highlight w:val="none"/>
          <w:lang w:val="en-US" w:eastAsia="zh-CN"/>
        </w:rPr>
        <w:t>后拉运至罕台镇污水处理厂处理。</w:t>
      </w:r>
    </w:p>
    <w:p>
      <w:pPr>
        <w:keepNext w:val="0"/>
        <w:keepLines w:val="0"/>
        <w:pageBreakBefore w:val="0"/>
        <w:widowControl/>
        <w:numPr>
          <w:ilvl w:val="0"/>
          <w:numId w:val="1"/>
        </w:numPr>
        <w:kinsoku/>
        <w:wordWrap/>
        <w:overflowPunct/>
        <w:topLinePunct w:val="0"/>
        <w:autoSpaceDE/>
        <w:autoSpaceDN/>
        <w:bidi w:val="0"/>
        <w:adjustRightInd/>
        <w:snapToGrid/>
        <w:spacing w:line="580" w:lineRule="exact"/>
        <w:ind w:left="-10" w:leftChars="0" w:firstLine="640" w:firstLineChars="0"/>
        <w:jc w:val="both"/>
        <w:textAlignment w:val="auto"/>
        <w:rPr>
          <w:rStyle w:val="17"/>
          <w:rFonts w:hint="eastAsia" w:ascii="仿宋" w:hAnsi="仿宋" w:eastAsia="仿宋"/>
          <w:color w:val="auto"/>
          <w:sz w:val="32"/>
          <w:szCs w:val="32"/>
        </w:rPr>
      </w:pPr>
      <w:r>
        <w:rPr>
          <w:rStyle w:val="17"/>
          <w:rFonts w:hint="eastAsia" w:ascii="仿宋" w:hAnsi="仿宋" w:eastAsia="仿宋"/>
          <w:color w:val="auto"/>
          <w:sz w:val="32"/>
          <w:szCs w:val="32"/>
        </w:rPr>
        <w:t>运营期厂界噪声执行《工业企业厂界环境噪声排放</w:t>
      </w:r>
      <w:r>
        <w:rPr>
          <w:rStyle w:val="17"/>
          <w:rFonts w:hint="eastAsia" w:ascii="仿宋" w:hAnsi="仿宋" w:eastAsia="仿宋"/>
          <w:color w:val="auto"/>
          <w:sz w:val="32"/>
          <w:szCs w:val="32"/>
          <w:lang w:val="en-US" w:eastAsia="zh-CN"/>
        </w:rPr>
        <w:t>标</w:t>
      </w:r>
      <w:r>
        <w:rPr>
          <w:rStyle w:val="17"/>
          <w:rFonts w:hint="eastAsia" w:ascii="仿宋" w:hAnsi="仿宋" w:eastAsia="仿宋"/>
          <w:color w:val="auto"/>
          <w:sz w:val="32"/>
          <w:szCs w:val="32"/>
        </w:rPr>
        <w:t>准》（GB12348-2008）中</w:t>
      </w:r>
      <w:r>
        <w:rPr>
          <w:rStyle w:val="17"/>
          <w:rFonts w:hint="eastAsia" w:ascii="仿宋" w:hAnsi="仿宋" w:eastAsia="仿宋"/>
          <w:color w:val="auto"/>
          <w:sz w:val="32"/>
          <w:szCs w:val="32"/>
          <w:lang w:val="en-US" w:eastAsia="zh-CN"/>
        </w:rPr>
        <w:t>2</w:t>
      </w:r>
      <w:r>
        <w:rPr>
          <w:rStyle w:val="17"/>
          <w:rFonts w:hint="eastAsia" w:ascii="仿宋" w:hAnsi="仿宋" w:eastAsia="仿宋"/>
          <w:color w:val="auto"/>
          <w:sz w:val="32"/>
          <w:szCs w:val="32"/>
        </w:rPr>
        <w:t>类标准。</w:t>
      </w:r>
    </w:p>
    <w:p>
      <w:pPr>
        <w:keepNext w:val="0"/>
        <w:keepLines w:val="0"/>
        <w:pageBreakBefore w:val="0"/>
        <w:widowControl/>
        <w:numPr>
          <w:ilvl w:val="0"/>
          <w:numId w:val="1"/>
        </w:numPr>
        <w:kinsoku/>
        <w:wordWrap/>
        <w:overflowPunct/>
        <w:topLinePunct w:val="0"/>
        <w:autoSpaceDE/>
        <w:autoSpaceDN/>
        <w:bidi w:val="0"/>
        <w:adjustRightInd/>
        <w:snapToGrid/>
        <w:spacing w:line="580" w:lineRule="exact"/>
        <w:ind w:left="-10" w:leftChars="0" w:firstLine="640" w:firstLineChars="200"/>
        <w:jc w:val="both"/>
        <w:textAlignment w:val="auto"/>
        <w:rPr>
          <w:color w:val="auto"/>
        </w:rPr>
      </w:pPr>
      <w:r>
        <w:rPr>
          <w:rFonts w:hint="eastAsia" w:ascii="仿宋" w:hAnsi="仿宋" w:eastAsia="仿宋" w:cs="仿宋"/>
          <w:strike w:val="0"/>
          <w:dstrike w:val="0"/>
          <w:color w:val="auto"/>
          <w:kern w:val="0"/>
          <w:sz w:val="32"/>
          <w:szCs w:val="32"/>
          <w:lang w:val="en-US" w:eastAsia="zh-CN" w:bidi="ar-SA"/>
        </w:rPr>
        <w:t>妥善处置各类固体废弃物。</w:t>
      </w:r>
      <w:r>
        <w:rPr>
          <w:rFonts w:hint="default" w:ascii="仿宋" w:hAnsi="仿宋" w:eastAsia="仿宋" w:cs="仿宋"/>
          <w:strike w:val="0"/>
          <w:dstrike w:val="0"/>
          <w:color w:val="auto"/>
          <w:kern w:val="0"/>
          <w:sz w:val="32"/>
          <w:szCs w:val="32"/>
          <w:lang w:val="en-US" w:eastAsia="zh-CN" w:bidi="ar-SA"/>
        </w:rPr>
        <w:t>酒糟、窖泥</w:t>
      </w:r>
      <w:r>
        <w:rPr>
          <w:rFonts w:hint="eastAsia" w:ascii="仿宋" w:hAnsi="仿宋" w:eastAsia="仿宋" w:cs="仿宋"/>
          <w:strike w:val="0"/>
          <w:dstrike w:val="0"/>
          <w:color w:val="auto"/>
          <w:kern w:val="0"/>
          <w:sz w:val="32"/>
          <w:szCs w:val="32"/>
          <w:lang w:val="en-US" w:eastAsia="zh-CN" w:bidi="ar-SA"/>
        </w:rPr>
        <w:t>、</w:t>
      </w:r>
      <w:r>
        <w:rPr>
          <w:rFonts w:hint="default" w:ascii="仿宋" w:hAnsi="仿宋" w:eastAsia="仿宋" w:cs="仿宋"/>
          <w:strike w:val="0"/>
          <w:dstrike w:val="0"/>
          <w:color w:val="auto"/>
          <w:kern w:val="0"/>
          <w:sz w:val="32"/>
          <w:szCs w:val="32"/>
          <w:lang w:val="en-US" w:eastAsia="zh-CN" w:bidi="ar-SA"/>
        </w:rPr>
        <w:t>污水处理站污泥</w:t>
      </w:r>
      <w:r>
        <w:rPr>
          <w:rFonts w:hint="eastAsia" w:ascii="仿宋" w:hAnsi="仿宋" w:eastAsia="仿宋" w:cs="仿宋"/>
          <w:strike w:val="0"/>
          <w:dstrike w:val="0"/>
          <w:color w:val="auto"/>
          <w:kern w:val="0"/>
          <w:sz w:val="32"/>
          <w:szCs w:val="32"/>
          <w:lang w:val="en-US" w:eastAsia="zh-CN" w:bidi="ar-SA"/>
        </w:rPr>
        <w:t>、</w:t>
      </w:r>
      <w:r>
        <w:rPr>
          <w:rFonts w:hint="default" w:ascii="仿宋" w:hAnsi="仿宋" w:eastAsia="仿宋" w:cs="仿宋"/>
          <w:strike w:val="0"/>
          <w:dstrike w:val="0"/>
          <w:color w:val="auto"/>
          <w:kern w:val="0"/>
          <w:sz w:val="32"/>
          <w:szCs w:val="32"/>
          <w:lang w:val="en-US" w:eastAsia="zh-CN" w:bidi="ar-SA"/>
        </w:rPr>
        <w:t>锅炉灰渣外售综合利用</w:t>
      </w:r>
      <w:r>
        <w:rPr>
          <w:rFonts w:hint="eastAsia" w:ascii="仿宋" w:hAnsi="仿宋" w:eastAsia="仿宋" w:cs="仿宋"/>
          <w:strike w:val="0"/>
          <w:dstrike w:val="0"/>
          <w:color w:val="auto"/>
          <w:kern w:val="0"/>
          <w:sz w:val="32"/>
          <w:szCs w:val="32"/>
          <w:lang w:val="en-US" w:eastAsia="zh-CN" w:bidi="ar-SA"/>
        </w:rPr>
        <w:t>;废</w:t>
      </w:r>
      <w:r>
        <w:rPr>
          <w:rFonts w:hint="default" w:ascii="仿宋" w:hAnsi="仿宋" w:eastAsia="仿宋" w:cs="仿宋"/>
          <w:strike w:val="0"/>
          <w:dstrike w:val="0"/>
          <w:color w:val="auto"/>
          <w:kern w:val="0"/>
          <w:sz w:val="32"/>
          <w:szCs w:val="32"/>
          <w:lang w:val="en-US" w:eastAsia="zh-CN" w:bidi="ar-SA"/>
        </w:rPr>
        <w:t>离子交换树脂</w:t>
      </w:r>
      <w:r>
        <w:rPr>
          <w:rFonts w:hint="eastAsia" w:ascii="仿宋" w:hAnsi="仿宋" w:eastAsia="仿宋" w:cs="仿宋"/>
          <w:strike w:val="0"/>
          <w:dstrike w:val="0"/>
          <w:color w:val="auto"/>
          <w:kern w:val="0"/>
          <w:sz w:val="32"/>
          <w:szCs w:val="32"/>
          <w:lang w:val="en-US" w:eastAsia="zh-CN" w:bidi="ar-SA"/>
        </w:rPr>
        <w:t>、</w:t>
      </w:r>
      <w:r>
        <w:rPr>
          <w:rFonts w:hint="default" w:ascii="仿宋" w:hAnsi="仿宋" w:eastAsia="仿宋" w:cs="仿宋"/>
          <w:strike w:val="0"/>
          <w:dstrike w:val="0"/>
          <w:color w:val="auto"/>
          <w:kern w:val="0"/>
          <w:sz w:val="32"/>
          <w:szCs w:val="32"/>
          <w:lang w:val="en-US" w:eastAsia="zh-CN" w:bidi="ar-SA"/>
        </w:rPr>
        <w:t>废过滤器由厂家回收处理</w:t>
      </w:r>
      <w:r>
        <w:rPr>
          <w:rFonts w:hint="eastAsia" w:ascii="仿宋" w:hAnsi="仿宋" w:eastAsia="仿宋" w:cs="仿宋"/>
          <w:strike w:val="0"/>
          <w:dstrike w:val="0"/>
          <w:color w:val="auto"/>
          <w:kern w:val="0"/>
          <w:sz w:val="32"/>
          <w:szCs w:val="32"/>
          <w:lang w:val="en-US" w:eastAsia="zh-CN" w:bidi="ar-SA"/>
        </w:rPr>
        <w:t>；</w:t>
      </w:r>
      <w:r>
        <w:rPr>
          <w:rFonts w:hint="default" w:ascii="仿宋" w:hAnsi="仿宋" w:eastAsia="仿宋" w:cs="仿宋"/>
          <w:strike w:val="0"/>
          <w:dstrike w:val="0"/>
          <w:color w:val="auto"/>
          <w:kern w:val="0"/>
          <w:sz w:val="32"/>
          <w:szCs w:val="32"/>
          <w:lang w:val="en-US" w:eastAsia="zh-CN" w:bidi="ar-SA"/>
        </w:rPr>
        <w:t>碎酒瓶集中收集后拉运至垃圾填埋场填埋处理</w:t>
      </w:r>
      <w:r>
        <w:rPr>
          <w:rFonts w:hint="eastAsia" w:ascii="仿宋" w:hAnsi="仿宋" w:eastAsia="仿宋" w:cs="仿宋"/>
          <w:strike w:val="0"/>
          <w:dstrike w:val="0"/>
          <w:color w:val="auto"/>
          <w:kern w:val="0"/>
          <w:sz w:val="32"/>
          <w:szCs w:val="32"/>
          <w:lang w:val="en-US" w:eastAsia="zh-CN" w:bidi="ar-SA"/>
        </w:rPr>
        <w:t>。</w:t>
      </w:r>
      <w:r>
        <w:rPr>
          <w:rStyle w:val="17"/>
          <w:rFonts w:hint="eastAsia" w:ascii="仿宋" w:hAnsi="仿宋" w:eastAsia="仿宋" w:cs="Times New Roman"/>
          <w:color w:val="auto"/>
          <w:sz w:val="32"/>
          <w:szCs w:val="32"/>
          <w:highlight w:val="none"/>
          <w:lang w:val="en-US" w:eastAsia="zh-CN"/>
        </w:rPr>
        <w:t>废活性炭和实验室废液暂存于危废暂存间，定期交由有资质单位处置。</w:t>
      </w:r>
      <w:r>
        <w:rPr>
          <w:rFonts w:hint="eastAsia" w:ascii="仿宋" w:hAnsi="仿宋" w:eastAsia="仿宋" w:cs="仿宋"/>
          <w:strike w:val="0"/>
          <w:dstrike w:val="0"/>
          <w:color w:val="auto"/>
          <w:kern w:val="0"/>
          <w:sz w:val="32"/>
          <w:szCs w:val="32"/>
          <w:lang w:val="en-US" w:eastAsia="zh-CN" w:bidi="ar-SA"/>
        </w:rPr>
        <w:t>建设单位须严格按照《一般工业固体废物贮存和填埋污染控制标准》（GB18599-2020）处置一般固废，不得乱弃。</w:t>
      </w:r>
      <w:r>
        <w:rPr>
          <w:rFonts w:hint="default" w:ascii="仿宋" w:hAnsi="仿宋" w:eastAsia="仿宋" w:cs="仿宋"/>
          <w:color w:val="auto"/>
          <w:sz w:val="32"/>
          <w:szCs w:val="32"/>
          <w:lang w:val="en-US"/>
        </w:rPr>
        <w:t>危废暂存</w:t>
      </w:r>
      <w:r>
        <w:rPr>
          <w:rFonts w:hint="eastAsia" w:ascii="仿宋" w:hAnsi="仿宋" w:eastAsia="仿宋" w:cs="仿宋"/>
          <w:color w:val="auto"/>
          <w:sz w:val="32"/>
          <w:szCs w:val="32"/>
          <w:lang w:val="en-US" w:eastAsia="zh-CN"/>
        </w:rPr>
        <w:t>间</w:t>
      </w:r>
      <w:r>
        <w:rPr>
          <w:rFonts w:hint="default" w:ascii="仿宋" w:hAnsi="仿宋" w:eastAsia="仿宋" w:cs="仿宋"/>
          <w:color w:val="auto"/>
          <w:sz w:val="32"/>
          <w:szCs w:val="32"/>
          <w:lang w:val="en-US"/>
        </w:rPr>
        <w:t>须严格按照《危险废物贮存污染控制标准》（GB18597-2001）及其修改单要求进行设计、建设和管理。</w:t>
      </w:r>
      <w:r>
        <w:rPr>
          <w:rFonts w:hint="eastAsia" w:ascii="仿宋" w:hAnsi="仿宋" w:eastAsia="仿宋" w:cs="仿宋"/>
          <w:strike w:val="0"/>
          <w:dstrike w:val="0"/>
          <w:color w:val="auto"/>
          <w:kern w:val="0"/>
          <w:sz w:val="32"/>
          <w:szCs w:val="32"/>
          <w:lang w:val="en-US" w:eastAsia="zh-CN" w:bidi="ar-SA"/>
        </w:rPr>
        <w:t>危险废物收集和运输等均按照《危险废物收集 贮存 运输技术规范》(HJ2025-2012)要求执行。</w:t>
      </w:r>
      <w:r>
        <w:rPr>
          <w:rFonts w:hint="eastAsia" w:ascii="仿宋" w:hAnsi="仿宋" w:eastAsia="仿宋" w:cs="仿宋"/>
          <w:color w:val="auto"/>
          <w:sz w:val="32"/>
          <w:szCs w:val="32"/>
        </w:rPr>
        <w:t>危废必须由有资质单位处置。</w:t>
      </w:r>
      <w:r>
        <w:rPr>
          <w:rStyle w:val="17"/>
          <w:rFonts w:hint="eastAsia" w:ascii="仿宋" w:hAnsi="仿宋" w:eastAsia="仿宋"/>
          <w:color w:val="auto"/>
          <w:sz w:val="32"/>
          <w:szCs w:val="32"/>
          <w:lang w:val="en-US" w:eastAsia="zh-CN"/>
        </w:rPr>
        <w:t>非正常情况下泄露的危险废物及冲洗水进入</w:t>
      </w:r>
      <w:r>
        <w:rPr>
          <w:rStyle w:val="17"/>
          <w:rFonts w:hint="default" w:ascii="仿宋" w:hAnsi="仿宋" w:eastAsia="仿宋"/>
          <w:color w:val="auto"/>
          <w:sz w:val="32"/>
          <w:szCs w:val="32"/>
          <w:lang w:val="en-US" w:eastAsia="zh-CN"/>
        </w:rPr>
        <w:t>应急事故池</w:t>
      </w:r>
      <w:r>
        <w:rPr>
          <w:rStyle w:val="17"/>
          <w:rFonts w:hint="eastAsia" w:ascii="仿宋" w:hAnsi="仿宋" w:eastAsia="仿宋"/>
          <w:color w:val="auto"/>
          <w:sz w:val="32"/>
          <w:szCs w:val="32"/>
          <w:lang w:val="en-US" w:eastAsia="zh-CN"/>
        </w:rPr>
        <w:t>中，收集后交由有资质单位处置。</w:t>
      </w:r>
    </w:p>
    <w:p>
      <w:pPr>
        <w:keepNext w:val="0"/>
        <w:keepLines w:val="0"/>
        <w:pageBreakBefore w:val="0"/>
        <w:widowControl/>
        <w:numPr>
          <w:ilvl w:val="0"/>
          <w:numId w:val="1"/>
        </w:numPr>
        <w:kinsoku/>
        <w:wordWrap/>
        <w:overflowPunct/>
        <w:topLinePunct w:val="0"/>
        <w:autoSpaceDE/>
        <w:autoSpaceDN/>
        <w:bidi w:val="0"/>
        <w:adjustRightInd/>
        <w:snapToGrid/>
        <w:spacing w:line="580" w:lineRule="exact"/>
        <w:ind w:left="-10" w:leftChars="0" w:firstLine="640" w:firstLineChars="200"/>
        <w:jc w:val="both"/>
        <w:textAlignment w:val="auto"/>
        <w:rPr>
          <w:rFonts w:hint="eastAsia" w:ascii="Times New Roman" w:hAnsi="Times New Roman" w:eastAsia="宋体" w:cs="Times New Roman"/>
          <w:color w:val="auto"/>
          <w:sz w:val="24"/>
          <w:highlight w:val="none"/>
          <w:lang w:val="en-US" w:eastAsia="zh-CN"/>
        </w:rPr>
      </w:pPr>
      <w:r>
        <w:rPr>
          <w:rStyle w:val="17"/>
          <w:rFonts w:hint="eastAsia" w:ascii="仿宋" w:hAnsi="仿宋" w:eastAsia="仿宋"/>
          <w:color w:val="auto"/>
          <w:sz w:val="32"/>
          <w:szCs w:val="32"/>
          <w:lang w:val="en-US" w:eastAsia="zh-CN"/>
        </w:rPr>
        <w:t>地面须按相关要求做好防渗措施，确保不会对地下水造成影响。</w:t>
      </w:r>
    </w:p>
    <w:p>
      <w:pPr>
        <w:pStyle w:val="2"/>
        <w:keepNext w:val="0"/>
        <w:keepLines w:val="0"/>
        <w:pageBreakBefore w:val="0"/>
        <w:widowControl/>
        <w:numPr>
          <w:ilvl w:val="0"/>
          <w:numId w:val="1"/>
        </w:numPr>
        <w:kinsoku/>
        <w:wordWrap/>
        <w:overflowPunct/>
        <w:topLinePunct w:val="0"/>
        <w:autoSpaceDE/>
        <w:autoSpaceDN/>
        <w:bidi w:val="0"/>
        <w:adjustRightInd/>
        <w:snapToGrid/>
        <w:spacing w:line="580" w:lineRule="exact"/>
        <w:ind w:left="-10" w:leftChars="0" w:firstLine="640" w:firstLineChars="0"/>
        <w:jc w:val="both"/>
      </w:pPr>
      <w:r>
        <w:rPr>
          <w:rFonts w:hint="eastAsia" w:ascii="仿宋" w:hAnsi="仿宋" w:eastAsia="仿宋" w:cs="仿宋"/>
          <w:strike w:val="0"/>
          <w:dstrike w:val="0"/>
          <w:color w:val="auto"/>
          <w:kern w:val="0"/>
          <w:sz w:val="32"/>
          <w:szCs w:val="32"/>
          <w:lang w:val="en-US" w:eastAsia="zh-CN" w:bidi="ar-SA"/>
        </w:rPr>
        <w:t>强化环境风险防范，制定突发环境事件应急预案，落实环境风险事故防范措施，提高事故风险防范和污染控制能力。</w:t>
      </w:r>
    </w:p>
    <w:p>
      <w:pPr>
        <w:pStyle w:val="2"/>
        <w:keepNext w:val="0"/>
        <w:keepLines w:val="0"/>
        <w:pageBreakBefore w:val="0"/>
        <w:widowControl/>
        <w:numPr>
          <w:ilvl w:val="0"/>
          <w:numId w:val="1"/>
        </w:numPr>
        <w:kinsoku/>
        <w:wordWrap/>
        <w:overflowPunct/>
        <w:topLinePunct w:val="0"/>
        <w:autoSpaceDE/>
        <w:autoSpaceDN/>
        <w:bidi w:val="0"/>
        <w:adjustRightInd/>
        <w:snapToGrid/>
        <w:spacing w:line="580" w:lineRule="exact"/>
        <w:ind w:left="-10" w:leftChars="0" w:firstLine="640" w:firstLineChars="0"/>
        <w:jc w:val="both"/>
        <w:rPr>
          <w:rStyle w:val="17"/>
          <w:rFonts w:ascii="仿宋" w:hAnsi="仿宋" w:eastAsia="仿宋"/>
          <w:color w:val="auto"/>
          <w:sz w:val="32"/>
          <w:szCs w:val="32"/>
        </w:rPr>
      </w:pPr>
      <w:r>
        <w:rPr>
          <w:rFonts w:hint="eastAsia" w:ascii="仿宋" w:hAnsi="仿宋" w:eastAsia="仿宋" w:cs="仿宋"/>
          <w:strike w:val="0"/>
          <w:dstrike w:val="0"/>
          <w:color w:val="auto"/>
          <w:kern w:val="0"/>
          <w:sz w:val="32"/>
          <w:szCs w:val="32"/>
          <w:lang w:val="en-US" w:eastAsia="zh-CN" w:bidi="ar-SA"/>
        </w:rPr>
        <w:t>按照《排污口规范化整治技术要求》（环监〔1996〕470号）规范设置排污口。</w:t>
      </w:r>
    </w:p>
    <w:p>
      <w:pPr>
        <w:pStyle w:val="2"/>
        <w:keepNext w:val="0"/>
        <w:keepLines w:val="0"/>
        <w:pageBreakBefore w:val="0"/>
        <w:widowControl/>
        <w:numPr>
          <w:ilvl w:val="0"/>
          <w:numId w:val="1"/>
        </w:numPr>
        <w:kinsoku/>
        <w:wordWrap/>
        <w:overflowPunct/>
        <w:topLinePunct w:val="0"/>
        <w:autoSpaceDE/>
        <w:autoSpaceDN/>
        <w:bidi w:val="0"/>
        <w:adjustRightInd/>
        <w:snapToGrid/>
        <w:spacing w:line="580" w:lineRule="exact"/>
        <w:ind w:left="-10" w:leftChars="0" w:firstLine="640" w:firstLineChars="0"/>
        <w:jc w:val="both"/>
        <w:rPr>
          <w:rStyle w:val="17"/>
          <w:rFonts w:ascii="仿宋" w:hAnsi="仿宋" w:eastAsia="仿宋"/>
          <w:color w:val="auto"/>
          <w:sz w:val="32"/>
          <w:szCs w:val="32"/>
        </w:rPr>
      </w:pPr>
      <w:r>
        <w:rPr>
          <w:rStyle w:val="17"/>
          <w:rFonts w:hint="eastAsia" w:ascii="仿宋" w:hAnsi="仿宋" w:eastAsia="仿宋"/>
          <w:color w:val="auto"/>
          <w:sz w:val="32"/>
          <w:szCs w:val="32"/>
          <w:lang w:val="en-US" w:eastAsia="zh-CN"/>
        </w:rPr>
        <w:t>你单位应委托有相应资质的设计单位对建设项目重点环保设施进行设计，并在项目施工及运行过程中严格落实环保设施安全生产工作要求。</w:t>
      </w:r>
    </w:p>
    <w:p>
      <w:pPr>
        <w:pStyle w:val="2"/>
        <w:keepNext w:val="0"/>
        <w:keepLines w:val="0"/>
        <w:pageBreakBefore w:val="0"/>
        <w:widowControl/>
        <w:numPr>
          <w:ilvl w:val="0"/>
          <w:numId w:val="1"/>
        </w:numPr>
        <w:kinsoku/>
        <w:wordWrap/>
        <w:overflowPunct/>
        <w:topLinePunct w:val="0"/>
        <w:autoSpaceDE/>
        <w:autoSpaceDN/>
        <w:bidi w:val="0"/>
        <w:adjustRightInd/>
        <w:snapToGrid/>
        <w:spacing w:line="580" w:lineRule="exact"/>
        <w:ind w:left="-10" w:leftChars="0" w:firstLine="640" w:firstLineChars="0"/>
        <w:jc w:val="both"/>
        <w:rPr>
          <w:rStyle w:val="17"/>
          <w:rFonts w:ascii="仿宋" w:hAnsi="仿宋" w:eastAsia="仿宋"/>
          <w:color w:val="auto"/>
          <w:sz w:val="32"/>
          <w:szCs w:val="32"/>
        </w:rPr>
      </w:pPr>
      <w:r>
        <w:rPr>
          <w:rStyle w:val="17"/>
          <w:rFonts w:hint="eastAsia" w:ascii="仿宋" w:hAnsi="仿宋" w:eastAsia="仿宋"/>
          <w:color w:val="auto"/>
          <w:sz w:val="32"/>
          <w:szCs w:val="32"/>
        </w:rPr>
        <w:t>你单位在该项目环保申报过程中如有瞒报、假报情形，则是严重的违法行为，须承担因此产生的一切后果。</w:t>
      </w:r>
    </w:p>
    <w:p>
      <w:pPr>
        <w:pStyle w:val="2"/>
        <w:keepNext w:val="0"/>
        <w:keepLines w:val="0"/>
        <w:pageBreakBefore w:val="0"/>
        <w:widowControl/>
        <w:numPr>
          <w:ilvl w:val="0"/>
          <w:numId w:val="1"/>
        </w:numPr>
        <w:kinsoku/>
        <w:wordWrap/>
        <w:overflowPunct/>
        <w:topLinePunct w:val="0"/>
        <w:autoSpaceDE/>
        <w:autoSpaceDN/>
        <w:bidi w:val="0"/>
        <w:adjustRightInd/>
        <w:snapToGrid/>
        <w:spacing w:line="580" w:lineRule="exact"/>
        <w:ind w:left="-10" w:leftChars="0" w:firstLine="640" w:firstLineChars="0"/>
        <w:jc w:val="both"/>
        <w:rPr>
          <w:rStyle w:val="17"/>
          <w:rFonts w:ascii="仿宋" w:hAnsi="仿宋" w:eastAsia="仿宋"/>
          <w:color w:val="auto"/>
          <w:sz w:val="32"/>
          <w:szCs w:val="32"/>
        </w:rPr>
      </w:pPr>
      <w:r>
        <w:rPr>
          <w:rStyle w:val="17"/>
          <w:rFonts w:hint="eastAsia" w:ascii="仿宋" w:hAnsi="仿宋" w:eastAsia="仿宋"/>
          <w:color w:val="auto"/>
          <w:sz w:val="32"/>
          <w:szCs w:val="32"/>
        </w:rPr>
        <w:t>项目建设必须严格执行环境保护“三同时”制度。项目竣工后，须按照规定程序实施竣工环境保护验收。</w:t>
      </w:r>
    </w:p>
    <w:p>
      <w:pPr>
        <w:pStyle w:val="2"/>
        <w:keepNext w:val="0"/>
        <w:keepLines w:val="0"/>
        <w:pageBreakBefore w:val="0"/>
        <w:widowControl/>
        <w:numPr>
          <w:ilvl w:val="0"/>
          <w:numId w:val="1"/>
        </w:numPr>
        <w:kinsoku/>
        <w:wordWrap/>
        <w:overflowPunct/>
        <w:topLinePunct w:val="0"/>
        <w:autoSpaceDE/>
        <w:autoSpaceDN/>
        <w:bidi w:val="0"/>
        <w:adjustRightInd/>
        <w:snapToGrid/>
        <w:spacing w:line="580" w:lineRule="exact"/>
        <w:ind w:left="-10" w:leftChars="0" w:firstLine="640" w:firstLineChars="0"/>
        <w:jc w:val="both"/>
        <w:rPr>
          <w:rStyle w:val="17"/>
          <w:rFonts w:ascii="仿宋" w:hAnsi="仿宋" w:eastAsia="仿宋"/>
          <w:color w:val="auto"/>
          <w:sz w:val="32"/>
          <w:szCs w:val="32"/>
        </w:rPr>
      </w:pPr>
      <w:r>
        <w:rPr>
          <w:rStyle w:val="17"/>
          <w:rFonts w:eastAsia="仿宋"/>
          <w:color w:val="auto"/>
          <w:sz w:val="32"/>
          <w:szCs w:val="32"/>
        </w:rPr>
        <w:t>你</w:t>
      </w:r>
      <w:r>
        <w:rPr>
          <w:rStyle w:val="17"/>
          <w:rFonts w:hint="eastAsia" w:eastAsia="仿宋"/>
          <w:color w:val="auto"/>
          <w:sz w:val="32"/>
          <w:szCs w:val="32"/>
        </w:rPr>
        <w:t>单位</w:t>
      </w:r>
      <w:r>
        <w:rPr>
          <w:rStyle w:val="17"/>
          <w:rFonts w:eastAsia="仿宋"/>
          <w:color w:val="auto"/>
          <w:sz w:val="32"/>
          <w:szCs w:val="32"/>
        </w:rPr>
        <w:t>应在收到本批复20日内，将《报告表》（报批版）及批复文件送至鄂尔多斯市生态环境综合行政执法支队东胜区大队，由鄂尔多斯市生态环境综合行政执法支队东胜区大队负责</w:t>
      </w:r>
      <w:r>
        <w:rPr>
          <w:rStyle w:val="17"/>
          <w:rFonts w:hint="eastAsia" w:eastAsia="仿宋"/>
          <w:color w:val="auto"/>
          <w:sz w:val="32"/>
          <w:szCs w:val="32"/>
        </w:rPr>
        <w:t>该项目的</w:t>
      </w:r>
      <w:r>
        <w:rPr>
          <w:rStyle w:val="17"/>
          <w:rFonts w:eastAsia="仿宋"/>
          <w:color w:val="auto"/>
          <w:sz w:val="32"/>
          <w:szCs w:val="32"/>
        </w:rPr>
        <w:t>事中事后监管</w:t>
      </w:r>
      <w:r>
        <w:rPr>
          <w:rFonts w:eastAsia="仿宋"/>
          <w:color w:val="auto"/>
          <w:sz w:val="32"/>
          <w:szCs w:val="32"/>
        </w:rPr>
        <w:t>。</w:t>
      </w:r>
      <w:r>
        <w:rPr>
          <w:rStyle w:val="17"/>
          <w:rFonts w:ascii="仿宋" w:hAnsi="仿宋" w:eastAsia="仿宋"/>
          <w:color w:val="auto"/>
          <w:sz w:val="32"/>
          <w:szCs w:val="32"/>
        </w:rPr>
        <w:t xml:space="preserve">                                                                                                 </w:t>
      </w:r>
    </w:p>
    <w:p>
      <w:pPr>
        <w:pStyle w:val="2"/>
        <w:keepNext w:val="0"/>
        <w:keepLines w:val="0"/>
        <w:pageBreakBefore w:val="0"/>
        <w:widowControl/>
        <w:numPr>
          <w:ilvl w:val="0"/>
          <w:numId w:val="1"/>
        </w:numPr>
        <w:kinsoku/>
        <w:wordWrap/>
        <w:overflowPunct/>
        <w:topLinePunct w:val="0"/>
        <w:autoSpaceDE/>
        <w:autoSpaceDN/>
        <w:bidi w:val="0"/>
        <w:adjustRightInd/>
        <w:snapToGrid/>
        <w:spacing w:line="580" w:lineRule="exact"/>
        <w:ind w:left="-10" w:leftChars="0" w:firstLine="640" w:firstLineChars="0"/>
        <w:jc w:val="both"/>
        <w:rPr>
          <w:rStyle w:val="17"/>
          <w:rFonts w:ascii="仿宋" w:hAnsi="仿宋" w:eastAsia="仿宋"/>
          <w:color w:val="auto"/>
          <w:sz w:val="32"/>
          <w:szCs w:val="32"/>
        </w:rPr>
      </w:pPr>
      <w:r>
        <w:rPr>
          <w:rStyle w:val="17"/>
          <w:rFonts w:hint="eastAsia" w:ascii="仿宋" w:hAnsi="仿宋" w:eastAsia="仿宋"/>
          <w:color w:val="auto"/>
          <w:sz w:val="32"/>
          <w:szCs w:val="32"/>
        </w:rPr>
        <w:t>该项目从批准之日起超过</w:t>
      </w:r>
      <w:r>
        <w:rPr>
          <w:rStyle w:val="17"/>
          <w:rFonts w:ascii="仿宋" w:hAnsi="仿宋" w:eastAsia="仿宋"/>
          <w:color w:val="auto"/>
          <w:sz w:val="32"/>
          <w:szCs w:val="32"/>
        </w:rPr>
        <w:t>5</w:t>
      </w:r>
      <w:r>
        <w:rPr>
          <w:rStyle w:val="17"/>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p>
    <w:p/>
    <w:p>
      <w:pPr>
        <w:pStyle w:val="2"/>
      </w:pPr>
    </w:p>
    <w:p>
      <w:pPr>
        <w:keepNext w:val="0"/>
        <w:keepLines w:val="0"/>
        <w:pageBreakBefore w:val="0"/>
        <w:widowControl/>
        <w:kinsoku/>
        <w:wordWrap/>
        <w:overflowPunct/>
        <w:topLinePunct w:val="0"/>
        <w:autoSpaceDE/>
        <w:autoSpaceDN/>
        <w:bidi w:val="0"/>
        <w:spacing w:line="580" w:lineRule="exact"/>
        <w:ind w:firstLine="3840" w:firstLineChars="1200"/>
        <w:textAlignment w:val="auto"/>
        <w:rPr>
          <w:rStyle w:val="17"/>
          <w:rFonts w:ascii="仿宋" w:hAnsi="仿宋" w:eastAsia="仿宋"/>
          <w:color w:val="auto"/>
          <w:sz w:val="32"/>
          <w:szCs w:val="32"/>
        </w:rPr>
      </w:pPr>
      <w:r>
        <w:rPr>
          <w:rStyle w:val="17"/>
          <w:rFonts w:hint="eastAsia" w:ascii="仿宋" w:hAnsi="仿宋" w:eastAsia="仿宋"/>
          <w:color w:val="auto"/>
          <w:sz w:val="32"/>
          <w:szCs w:val="32"/>
        </w:rPr>
        <w:t>鄂尔多斯市生态环境局东胜区分局</w:t>
      </w:r>
    </w:p>
    <w:p>
      <w:pPr>
        <w:keepNext w:val="0"/>
        <w:keepLines w:val="0"/>
        <w:pageBreakBefore w:val="0"/>
        <w:widowControl/>
        <w:kinsoku/>
        <w:wordWrap/>
        <w:overflowPunct/>
        <w:topLinePunct w:val="0"/>
        <w:autoSpaceDE/>
        <w:autoSpaceDN/>
        <w:bidi w:val="0"/>
        <w:spacing w:line="580" w:lineRule="exact"/>
        <w:ind w:firstLine="640" w:firstLineChars="200"/>
        <w:textAlignment w:val="auto"/>
        <w:rPr>
          <w:rStyle w:val="17"/>
          <w:rFonts w:ascii="仿宋" w:hAnsi="仿宋" w:eastAsia="仿宋"/>
          <w:color w:val="auto"/>
          <w:sz w:val="32"/>
          <w:szCs w:val="32"/>
        </w:rPr>
      </w:pPr>
      <w:r>
        <w:rPr>
          <w:rStyle w:val="17"/>
          <w:rFonts w:ascii="仿宋" w:hAnsi="仿宋" w:eastAsia="仿宋"/>
          <w:color w:val="auto"/>
          <w:sz w:val="32"/>
          <w:szCs w:val="32"/>
        </w:rPr>
        <w:t xml:space="preserve">                           202</w:t>
      </w:r>
      <w:r>
        <w:rPr>
          <w:rStyle w:val="17"/>
          <w:rFonts w:hint="eastAsia" w:ascii="仿宋" w:hAnsi="仿宋" w:eastAsia="仿宋"/>
          <w:color w:val="auto"/>
          <w:sz w:val="32"/>
          <w:szCs w:val="32"/>
          <w:lang w:val="en-US" w:eastAsia="zh-CN"/>
        </w:rPr>
        <w:t>3</w:t>
      </w:r>
      <w:r>
        <w:rPr>
          <w:rStyle w:val="17"/>
          <w:rFonts w:hint="eastAsia" w:ascii="仿宋" w:hAnsi="仿宋" w:eastAsia="仿宋"/>
          <w:color w:val="auto"/>
          <w:sz w:val="32"/>
          <w:szCs w:val="32"/>
        </w:rPr>
        <w:t>年</w:t>
      </w:r>
      <w:r>
        <w:rPr>
          <w:rStyle w:val="17"/>
          <w:rFonts w:hint="eastAsia" w:ascii="仿宋" w:hAnsi="仿宋" w:eastAsia="仿宋"/>
          <w:color w:val="auto"/>
          <w:sz w:val="32"/>
          <w:szCs w:val="32"/>
          <w:lang w:val="en-US" w:eastAsia="zh-CN"/>
        </w:rPr>
        <w:t>3</w:t>
      </w:r>
      <w:r>
        <w:rPr>
          <w:rStyle w:val="17"/>
          <w:rFonts w:hint="eastAsia" w:ascii="仿宋" w:hAnsi="仿宋" w:eastAsia="仿宋"/>
          <w:color w:val="auto"/>
          <w:sz w:val="32"/>
          <w:szCs w:val="32"/>
        </w:rPr>
        <w:t>月</w:t>
      </w:r>
      <w:r>
        <w:rPr>
          <w:rStyle w:val="17"/>
          <w:rFonts w:hint="eastAsia" w:ascii="仿宋" w:hAnsi="仿宋" w:eastAsia="仿宋"/>
          <w:color w:val="auto"/>
          <w:sz w:val="32"/>
          <w:szCs w:val="32"/>
          <w:lang w:val="en-US" w:eastAsia="zh-CN"/>
        </w:rPr>
        <w:t>2</w:t>
      </w:r>
      <w:r>
        <w:rPr>
          <w:rStyle w:val="17"/>
          <w:rFonts w:hint="eastAsia" w:ascii="仿宋" w:hAnsi="仿宋" w:eastAsia="仿宋"/>
          <w:color w:val="auto"/>
          <w:sz w:val="32"/>
          <w:szCs w:val="32"/>
        </w:rPr>
        <w:t>日</w:t>
      </w:r>
      <w:r>
        <w:rPr>
          <w:rStyle w:val="17"/>
          <w:rFonts w:ascii="仿宋" w:hAnsi="仿宋" w:eastAsia="仿宋"/>
          <w:color w:val="auto"/>
          <w:sz w:val="32"/>
          <w:szCs w:val="32"/>
        </w:rPr>
        <w:t xml:space="preserve">  </w:t>
      </w:r>
    </w:p>
    <w:p>
      <w:pPr>
        <w:pStyle w:val="2"/>
      </w:pPr>
    </w:p>
    <w:p>
      <w:pPr>
        <w:pStyle w:val="2"/>
      </w:pPr>
    </w:p>
    <w:p/>
    <w:p>
      <w:pPr>
        <w:spacing w:line="560" w:lineRule="exact"/>
        <w:ind w:right="168" w:firstLine="210" w:firstLineChars="100"/>
        <w:rPr>
          <w:rStyle w:val="17"/>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Gw6KdUAAAAHAQAADwAAAAAAAAAB&#10;ACAAAAAiAAAAZHJzL2Rvd25yZXYueG1sUEsBAhQAFAAAAAgAh07iQGRiDDraAQAAqAMAAA4AAAAA&#10;AAAAAQAgAAAAJAEAAGRycy9lMm9Eb2MueG1sUEsFBgAAAAAGAAYAWQEAAHAFAAAAAA==&#10;">
                <v:fill on="f" focussize="0,0"/>
                <v:stroke color="#000000" joinstyle="miter"/>
                <v:imagedata o:title=""/>
                <o:lock v:ext="edit" aspectratio="f"/>
              </v:line>
            </w:pict>
          </mc:Fallback>
        </mc:AlternateContent>
      </w:r>
      <w:r>
        <w:rPr>
          <w:rStyle w:val="17"/>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Om5JUrWAAAABwEAAA8AAAAAAAAA&#10;AQAgAAAAIgAAAGRycy9kb3ducmV2LnhtbFBLAQIUABQAAAAIAIdO4kDYNp1i2gEAAKgDAAAOAAAA&#10;AAAAAAEAIAAAACUBAABkcnMvZTJvRG9jLnhtbFBLBQYAAAAABgAGAFkBAABxBQAAAAA=&#10;">
                <v:fill on="f" focussize="0,0"/>
                <v:stroke color="#000000" joinstyle="miter"/>
                <v:imagedata o:title=""/>
                <o:lock v:ext="edit" aspectratio="f"/>
              </v:line>
            </w:pict>
          </mc:Fallback>
        </mc:AlternateContent>
      </w:r>
      <w:r>
        <w:rPr>
          <w:rStyle w:val="17"/>
          <w:rFonts w:ascii="仿宋" w:hAnsi="仿宋" w:eastAsia="仿宋"/>
          <w:color w:val="auto"/>
          <w:sz w:val="28"/>
          <w:szCs w:val="28"/>
        </w:rPr>
        <w:t xml:space="preserve">       </w:t>
      </w:r>
      <w:r>
        <w:rPr>
          <w:rStyle w:val="17"/>
          <w:rFonts w:hint="eastAsia" w:ascii="仿宋" w:hAnsi="仿宋" w:eastAsia="仿宋"/>
          <w:color w:val="auto"/>
          <w:sz w:val="28"/>
          <w:szCs w:val="28"/>
          <w:lang w:val="en-US" w:eastAsia="zh-CN"/>
        </w:rPr>
        <w:t xml:space="preserve"> </w:t>
      </w:r>
      <w:r>
        <w:rPr>
          <w:rStyle w:val="17"/>
          <w:rFonts w:ascii="仿宋" w:hAnsi="仿宋" w:eastAsia="仿宋"/>
          <w:color w:val="auto"/>
          <w:sz w:val="28"/>
          <w:szCs w:val="28"/>
        </w:rPr>
        <w:t xml:space="preserve">  202</w:t>
      </w:r>
      <w:r>
        <w:rPr>
          <w:rStyle w:val="17"/>
          <w:rFonts w:hint="eastAsia" w:ascii="仿宋" w:hAnsi="仿宋" w:eastAsia="仿宋"/>
          <w:color w:val="auto"/>
          <w:sz w:val="28"/>
          <w:szCs w:val="28"/>
          <w:lang w:val="en-US" w:eastAsia="zh-CN"/>
        </w:rPr>
        <w:t>3</w:t>
      </w:r>
      <w:r>
        <w:rPr>
          <w:rStyle w:val="17"/>
          <w:rFonts w:hint="eastAsia" w:ascii="仿宋" w:hAnsi="仿宋" w:eastAsia="仿宋"/>
          <w:color w:val="auto"/>
          <w:sz w:val="28"/>
          <w:szCs w:val="28"/>
        </w:rPr>
        <w:t>年</w:t>
      </w:r>
      <w:r>
        <w:rPr>
          <w:rStyle w:val="17"/>
          <w:rFonts w:hint="eastAsia" w:ascii="仿宋" w:hAnsi="仿宋" w:eastAsia="仿宋"/>
          <w:color w:val="auto"/>
          <w:sz w:val="28"/>
          <w:szCs w:val="28"/>
          <w:lang w:val="en-US" w:eastAsia="zh-CN"/>
        </w:rPr>
        <w:t>3</w:t>
      </w:r>
      <w:r>
        <w:rPr>
          <w:rStyle w:val="17"/>
          <w:rFonts w:hint="eastAsia" w:ascii="仿宋" w:hAnsi="仿宋" w:eastAsia="仿宋"/>
          <w:color w:val="auto"/>
          <w:sz w:val="28"/>
          <w:szCs w:val="28"/>
        </w:rPr>
        <w:t>月</w:t>
      </w:r>
      <w:r>
        <w:rPr>
          <w:rStyle w:val="17"/>
          <w:rFonts w:hint="eastAsia" w:ascii="仿宋" w:hAnsi="仿宋" w:eastAsia="仿宋"/>
          <w:color w:val="auto"/>
          <w:sz w:val="28"/>
          <w:szCs w:val="28"/>
          <w:lang w:val="en-US" w:eastAsia="zh-CN"/>
        </w:rPr>
        <w:t>2</w:t>
      </w:r>
      <w:r>
        <w:rPr>
          <w:rStyle w:val="17"/>
          <w:rFonts w:hint="eastAsia" w:ascii="仿宋" w:hAnsi="仿宋" w:eastAsia="仿宋"/>
          <w:color w:val="auto"/>
          <w:sz w:val="28"/>
          <w:szCs w:val="28"/>
        </w:rPr>
        <w:t>日印发</w:t>
      </w:r>
      <w:r>
        <w:rPr>
          <w:rStyle w:val="17"/>
          <w:rFonts w:ascii="仿宋" w:hAnsi="仿宋" w:eastAsia="仿宋"/>
          <w:color w:val="auto"/>
          <w:sz w:val="28"/>
          <w:szCs w:val="28"/>
        </w:rPr>
        <w:t xml:space="preserve"> </w:t>
      </w:r>
    </w:p>
    <w:sectPr>
      <w:headerReference r:id="rId3" w:type="default"/>
      <w:footerReference r:id="rId4" w:type="default"/>
      <w:footerReference r:id="rId5" w:type="even"/>
      <w:pgSz w:w="11905" w:h="16837"/>
      <w:pgMar w:top="1474" w:right="1530" w:bottom="1417" w:left="1587" w:header="566" w:footer="566" w:gutter="0"/>
      <w:pgNumType w:fmt="numberInDash"/>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script"/>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right"/>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10"/>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DOqXm5zwAAAAUB&#10;AAAPAAAAAAAAAAEAIAAAACIAAABkcnMvZG93bnJldi54bWxQSwECFAAUAAAACACHTuJAKJP5mbIB&#10;AABZAwAADgAAAAAAAAABACAAAAAeAQAAZHJzL2Uyb0RvYy54bWxQSwUGAAAAAAYABgBZAQAAQgUA&#10;AAAA&#10;">
              <v:fill on="f" focussize="0,0"/>
              <v:stroke on="f"/>
              <v:imagedata o:title=""/>
              <o:lock v:ext="edit" aspectratio="f"/>
              <v:textbox inset="0mm,0mm,0mm,0mm" style="mso-fit-shape-to-text:t;">
                <w:txbxContent>
                  <w:p>
                    <w:pPr>
                      <w:pStyle w:val="10"/>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right="720"/>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10"/>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DOqXm5zwAAAAUB&#10;AAAPAAAAAAAAAAEAIAAAACIAAABkcnMvZG93bnJldi54bWxQSwECFAAUAAAACACHTuJA+CTUX7IB&#10;AABZAwAADgAAAAAAAAABACAAAAAeAQAAZHJzL2Uyb0RvYy54bWxQSwUGAAAAAAYABgBZAQAAQgUA&#10;AAAA&#10;">
              <v:fill on="f" focussize="0,0"/>
              <v:stroke on="f"/>
              <v:imagedata o:title=""/>
              <o:lock v:ext="edit" aspectratio="f"/>
              <v:textbox inset="0mm,0mm,0mm,0mm" style="mso-fit-shape-to-text:t;">
                <w:txbxContent>
                  <w:p>
                    <w:pPr>
                      <w:pStyle w:val="10"/>
                    </w:pPr>
                    <w:r>
                      <w:fldChar w:fldCharType="begin"/>
                    </w:r>
                    <w:r>
                      <w:instrText xml:space="preserve"> PAGE  \* MERGEFORMAT </w:instrText>
                    </w:r>
                    <w:r>
                      <w:fldChar w:fldCharType="separate"/>
                    </w:r>
                    <w:r>
                      <w:t>- 2 -</w:t>
                    </w:r>
                    <w:r>
                      <w:fldChar w:fldCharType="end"/>
                    </w:r>
                  </w:p>
                </w:txbxContent>
              </v:textbox>
            </v:shape>
          </w:pict>
        </mc:Fallback>
      </mc:AlternateContent>
    </w:r>
  </w:p>
  <w:p>
    <w:pPr>
      <w:pStyle w:val="10"/>
      <w:rPr>
        <w:rStyle w:val="17"/>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7"/>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OU8jR/cAAAACgEAAA8AAAAAAAAA&#10;AQAgAAAAIgAAAGRycy9kb3ducmV2LnhtbFBLAQIUABQAAAAIAIdO4kBseRzA1AEAAHsDAAAOAAAA&#10;AAAAAAEAIAAAACsBAABkcnMvZTJvRG9jLnhtbFBLBQYAAAAABgAGAFkBAABxBQ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A7FE8C"/>
    <w:multiLevelType w:val="singleLevel"/>
    <w:tmpl w:val="77A7FE8C"/>
    <w:lvl w:ilvl="0" w:tentative="0">
      <w:start w:val="1"/>
      <w:numFmt w:val="decimal"/>
      <w:suff w:val="nothing"/>
      <w:lvlText w:val="%1、"/>
      <w:lvlJc w:val="left"/>
      <w:pPr>
        <w:ind w:left="-10"/>
      </w:pPr>
      <w:rPr>
        <w:rFonts w:hint="default" w:ascii="仿宋" w:hAnsi="仿宋" w:eastAsia="仿宋" w:cs="仿宋"/>
        <w:color w:val="auto"/>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E1M2MzOWQ5YmNlMDg0OTRjODZlNGNhOTNiMDE2M2EifQ=="/>
  </w:docVars>
  <w:rsids>
    <w:rsidRoot w:val="006F5E64"/>
    <w:rsid w:val="001204A9"/>
    <w:rsid w:val="0015076A"/>
    <w:rsid w:val="00175BF5"/>
    <w:rsid w:val="002D2E4B"/>
    <w:rsid w:val="00354558"/>
    <w:rsid w:val="00414087"/>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AC556B"/>
    <w:rsid w:val="02A93B2F"/>
    <w:rsid w:val="02DD4C33"/>
    <w:rsid w:val="02DD5B4F"/>
    <w:rsid w:val="02F3233D"/>
    <w:rsid w:val="0358144A"/>
    <w:rsid w:val="03A03DE5"/>
    <w:rsid w:val="03A05D81"/>
    <w:rsid w:val="03A96EC4"/>
    <w:rsid w:val="03C1757D"/>
    <w:rsid w:val="03F37592"/>
    <w:rsid w:val="03F963FB"/>
    <w:rsid w:val="042E1659"/>
    <w:rsid w:val="044E4F55"/>
    <w:rsid w:val="0476323E"/>
    <w:rsid w:val="048A4438"/>
    <w:rsid w:val="048A4FCC"/>
    <w:rsid w:val="04916917"/>
    <w:rsid w:val="04F715EE"/>
    <w:rsid w:val="04F72C71"/>
    <w:rsid w:val="05337BE9"/>
    <w:rsid w:val="059A4722"/>
    <w:rsid w:val="05D94866"/>
    <w:rsid w:val="060A1C1B"/>
    <w:rsid w:val="06191689"/>
    <w:rsid w:val="06CA02D1"/>
    <w:rsid w:val="06CC5F39"/>
    <w:rsid w:val="06E35A8B"/>
    <w:rsid w:val="06F42603"/>
    <w:rsid w:val="06F55023"/>
    <w:rsid w:val="071479B9"/>
    <w:rsid w:val="075C516B"/>
    <w:rsid w:val="075E259A"/>
    <w:rsid w:val="075F5B44"/>
    <w:rsid w:val="07E24DC5"/>
    <w:rsid w:val="08660559"/>
    <w:rsid w:val="088554D8"/>
    <w:rsid w:val="08A1120A"/>
    <w:rsid w:val="08AD4A87"/>
    <w:rsid w:val="08B51389"/>
    <w:rsid w:val="08CE2C2B"/>
    <w:rsid w:val="08EA5D86"/>
    <w:rsid w:val="08F0070A"/>
    <w:rsid w:val="08FE4C90"/>
    <w:rsid w:val="090362EF"/>
    <w:rsid w:val="090866C9"/>
    <w:rsid w:val="097134F8"/>
    <w:rsid w:val="098F5074"/>
    <w:rsid w:val="09B06929"/>
    <w:rsid w:val="0A3D33B0"/>
    <w:rsid w:val="0A5D0D80"/>
    <w:rsid w:val="0A667AEF"/>
    <w:rsid w:val="0A6D53BD"/>
    <w:rsid w:val="0A9A115F"/>
    <w:rsid w:val="0AA477AD"/>
    <w:rsid w:val="0B6446A4"/>
    <w:rsid w:val="0BA55642"/>
    <w:rsid w:val="0BD72E57"/>
    <w:rsid w:val="0BDE1694"/>
    <w:rsid w:val="0C2B3A73"/>
    <w:rsid w:val="0C301322"/>
    <w:rsid w:val="0C5555BE"/>
    <w:rsid w:val="0CAF1FCC"/>
    <w:rsid w:val="0CC65836"/>
    <w:rsid w:val="0CFC12E8"/>
    <w:rsid w:val="0D091D9A"/>
    <w:rsid w:val="0D693F98"/>
    <w:rsid w:val="0D830185"/>
    <w:rsid w:val="0E2F5220"/>
    <w:rsid w:val="0E364873"/>
    <w:rsid w:val="0E385A18"/>
    <w:rsid w:val="0E570138"/>
    <w:rsid w:val="0E9A33FF"/>
    <w:rsid w:val="0EB72A51"/>
    <w:rsid w:val="0EC36AE6"/>
    <w:rsid w:val="0EE31455"/>
    <w:rsid w:val="0EF75580"/>
    <w:rsid w:val="0F1B51C5"/>
    <w:rsid w:val="0F7E2F3B"/>
    <w:rsid w:val="0F8B77A7"/>
    <w:rsid w:val="0FB279DE"/>
    <w:rsid w:val="0FD03B40"/>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CD325E"/>
    <w:rsid w:val="11D2180D"/>
    <w:rsid w:val="12EA255A"/>
    <w:rsid w:val="133323A1"/>
    <w:rsid w:val="13464D5E"/>
    <w:rsid w:val="1398649C"/>
    <w:rsid w:val="139A0B1F"/>
    <w:rsid w:val="13C532EF"/>
    <w:rsid w:val="144C07C7"/>
    <w:rsid w:val="14913CB0"/>
    <w:rsid w:val="1562595D"/>
    <w:rsid w:val="15652C35"/>
    <w:rsid w:val="156D1455"/>
    <w:rsid w:val="15E91737"/>
    <w:rsid w:val="16015C16"/>
    <w:rsid w:val="16041455"/>
    <w:rsid w:val="168C74C9"/>
    <w:rsid w:val="16FF6904"/>
    <w:rsid w:val="171F5F2F"/>
    <w:rsid w:val="1747459A"/>
    <w:rsid w:val="178F5508"/>
    <w:rsid w:val="17D90483"/>
    <w:rsid w:val="17E15C23"/>
    <w:rsid w:val="181C5F12"/>
    <w:rsid w:val="18207E93"/>
    <w:rsid w:val="182B57AB"/>
    <w:rsid w:val="18A37FC9"/>
    <w:rsid w:val="18AE27A5"/>
    <w:rsid w:val="18CC5434"/>
    <w:rsid w:val="18E54146"/>
    <w:rsid w:val="19473B43"/>
    <w:rsid w:val="19890874"/>
    <w:rsid w:val="19A277FE"/>
    <w:rsid w:val="19AC1F9C"/>
    <w:rsid w:val="19EA6791"/>
    <w:rsid w:val="19F825D9"/>
    <w:rsid w:val="1A437161"/>
    <w:rsid w:val="1A6C6995"/>
    <w:rsid w:val="1A805ECF"/>
    <w:rsid w:val="1AFA27E4"/>
    <w:rsid w:val="1B4072CF"/>
    <w:rsid w:val="1BBA357C"/>
    <w:rsid w:val="1BBC5800"/>
    <w:rsid w:val="1BDD6112"/>
    <w:rsid w:val="1BF630B5"/>
    <w:rsid w:val="1C0715F0"/>
    <w:rsid w:val="1C5D600F"/>
    <w:rsid w:val="1C5E37FE"/>
    <w:rsid w:val="1C5F17DC"/>
    <w:rsid w:val="1C680F45"/>
    <w:rsid w:val="1C83767C"/>
    <w:rsid w:val="1C866676"/>
    <w:rsid w:val="1CA41BA5"/>
    <w:rsid w:val="1CCD7F32"/>
    <w:rsid w:val="1CE0100C"/>
    <w:rsid w:val="1D062C2C"/>
    <w:rsid w:val="1D0F0766"/>
    <w:rsid w:val="1D806FC0"/>
    <w:rsid w:val="1DD85EE2"/>
    <w:rsid w:val="1E322AFA"/>
    <w:rsid w:val="1E39255D"/>
    <w:rsid w:val="1E565798"/>
    <w:rsid w:val="1E5B4E2F"/>
    <w:rsid w:val="1EB145A4"/>
    <w:rsid w:val="1EB26A2F"/>
    <w:rsid w:val="1F197ECC"/>
    <w:rsid w:val="1F9A03FC"/>
    <w:rsid w:val="1F9F4FD0"/>
    <w:rsid w:val="1FB13B43"/>
    <w:rsid w:val="1FFD3A90"/>
    <w:rsid w:val="203E5C2F"/>
    <w:rsid w:val="20723F75"/>
    <w:rsid w:val="208B0C0A"/>
    <w:rsid w:val="209F2E8C"/>
    <w:rsid w:val="20C94FCD"/>
    <w:rsid w:val="20CF0133"/>
    <w:rsid w:val="21500F9E"/>
    <w:rsid w:val="217D77E0"/>
    <w:rsid w:val="21EF70BE"/>
    <w:rsid w:val="220E66BC"/>
    <w:rsid w:val="2265588B"/>
    <w:rsid w:val="228C2292"/>
    <w:rsid w:val="22C513EB"/>
    <w:rsid w:val="23541649"/>
    <w:rsid w:val="235E3785"/>
    <w:rsid w:val="23921405"/>
    <w:rsid w:val="23C9100A"/>
    <w:rsid w:val="24421E65"/>
    <w:rsid w:val="24855506"/>
    <w:rsid w:val="24C456C6"/>
    <w:rsid w:val="24F868A6"/>
    <w:rsid w:val="25125EFC"/>
    <w:rsid w:val="25366867"/>
    <w:rsid w:val="2537664C"/>
    <w:rsid w:val="253C64B1"/>
    <w:rsid w:val="25733248"/>
    <w:rsid w:val="25AA1BAB"/>
    <w:rsid w:val="25AF47C5"/>
    <w:rsid w:val="25D60BC4"/>
    <w:rsid w:val="25D873ED"/>
    <w:rsid w:val="25F75335"/>
    <w:rsid w:val="260007C3"/>
    <w:rsid w:val="261325BB"/>
    <w:rsid w:val="267000E4"/>
    <w:rsid w:val="269E1BDF"/>
    <w:rsid w:val="26C86AE1"/>
    <w:rsid w:val="27063174"/>
    <w:rsid w:val="2745621A"/>
    <w:rsid w:val="274B306C"/>
    <w:rsid w:val="274C5D65"/>
    <w:rsid w:val="28150F91"/>
    <w:rsid w:val="28551EE0"/>
    <w:rsid w:val="288E0726"/>
    <w:rsid w:val="289A0EE5"/>
    <w:rsid w:val="28A2177B"/>
    <w:rsid w:val="28DA25CC"/>
    <w:rsid w:val="2956242B"/>
    <w:rsid w:val="29625978"/>
    <w:rsid w:val="29A71742"/>
    <w:rsid w:val="29BE7B24"/>
    <w:rsid w:val="29EC1002"/>
    <w:rsid w:val="2A173A82"/>
    <w:rsid w:val="2A27019D"/>
    <w:rsid w:val="2A4A7282"/>
    <w:rsid w:val="2A4D2AFF"/>
    <w:rsid w:val="2A77431C"/>
    <w:rsid w:val="2AB8571B"/>
    <w:rsid w:val="2ABD6442"/>
    <w:rsid w:val="2ACD268E"/>
    <w:rsid w:val="2AF53CB3"/>
    <w:rsid w:val="2B496FAB"/>
    <w:rsid w:val="2B5F7DC4"/>
    <w:rsid w:val="2BD26C46"/>
    <w:rsid w:val="2BDE5B5E"/>
    <w:rsid w:val="2C3F708C"/>
    <w:rsid w:val="2C871D94"/>
    <w:rsid w:val="2CAE4D3A"/>
    <w:rsid w:val="2CE7407F"/>
    <w:rsid w:val="2CFB6C68"/>
    <w:rsid w:val="2D544B95"/>
    <w:rsid w:val="2D5C4C74"/>
    <w:rsid w:val="2D5F771D"/>
    <w:rsid w:val="2E1A5EC1"/>
    <w:rsid w:val="2E653EAF"/>
    <w:rsid w:val="2E6B1F05"/>
    <w:rsid w:val="2E862DF3"/>
    <w:rsid w:val="2EA85B70"/>
    <w:rsid w:val="2EB60EB6"/>
    <w:rsid w:val="2EF21325"/>
    <w:rsid w:val="2F1876BA"/>
    <w:rsid w:val="2F6F7D2B"/>
    <w:rsid w:val="2F837265"/>
    <w:rsid w:val="2F8C2E25"/>
    <w:rsid w:val="2F8E3C27"/>
    <w:rsid w:val="2FC328DF"/>
    <w:rsid w:val="2FE05822"/>
    <w:rsid w:val="2FEA3599"/>
    <w:rsid w:val="301223CD"/>
    <w:rsid w:val="30276045"/>
    <w:rsid w:val="30552879"/>
    <w:rsid w:val="3071536E"/>
    <w:rsid w:val="30CD0F38"/>
    <w:rsid w:val="312C0E37"/>
    <w:rsid w:val="31451F91"/>
    <w:rsid w:val="3166710B"/>
    <w:rsid w:val="31864EB8"/>
    <w:rsid w:val="31B97443"/>
    <w:rsid w:val="31CC6457"/>
    <w:rsid w:val="31E74361"/>
    <w:rsid w:val="322F75E5"/>
    <w:rsid w:val="3239406E"/>
    <w:rsid w:val="3245462B"/>
    <w:rsid w:val="32862408"/>
    <w:rsid w:val="32A41A78"/>
    <w:rsid w:val="33086177"/>
    <w:rsid w:val="332A6495"/>
    <w:rsid w:val="333016EF"/>
    <w:rsid w:val="33314FCC"/>
    <w:rsid w:val="334F543C"/>
    <w:rsid w:val="336D70A5"/>
    <w:rsid w:val="33A76983"/>
    <w:rsid w:val="33CD0AF4"/>
    <w:rsid w:val="340D7B12"/>
    <w:rsid w:val="343D6FC0"/>
    <w:rsid w:val="34525876"/>
    <w:rsid w:val="346516FC"/>
    <w:rsid w:val="346C54C4"/>
    <w:rsid w:val="3587701E"/>
    <w:rsid w:val="361479B3"/>
    <w:rsid w:val="362A341F"/>
    <w:rsid w:val="36CB51E2"/>
    <w:rsid w:val="36D33EE3"/>
    <w:rsid w:val="37075CEA"/>
    <w:rsid w:val="371F6C8E"/>
    <w:rsid w:val="372344BA"/>
    <w:rsid w:val="37334EA2"/>
    <w:rsid w:val="375C4DD9"/>
    <w:rsid w:val="375D3876"/>
    <w:rsid w:val="37663248"/>
    <w:rsid w:val="37966A72"/>
    <w:rsid w:val="37E5426D"/>
    <w:rsid w:val="37FF7133"/>
    <w:rsid w:val="38114125"/>
    <w:rsid w:val="38176CB5"/>
    <w:rsid w:val="38252AC8"/>
    <w:rsid w:val="389B5401"/>
    <w:rsid w:val="38B32843"/>
    <w:rsid w:val="39625ABB"/>
    <w:rsid w:val="39750C1A"/>
    <w:rsid w:val="39815D3F"/>
    <w:rsid w:val="398A27AA"/>
    <w:rsid w:val="39CB16C6"/>
    <w:rsid w:val="39CE6D77"/>
    <w:rsid w:val="39CF3432"/>
    <w:rsid w:val="3A102EB3"/>
    <w:rsid w:val="3A1559AB"/>
    <w:rsid w:val="3A1716A8"/>
    <w:rsid w:val="3A2C25BF"/>
    <w:rsid w:val="3A4100A2"/>
    <w:rsid w:val="3A420ECD"/>
    <w:rsid w:val="3AD43138"/>
    <w:rsid w:val="3AEA62F0"/>
    <w:rsid w:val="3B164E12"/>
    <w:rsid w:val="3B433FA0"/>
    <w:rsid w:val="3B7405F8"/>
    <w:rsid w:val="3B8024AE"/>
    <w:rsid w:val="3BCA2CB8"/>
    <w:rsid w:val="3C201861"/>
    <w:rsid w:val="3C351081"/>
    <w:rsid w:val="3C4F7E8A"/>
    <w:rsid w:val="3C545991"/>
    <w:rsid w:val="3C795E81"/>
    <w:rsid w:val="3C9C06C9"/>
    <w:rsid w:val="3CF212C3"/>
    <w:rsid w:val="3D4E0D02"/>
    <w:rsid w:val="3D615C4A"/>
    <w:rsid w:val="3D9D29AC"/>
    <w:rsid w:val="3DD06792"/>
    <w:rsid w:val="3E6216DB"/>
    <w:rsid w:val="3E6D2368"/>
    <w:rsid w:val="3E8C50F6"/>
    <w:rsid w:val="3E9E6EFC"/>
    <w:rsid w:val="3EA147B7"/>
    <w:rsid w:val="3EAA1A98"/>
    <w:rsid w:val="3ED41958"/>
    <w:rsid w:val="3ED64314"/>
    <w:rsid w:val="3EDA3818"/>
    <w:rsid w:val="3EEF2E69"/>
    <w:rsid w:val="3F267EF6"/>
    <w:rsid w:val="3F544D41"/>
    <w:rsid w:val="3F7635AF"/>
    <w:rsid w:val="3FEA64CB"/>
    <w:rsid w:val="3FF57D0C"/>
    <w:rsid w:val="3FFB782D"/>
    <w:rsid w:val="401A339B"/>
    <w:rsid w:val="401A75E2"/>
    <w:rsid w:val="40333ECA"/>
    <w:rsid w:val="40965733"/>
    <w:rsid w:val="40A601F0"/>
    <w:rsid w:val="40B345F0"/>
    <w:rsid w:val="40BF08B4"/>
    <w:rsid w:val="411D0018"/>
    <w:rsid w:val="413328ED"/>
    <w:rsid w:val="41392B4A"/>
    <w:rsid w:val="413F1DCA"/>
    <w:rsid w:val="41C31E09"/>
    <w:rsid w:val="41D47B54"/>
    <w:rsid w:val="42096DA4"/>
    <w:rsid w:val="42427E61"/>
    <w:rsid w:val="42571ED3"/>
    <w:rsid w:val="42A12AD7"/>
    <w:rsid w:val="42B31FAB"/>
    <w:rsid w:val="42C15BDB"/>
    <w:rsid w:val="431B4412"/>
    <w:rsid w:val="4331043E"/>
    <w:rsid w:val="4331172A"/>
    <w:rsid w:val="433E53DA"/>
    <w:rsid w:val="439E58A0"/>
    <w:rsid w:val="43B31C0B"/>
    <w:rsid w:val="43DA60A1"/>
    <w:rsid w:val="43E35A87"/>
    <w:rsid w:val="43EC55F4"/>
    <w:rsid w:val="4477148F"/>
    <w:rsid w:val="44947B97"/>
    <w:rsid w:val="44A75A3C"/>
    <w:rsid w:val="44B519AF"/>
    <w:rsid w:val="4502587E"/>
    <w:rsid w:val="458429FA"/>
    <w:rsid w:val="458539AC"/>
    <w:rsid w:val="463C0677"/>
    <w:rsid w:val="466510E8"/>
    <w:rsid w:val="46773189"/>
    <w:rsid w:val="467C4988"/>
    <w:rsid w:val="468D35B1"/>
    <w:rsid w:val="46C060ED"/>
    <w:rsid w:val="46DC7BF5"/>
    <w:rsid w:val="46EF6089"/>
    <w:rsid w:val="46F85ECC"/>
    <w:rsid w:val="47187FE4"/>
    <w:rsid w:val="4719630E"/>
    <w:rsid w:val="47310F34"/>
    <w:rsid w:val="47352FEC"/>
    <w:rsid w:val="47413DCB"/>
    <w:rsid w:val="47463708"/>
    <w:rsid w:val="4779330C"/>
    <w:rsid w:val="477C5B9E"/>
    <w:rsid w:val="4780431E"/>
    <w:rsid w:val="479235C6"/>
    <w:rsid w:val="479E0D55"/>
    <w:rsid w:val="47D43F03"/>
    <w:rsid w:val="481E12C4"/>
    <w:rsid w:val="482F22FC"/>
    <w:rsid w:val="483A153F"/>
    <w:rsid w:val="48595F43"/>
    <w:rsid w:val="48714DBB"/>
    <w:rsid w:val="48AB197C"/>
    <w:rsid w:val="49540677"/>
    <w:rsid w:val="49926C6C"/>
    <w:rsid w:val="49AA4FB0"/>
    <w:rsid w:val="49DB78B5"/>
    <w:rsid w:val="49E97A04"/>
    <w:rsid w:val="49EA569C"/>
    <w:rsid w:val="4A494A22"/>
    <w:rsid w:val="4A911B79"/>
    <w:rsid w:val="4ADF223E"/>
    <w:rsid w:val="4AF07DCC"/>
    <w:rsid w:val="4B620F05"/>
    <w:rsid w:val="4BA42C32"/>
    <w:rsid w:val="4BAD0F90"/>
    <w:rsid w:val="4BF247B7"/>
    <w:rsid w:val="4C2274BE"/>
    <w:rsid w:val="4CD95DD7"/>
    <w:rsid w:val="4D377F90"/>
    <w:rsid w:val="4D534390"/>
    <w:rsid w:val="4D743394"/>
    <w:rsid w:val="4D7C0517"/>
    <w:rsid w:val="4DD86D52"/>
    <w:rsid w:val="4DDE7B5E"/>
    <w:rsid w:val="4E062159"/>
    <w:rsid w:val="4E543FF1"/>
    <w:rsid w:val="4EC56144"/>
    <w:rsid w:val="4F044A24"/>
    <w:rsid w:val="4F0B6B33"/>
    <w:rsid w:val="4F2B1F6E"/>
    <w:rsid w:val="4F4437F3"/>
    <w:rsid w:val="4F94752D"/>
    <w:rsid w:val="4F9668DE"/>
    <w:rsid w:val="4FD91C66"/>
    <w:rsid w:val="4FDF1ADA"/>
    <w:rsid w:val="4FE651D4"/>
    <w:rsid w:val="501660DD"/>
    <w:rsid w:val="502A587C"/>
    <w:rsid w:val="505F24B0"/>
    <w:rsid w:val="50681DDC"/>
    <w:rsid w:val="507026E4"/>
    <w:rsid w:val="50C61171"/>
    <w:rsid w:val="510D4856"/>
    <w:rsid w:val="51167CDE"/>
    <w:rsid w:val="51324DA9"/>
    <w:rsid w:val="51AD2147"/>
    <w:rsid w:val="51CE1891"/>
    <w:rsid w:val="51D501ED"/>
    <w:rsid w:val="522D7F16"/>
    <w:rsid w:val="523952D8"/>
    <w:rsid w:val="523B2FBD"/>
    <w:rsid w:val="52400F9E"/>
    <w:rsid w:val="52473BB8"/>
    <w:rsid w:val="5288313B"/>
    <w:rsid w:val="52D27DE3"/>
    <w:rsid w:val="52F33045"/>
    <w:rsid w:val="531F408E"/>
    <w:rsid w:val="53406525"/>
    <w:rsid w:val="534B5C0F"/>
    <w:rsid w:val="53E44017"/>
    <w:rsid w:val="5432323D"/>
    <w:rsid w:val="54331B24"/>
    <w:rsid w:val="54583460"/>
    <w:rsid w:val="54686A39"/>
    <w:rsid w:val="54E641C3"/>
    <w:rsid w:val="54EC6DF6"/>
    <w:rsid w:val="54F16F78"/>
    <w:rsid w:val="55215714"/>
    <w:rsid w:val="554D7806"/>
    <w:rsid w:val="55876BE5"/>
    <w:rsid w:val="55A94050"/>
    <w:rsid w:val="55CA36B6"/>
    <w:rsid w:val="55E738C7"/>
    <w:rsid w:val="567F5F3C"/>
    <w:rsid w:val="56DB6AC7"/>
    <w:rsid w:val="56DF16DC"/>
    <w:rsid w:val="57184CF1"/>
    <w:rsid w:val="57780B5F"/>
    <w:rsid w:val="57B96494"/>
    <w:rsid w:val="57DD76E9"/>
    <w:rsid w:val="57FC658A"/>
    <w:rsid w:val="57FE5FE5"/>
    <w:rsid w:val="586A1F97"/>
    <w:rsid w:val="589C6ECF"/>
    <w:rsid w:val="59597413"/>
    <w:rsid w:val="59BA4CD4"/>
    <w:rsid w:val="59EE5797"/>
    <w:rsid w:val="5A746F81"/>
    <w:rsid w:val="5AC272A3"/>
    <w:rsid w:val="5B307B0A"/>
    <w:rsid w:val="5B557E8F"/>
    <w:rsid w:val="5BB1110B"/>
    <w:rsid w:val="5C2B7BE1"/>
    <w:rsid w:val="5C621337"/>
    <w:rsid w:val="5C7F01BD"/>
    <w:rsid w:val="5D6C33D5"/>
    <w:rsid w:val="5DA25547"/>
    <w:rsid w:val="5DC5227C"/>
    <w:rsid w:val="5DD32B36"/>
    <w:rsid w:val="5DEC6C8E"/>
    <w:rsid w:val="5DF951D1"/>
    <w:rsid w:val="5DFA4819"/>
    <w:rsid w:val="5E626497"/>
    <w:rsid w:val="5EFB79A1"/>
    <w:rsid w:val="5F2A616C"/>
    <w:rsid w:val="5F3C052E"/>
    <w:rsid w:val="5F6C71D0"/>
    <w:rsid w:val="5F785148"/>
    <w:rsid w:val="5FA8049F"/>
    <w:rsid w:val="5FC04A97"/>
    <w:rsid w:val="5FE94B7D"/>
    <w:rsid w:val="5FF2718E"/>
    <w:rsid w:val="5FFF4EA8"/>
    <w:rsid w:val="602B2726"/>
    <w:rsid w:val="60417BB4"/>
    <w:rsid w:val="60B2650C"/>
    <w:rsid w:val="611D40E2"/>
    <w:rsid w:val="614462DE"/>
    <w:rsid w:val="61B516C4"/>
    <w:rsid w:val="61EF4764"/>
    <w:rsid w:val="625904A9"/>
    <w:rsid w:val="62600C89"/>
    <w:rsid w:val="62A64AED"/>
    <w:rsid w:val="62BE2B8C"/>
    <w:rsid w:val="62E33669"/>
    <w:rsid w:val="632D32DF"/>
    <w:rsid w:val="636B778B"/>
    <w:rsid w:val="63713FBD"/>
    <w:rsid w:val="63950102"/>
    <w:rsid w:val="63D27965"/>
    <w:rsid w:val="641D5FD9"/>
    <w:rsid w:val="64566E62"/>
    <w:rsid w:val="647677D7"/>
    <w:rsid w:val="64770209"/>
    <w:rsid w:val="64942F8F"/>
    <w:rsid w:val="65042865"/>
    <w:rsid w:val="651360F5"/>
    <w:rsid w:val="651B024D"/>
    <w:rsid w:val="65571260"/>
    <w:rsid w:val="65620EA6"/>
    <w:rsid w:val="65AB3C61"/>
    <w:rsid w:val="65B25CB4"/>
    <w:rsid w:val="65CE2481"/>
    <w:rsid w:val="65FB616C"/>
    <w:rsid w:val="661125F2"/>
    <w:rsid w:val="6611695D"/>
    <w:rsid w:val="66194DC3"/>
    <w:rsid w:val="66267FAE"/>
    <w:rsid w:val="668D09A2"/>
    <w:rsid w:val="669764AC"/>
    <w:rsid w:val="66D55C0F"/>
    <w:rsid w:val="672A40B7"/>
    <w:rsid w:val="6746660F"/>
    <w:rsid w:val="6749451C"/>
    <w:rsid w:val="674A4227"/>
    <w:rsid w:val="679300D6"/>
    <w:rsid w:val="684478D1"/>
    <w:rsid w:val="686109FC"/>
    <w:rsid w:val="686801CC"/>
    <w:rsid w:val="688C32E6"/>
    <w:rsid w:val="68D84C26"/>
    <w:rsid w:val="694D466A"/>
    <w:rsid w:val="695143FB"/>
    <w:rsid w:val="698A3A01"/>
    <w:rsid w:val="698D0D6B"/>
    <w:rsid w:val="69E6116E"/>
    <w:rsid w:val="6A051C1C"/>
    <w:rsid w:val="6A461941"/>
    <w:rsid w:val="6AA33CF1"/>
    <w:rsid w:val="6AAE5669"/>
    <w:rsid w:val="6ABD1719"/>
    <w:rsid w:val="6ACC25CE"/>
    <w:rsid w:val="6B053019"/>
    <w:rsid w:val="6B275374"/>
    <w:rsid w:val="6B4F3F91"/>
    <w:rsid w:val="6BEB28AD"/>
    <w:rsid w:val="6C1D1BAE"/>
    <w:rsid w:val="6C32108A"/>
    <w:rsid w:val="6C495CD7"/>
    <w:rsid w:val="6C6C7186"/>
    <w:rsid w:val="6C71153E"/>
    <w:rsid w:val="6CA67BC0"/>
    <w:rsid w:val="6CE10EDA"/>
    <w:rsid w:val="6D4F01B3"/>
    <w:rsid w:val="6D9B0E92"/>
    <w:rsid w:val="6DC319FF"/>
    <w:rsid w:val="6E1844B8"/>
    <w:rsid w:val="6E541954"/>
    <w:rsid w:val="6E6D5C0E"/>
    <w:rsid w:val="6E7C3113"/>
    <w:rsid w:val="6EA67FA2"/>
    <w:rsid w:val="6F957251"/>
    <w:rsid w:val="70921C55"/>
    <w:rsid w:val="70C01471"/>
    <w:rsid w:val="71283ECD"/>
    <w:rsid w:val="713D11CB"/>
    <w:rsid w:val="7147364E"/>
    <w:rsid w:val="71502437"/>
    <w:rsid w:val="71E362C3"/>
    <w:rsid w:val="7219039A"/>
    <w:rsid w:val="731775B6"/>
    <w:rsid w:val="73BA11B9"/>
    <w:rsid w:val="73D60472"/>
    <w:rsid w:val="73F53D48"/>
    <w:rsid w:val="7496752E"/>
    <w:rsid w:val="755B54D7"/>
    <w:rsid w:val="75765328"/>
    <w:rsid w:val="75A177EE"/>
    <w:rsid w:val="75D86CD4"/>
    <w:rsid w:val="760E7139"/>
    <w:rsid w:val="761958C7"/>
    <w:rsid w:val="76496AA8"/>
    <w:rsid w:val="76745CA5"/>
    <w:rsid w:val="768559AF"/>
    <w:rsid w:val="76A05F87"/>
    <w:rsid w:val="76A730E4"/>
    <w:rsid w:val="76C64AD4"/>
    <w:rsid w:val="76F33AE6"/>
    <w:rsid w:val="76F41191"/>
    <w:rsid w:val="76F93003"/>
    <w:rsid w:val="778111CA"/>
    <w:rsid w:val="779352B4"/>
    <w:rsid w:val="77C011B5"/>
    <w:rsid w:val="77DF2692"/>
    <w:rsid w:val="77E65FB7"/>
    <w:rsid w:val="77EC1D59"/>
    <w:rsid w:val="781F64BC"/>
    <w:rsid w:val="783E6571"/>
    <w:rsid w:val="78502F65"/>
    <w:rsid w:val="786E6C4A"/>
    <w:rsid w:val="78845FE0"/>
    <w:rsid w:val="789D2BB8"/>
    <w:rsid w:val="78DB6555"/>
    <w:rsid w:val="78FD20DF"/>
    <w:rsid w:val="795654B4"/>
    <w:rsid w:val="79E24199"/>
    <w:rsid w:val="7A281851"/>
    <w:rsid w:val="7A550F13"/>
    <w:rsid w:val="7A773BB5"/>
    <w:rsid w:val="7AD20151"/>
    <w:rsid w:val="7B345817"/>
    <w:rsid w:val="7B5D3DBD"/>
    <w:rsid w:val="7B62786A"/>
    <w:rsid w:val="7BAD7F79"/>
    <w:rsid w:val="7BD83B2F"/>
    <w:rsid w:val="7BE82E7A"/>
    <w:rsid w:val="7C047330"/>
    <w:rsid w:val="7C1A0DC0"/>
    <w:rsid w:val="7C614B37"/>
    <w:rsid w:val="7CE039CF"/>
    <w:rsid w:val="7D54267F"/>
    <w:rsid w:val="7D7C739E"/>
    <w:rsid w:val="7DBD5F66"/>
    <w:rsid w:val="7DC17EA6"/>
    <w:rsid w:val="7E0D5B2C"/>
    <w:rsid w:val="7E2115B9"/>
    <w:rsid w:val="7E7F66A4"/>
    <w:rsid w:val="7EA72D17"/>
    <w:rsid w:val="7EE04C7B"/>
    <w:rsid w:val="7F277A16"/>
    <w:rsid w:val="7F2F2002"/>
    <w:rsid w:val="7F3A1AA4"/>
    <w:rsid w:val="7F413799"/>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420"/>
    </w:pPr>
  </w:style>
  <w:style w:type="paragraph" w:styleId="3">
    <w:name w:val="Body Text Indent"/>
    <w:basedOn w:val="1"/>
    <w:next w:val="4"/>
    <w:qFormat/>
    <w:uiPriority w:val="99"/>
    <w:pPr>
      <w:ind w:left="420" w:leftChars="200"/>
    </w:pPr>
  </w:style>
  <w:style w:type="paragraph" w:customStyle="1" w:styleId="4">
    <w:name w:val="样式 正文文本缩进 + 行距: 1.5 倍行距"/>
    <w:basedOn w:val="5"/>
    <w:next w:val="1"/>
    <w:qFormat/>
    <w:uiPriority w:val="0"/>
    <w:pPr>
      <w:snapToGrid/>
      <w:spacing w:before="0" w:after="120" w:line="360" w:lineRule="auto"/>
      <w:ind w:left="90" w:leftChars="32" w:firstLine="560" w:firstLineChars="200"/>
    </w:pPr>
    <w:rPr>
      <w:rFonts w:ascii="Times New Roman" w:eastAsia="宋体" w:cs="宋体"/>
      <w:szCs w:val="24"/>
      <w:lang w:val="en-US" w:eastAsia="zh-CN"/>
    </w:rPr>
  </w:style>
  <w:style w:type="paragraph" w:customStyle="1" w:styleId="5">
    <w:name w:val="Body Text Indent"/>
    <w:basedOn w:val="1"/>
    <w:next w:val="4"/>
    <w:qFormat/>
    <w:uiPriority w:val="0"/>
    <w:pPr>
      <w:spacing w:after="120"/>
      <w:ind w:left="420" w:leftChars="200"/>
    </w:pPr>
    <w:rPr>
      <w:sz w:val="24"/>
    </w:rPr>
  </w:style>
  <w:style w:type="paragraph" w:styleId="6">
    <w:name w:val="Normal Indent"/>
    <w:basedOn w:val="1"/>
    <w:next w:val="2"/>
    <w:qFormat/>
    <w:uiPriority w:val="0"/>
    <w:pPr>
      <w:ind w:firstLine="420"/>
    </w:pPr>
  </w:style>
  <w:style w:type="paragraph" w:styleId="7">
    <w:name w:val="annotation text"/>
    <w:basedOn w:val="1"/>
    <w:qFormat/>
    <w:uiPriority w:val="0"/>
    <w:pPr>
      <w:jc w:val="left"/>
    </w:pPr>
  </w:style>
  <w:style w:type="paragraph" w:styleId="8">
    <w:name w:val="Body Text"/>
    <w:basedOn w:val="1"/>
    <w:link w:val="22"/>
    <w:qFormat/>
    <w:uiPriority w:val="99"/>
    <w:pPr>
      <w:spacing w:after="120"/>
    </w:pPr>
    <w:rPr>
      <w:rFonts w:ascii="Calibri" w:hAnsi="Calibri"/>
      <w:szCs w:val="22"/>
    </w:rPr>
  </w:style>
  <w:style w:type="paragraph" w:styleId="9">
    <w:name w:val="Date"/>
    <w:basedOn w:val="1"/>
    <w:next w:val="1"/>
    <w:link w:val="23"/>
    <w:qFormat/>
    <w:uiPriority w:val="99"/>
    <w:pPr>
      <w:ind w:left="100" w:leftChars="2500"/>
    </w:pPr>
  </w:style>
  <w:style w:type="paragraph" w:styleId="10">
    <w:name w:val="footer"/>
    <w:basedOn w:val="1"/>
    <w:link w:val="24"/>
    <w:qFormat/>
    <w:uiPriority w:val="99"/>
    <w:pPr>
      <w:tabs>
        <w:tab w:val="center" w:pos="4153"/>
        <w:tab w:val="right" w:pos="8306"/>
      </w:tabs>
      <w:snapToGrid w:val="0"/>
      <w:jc w:val="left"/>
    </w:pPr>
    <w:rPr>
      <w:sz w:val="18"/>
    </w:rPr>
  </w:style>
  <w:style w:type="paragraph" w:styleId="11">
    <w:name w:val="header"/>
    <w:basedOn w:val="1"/>
    <w:link w:val="25"/>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2">
    <w:name w:val="Body Text 2"/>
    <w:basedOn w:val="1"/>
    <w:next w:val="1"/>
    <w:qFormat/>
    <w:uiPriority w:val="0"/>
    <w:rPr>
      <w:sz w:val="24"/>
      <w:szCs w:val="22"/>
    </w:rPr>
  </w:style>
  <w:style w:type="paragraph" w:styleId="13">
    <w:name w:val="Body Text First Indent"/>
    <w:basedOn w:val="8"/>
    <w:next w:val="1"/>
    <w:qFormat/>
    <w:uiPriority w:val="0"/>
    <w:pPr>
      <w:spacing w:after="120"/>
      <w:ind w:firstLine="420" w:firstLineChars="100"/>
    </w:pPr>
  </w:style>
  <w:style w:type="character" w:styleId="16">
    <w:name w:val="Strong"/>
    <w:basedOn w:val="17"/>
    <w:qFormat/>
    <w:uiPriority w:val="99"/>
    <w:rPr>
      <w:rFonts w:cs="Times New Roman"/>
      <w:b/>
    </w:rPr>
  </w:style>
  <w:style w:type="character" w:customStyle="1" w:styleId="17">
    <w:name w:val="NormalCharacter"/>
    <w:semiHidden/>
    <w:qFormat/>
    <w:uiPriority w:val="99"/>
  </w:style>
  <w:style w:type="character" w:styleId="18">
    <w:name w:val="annotation reference"/>
    <w:qFormat/>
    <w:uiPriority w:val="0"/>
    <w:rPr>
      <w:sz w:val="21"/>
      <w:szCs w:val="21"/>
    </w:rPr>
  </w:style>
  <w:style w:type="paragraph" w:customStyle="1" w:styleId="19">
    <w:name w:val="样式 正文缩进正文缩进2正文缩进 Char Char正文缩进 Char Char Char Char正文缩进 Char ..."/>
    <w:basedOn w:val="6"/>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20">
    <w:name w:val="正文首行缩进 21"/>
    <w:basedOn w:val="3"/>
    <w:next w:val="1"/>
    <w:qFormat/>
    <w:uiPriority w:val="0"/>
    <w:pPr>
      <w:spacing w:afterLines="0"/>
      <w:ind w:left="420" w:firstLine="420" w:firstLineChars="200"/>
    </w:pPr>
    <w:rPr>
      <w:lang w:eastAsia="zh-CN" w:bidi="ar-SA"/>
    </w:rPr>
  </w:style>
  <w:style w:type="paragraph" w:customStyle="1" w:styleId="21">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
    <w:name w:val="正文文本 Char"/>
    <w:basedOn w:val="15"/>
    <w:link w:val="8"/>
    <w:semiHidden/>
    <w:qFormat/>
    <w:uiPriority w:val="99"/>
    <w:rPr>
      <w:color w:val="000000"/>
      <w:kern w:val="0"/>
      <w:szCs w:val="20"/>
    </w:rPr>
  </w:style>
  <w:style w:type="character" w:customStyle="1" w:styleId="23">
    <w:name w:val="日期 Char"/>
    <w:basedOn w:val="15"/>
    <w:link w:val="9"/>
    <w:semiHidden/>
    <w:qFormat/>
    <w:uiPriority w:val="99"/>
    <w:rPr>
      <w:color w:val="000000"/>
      <w:kern w:val="0"/>
      <w:szCs w:val="20"/>
    </w:rPr>
  </w:style>
  <w:style w:type="character" w:customStyle="1" w:styleId="24">
    <w:name w:val="页脚 Char"/>
    <w:basedOn w:val="17"/>
    <w:link w:val="10"/>
    <w:qFormat/>
    <w:locked/>
    <w:uiPriority w:val="99"/>
    <w:rPr>
      <w:rFonts w:cs="Times New Roman"/>
      <w:color w:val="000000"/>
      <w:sz w:val="18"/>
    </w:rPr>
  </w:style>
  <w:style w:type="character" w:customStyle="1" w:styleId="25">
    <w:name w:val="页眉 Char"/>
    <w:basedOn w:val="17"/>
    <w:link w:val="11"/>
    <w:qFormat/>
    <w:locked/>
    <w:uiPriority w:val="99"/>
    <w:rPr>
      <w:rFonts w:cs="Times New Roman"/>
      <w:color w:val="000000"/>
      <w:sz w:val="18"/>
      <w:szCs w:val="18"/>
    </w:rPr>
  </w:style>
  <w:style w:type="paragraph" w:customStyle="1" w:styleId="26">
    <w:name w:val="BodyText"/>
    <w:basedOn w:val="1"/>
    <w:qFormat/>
    <w:uiPriority w:val="99"/>
    <w:pPr>
      <w:spacing w:after="120"/>
    </w:pPr>
    <w:rPr>
      <w:rFonts w:ascii="Calibri" w:hAnsi="Calibri"/>
      <w:szCs w:val="22"/>
    </w:rPr>
  </w:style>
  <w:style w:type="table" w:customStyle="1" w:styleId="27">
    <w:name w:val="TableNormal"/>
    <w:semiHidden/>
    <w:qFormat/>
    <w:uiPriority w:val="99"/>
    <w:tblPr>
      <w:tblCellMar>
        <w:top w:w="0" w:type="dxa"/>
        <w:left w:w="0" w:type="dxa"/>
        <w:bottom w:w="0" w:type="dxa"/>
        <w:right w:w="0" w:type="dxa"/>
      </w:tblCellMar>
    </w:tblPr>
  </w:style>
  <w:style w:type="character" w:customStyle="1" w:styleId="28">
    <w:name w:val="UserStyle_0"/>
    <w:basedOn w:val="17"/>
    <w:qFormat/>
    <w:uiPriority w:val="99"/>
    <w:rPr>
      <w:rFonts w:ascii="Times New Roman" w:eastAsia="宋体" w:cs="Times New Roman"/>
      <w:color w:val="0000FF"/>
      <w:sz w:val="21"/>
      <w:u w:val="single"/>
      <w:lang w:val="en-US" w:eastAsia="zh-CN"/>
    </w:rPr>
  </w:style>
  <w:style w:type="character" w:customStyle="1" w:styleId="29">
    <w:name w:val="AnnotationReference"/>
    <w:qFormat/>
    <w:uiPriority w:val="99"/>
    <w:rPr>
      <w:sz w:val="21"/>
    </w:rPr>
  </w:style>
  <w:style w:type="character" w:customStyle="1" w:styleId="30">
    <w:name w:val="UserStyle_2"/>
    <w:basedOn w:val="17"/>
    <w:qFormat/>
    <w:uiPriority w:val="99"/>
    <w:rPr>
      <w:rFonts w:ascii="Times New Roman" w:eastAsia="宋体" w:cs="Times New Roman"/>
      <w:color w:val="0000FF"/>
      <w:sz w:val="21"/>
      <w:u w:val="single"/>
      <w:lang w:val="en-US" w:eastAsia="zh-CN"/>
    </w:rPr>
  </w:style>
  <w:style w:type="character" w:customStyle="1" w:styleId="31">
    <w:name w:val="UserStyle_3"/>
    <w:semiHidden/>
    <w:qFormat/>
    <w:uiPriority w:val="99"/>
    <w:rPr>
      <w:rFonts w:ascii="Times New Roman" w:hAnsi="Times New Roman" w:eastAsia="宋体"/>
      <w:kern w:val="2"/>
      <w:sz w:val="21"/>
      <w:lang w:val="en-US" w:eastAsia="zh-CN"/>
    </w:rPr>
  </w:style>
  <w:style w:type="paragraph" w:customStyle="1" w:styleId="32">
    <w:name w:val="UserStyle_5"/>
    <w:basedOn w:val="1"/>
    <w:next w:val="33"/>
    <w:qFormat/>
    <w:uiPriority w:val="99"/>
    <w:pPr>
      <w:spacing w:before="566" w:after="544" w:line="566" w:lineRule="atLeast"/>
      <w:jc w:val="center"/>
    </w:pPr>
    <w:rPr>
      <w:rFonts w:ascii="Arial" w:eastAsia="黑体"/>
      <w:sz w:val="54"/>
    </w:rPr>
  </w:style>
  <w:style w:type="paragraph" w:customStyle="1" w:styleId="33">
    <w:name w:val="UserStyle_6"/>
    <w:basedOn w:val="1"/>
    <w:next w:val="34"/>
    <w:qFormat/>
    <w:uiPriority w:val="99"/>
    <w:pPr>
      <w:spacing w:before="187" w:after="175" w:line="374" w:lineRule="atLeast"/>
      <w:jc w:val="center"/>
    </w:pPr>
    <w:rPr>
      <w:sz w:val="36"/>
    </w:rPr>
  </w:style>
  <w:style w:type="paragraph" w:customStyle="1" w:styleId="34">
    <w:name w:val="UserStyle_16"/>
    <w:basedOn w:val="1"/>
    <w:next w:val="35"/>
    <w:qFormat/>
    <w:uiPriority w:val="99"/>
    <w:pPr>
      <w:spacing w:before="158" w:after="153" w:line="323" w:lineRule="atLeast"/>
      <w:jc w:val="center"/>
    </w:pPr>
    <w:rPr>
      <w:rFonts w:ascii="Arial" w:eastAsia="黑体"/>
      <w:sz w:val="31"/>
    </w:rPr>
  </w:style>
  <w:style w:type="paragraph" w:customStyle="1" w:styleId="35">
    <w:name w:val="UserStyle_10"/>
    <w:basedOn w:val="1"/>
    <w:next w:val="36"/>
    <w:qFormat/>
    <w:uiPriority w:val="99"/>
    <w:pPr>
      <w:spacing w:line="289" w:lineRule="atLeast"/>
      <w:jc w:val="center"/>
    </w:pPr>
    <w:rPr>
      <w:sz w:val="28"/>
    </w:rPr>
  </w:style>
  <w:style w:type="paragraph" w:customStyle="1" w:styleId="36">
    <w:name w:val="UserStyle_11"/>
    <w:basedOn w:val="1"/>
    <w:next w:val="1"/>
    <w:qFormat/>
    <w:uiPriority w:val="99"/>
    <w:pPr>
      <w:spacing w:before="175" w:after="102" w:line="351" w:lineRule="atLeast"/>
    </w:pPr>
    <w:rPr>
      <w:rFonts w:eastAsia="黑体"/>
    </w:rPr>
  </w:style>
  <w:style w:type="paragraph" w:customStyle="1" w:styleId="37">
    <w:name w:val="UserStyle_7"/>
    <w:basedOn w:val="1"/>
    <w:next w:val="1"/>
    <w:qFormat/>
    <w:uiPriority w:val="99"/>
    <w:pPr>
      <w:tabs>
        <w:tab w:val="left" w:leader="dot" w:pos="8503"/>
      </w:tabs>
      <w:spacing w:line="317" w:lineRule="atLeast"/>
      <w:ind w:firstLine="629"/>
    </w:pPr>
  </w:style>
  <w:style w:type="paragraph" w:customStyle="1" w:styleId="38">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9">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40">
    <w:name w:val="UserStyle_9"/>
    <w:basedOn w:val="1"/>
    <w:next w:val="1"/>
    <w:qFormat/>
    <w:uiPriority w:val="99"/>
    <w:pPr>
      <w:tabs>
        <w:tab w:val="left" w:leader="dot" w:pos="8503"/>
      </w:tabs>
      <w:spacing w:line="317" w:lineRule="atLeast"/>
      <w:ind w:firstLine="419"/>
    </w:pPr>
  </w:style>
  <w:style w:type="paragraph" w:customStyle="1" w:styleId="41">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2">
    <w:name w:val="UserStyle_13"/>
    <w:basedOn w:val="1"/>
    <w:qFormat/>
    <w:uiPriority w:val="99"/>
    <w:pPr>
      <w:spacing w:line="240" w:lineRule="auto"/>
      <w:textAlignment w:val="auto"/>
    </w:pPr>
    <w:rPr>
      <w:sz w:val="32"/>
      <w:szCs w:val="32"/>
    </w:rPr>
  </w:style>
  <w:style w:type="paragraph" w:customStyle="1" w:styleId="43">
    <w:name w:val="UserStyle_14"/>
    <w:basedOn w:val="1"/>
    <w:qFormat/>
    <w:uiPriority w:val="99"/>
    <w:pPr>
      <w:spacing w:line="600" w:lineRule="atLeast"/>
      <w:jc w:val="center"/>
      <w:textAlignment w:val="auto"/>
    </w:pPr>
    <w:rPr>
      <w:rFonts w:ascii="Arial" w:hAnsi="Arial"/>
      <w:sz w:val="24"/>
      <w:szCs w:val="24"/>
    </w:rPr>
  </w:style>
  <w:style w:type="paragraph" w:customStyle="1" w:styleId="44">
    <w:name w:val="UserStyle_15"/>
    <w:basedOn w:val="1"/>
    <w:next w:val="1"/>
    <w:qFormat/>
    <w:uiPriority w:val="99"/>
    <w:pPr>
      <w:tabs>
        <w:tab w:val="left" w:leader="dot" w:pos="8503"/>
      </w:tabs>
      <w:spacing w:line="317" w:lineRule="atLeast"/>
      <w:ind w:firstLine="209"/>
    </w:pPr>
  </w:style>
  <w:style w:type="paragraph" w:customStyle="1" w:styleId="45">
    <w:name w:val="UserStyle_17"/>
    <w:basedOn w:val="1"/>
    <w:qFormat/>
    <w:uiPriority w:val="99"/>
    <w:pPr>
      <w:spacing w:line="480" w:lineRule="exact"/>
      <w:ind w:firstLine="420" w:firstLineChars="200"/>
      <w:textAlignment w:val="auto"/>
    </w:pPr>
    <w:rPr>
      <w:kern w:val="2"/>
      <w:sz w:val="24"/>
      <w:szCs w:val="24"/>
    </w:rPr>
  </w:style>
  <w:style w:type="table" w:customStyle="1" w:styleId="46">
    <w:name w:val="TableGrid"/>
    <w:basedOn w:val="27"/>
    <w:qFormat/>
    <w:uiPriority w:val="99"/>
    <w:tblPr>
      <w:tblCellMar>
        <w:top w:w="0" w:type="dxa"/>
        <w:left w:w="0" w:type="dxa"/>
        <w:bottom w:w="0" w:type="dxa"/>
        <w:right w:w="0" w:type="dxa"/>
      </w:tblCellMar>
    </w:tblPr>
  </w:style>
  <w:style w:type="paragraph" w:customStyle="1" w:styleId="47">
    <w:name w:val="BodyTextIndent"/>
    <w:basedOn w:val="1"/>
    <w:qFormat/>
    <w:uiPriority w:val="99"/>
    <w:pPr>
      <w:spacing w:after="120"/>
      <w:ind w:left="420" w:leftChars="200"/>
    </w:pPr>
  </w:style>
  <w:style w:type="paragraph" w:customStyle="1" w:styleId="48">
    <w:name w:val="BodyText1I2"/>
    <w:basedOn w:val="47"/>
    <w:qFormat/>
    <w:uiPriority w:val="99"/>
    <w:pPr>
      <w:ind w:firstLine="420" w:firstLineChars="200"/>
    </w:pPr>
  </w:style>
  <w:style w:type="paragraph" w:customStyle="1" w:styleId="49">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50">
    <w:name w:val="Table Paragraph"/>
    <w:basedOn w:val="1"/>
    <w:qFormat/>
    <w:uiPriority w:val="1"/>
  </w:style>
  <w:style w:type="paragraph" w:customStyle="1" w:styleId="51">
    <w:name w:val="1-正文"/>
    <w:basedOn w:val="1"/>
    <w:qFormat/>
    <w:uiPriority w:val="0"/>
    <w:pPr>
      <w:spacing w:line="480" w:lineRule="exact"/>
      <w:ind w:firstLine="480" w:firstLineChars="200"/>
    </w:pPr>
    <w:rPr>
      <w:rFonts w:ascii="Times New Roman" w:hAnsi="Times New Roman" w:cs="宋体"/>
      <w:bCs/>
      <w:color w:val="000000"/>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1649</Words>
  <Characters>1825</Characters>
  <Lines>10</Lines>
  <Paragraphs>3</Paragraphs>
  <TotalTime>6</TotalTime>
  <ScaleCrop>false</ScaleCrop>
  <LinksUpToDate>false</LinksUpToDate>
  <CharactersWithSpaces>1976</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lenovo</cp:lastModifiedBy>
  <cp:lastPrinted>2023-03-02T01:06:00Z</cp:lastPrinted>
  <dcterms:modified xsi:type="dcterms:W3CDTF">2023-03-16T07:55:25Z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y fmtid="{D5CDD505-2E9C-101B-9397-08002B2CF9AE}" pid="3" name="ICV">
    <vt:lpwstr>4B223CA2B5B24F0BBC3925F45DAE3489</vt:lpwstr>
  </property>
</Properties>
</file>