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pStyle w:val="22"/>
        <w:rPr>
          <w:rStyle w:val="15"/>
          <w:color w:val="auto"/>
        </w:rPr>
      </w:pPr>
    </w:p>
    <w:p>
      <w:pPr>
        <w:snapToGrid w:val="0"/>
        <w:spacing w:line="600" w:lineRule="exact"/>
        <w:rPr>
          <w:rStyle w:val="15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600" w:lineRule="exact"/>
        <w:ind w:firstLine="2880" w:firstLineChars="900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鄂环东审字〔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〕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37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号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</w:p>
    <w:p>
      <w:pPr>
        <w:spacing w:line="600" w:lineRule="exact"/>
        <w:jc w:val="center"/>
        <w:rPr>
          <w:rStyle w:val="15"/>
          <w:rFonts w:ascii="宋体" w:hAnsi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/>
          <w:b/>
          <w:bCs w:val="0"/>
          <w:color w:val="auto"/>
          <w:sz w:val="44"/>
          <w:szCs w:val="44"/>
        </w:rPr>
        <w:t>鄂尔多斯市生态环境局东胜区分局关于</w:t>
      </w:r>
    </w:p>
    <w:p>
      <w:pPr>
        <w:spacing w:line="600" w:lineRule="exact"/>
        <w:jc w:val="center"/>
        <w:rPr>
          <w:rStyle w:val="15"/>
          <w:rFonts w:hint="eastAsia" w:ascii="宋体" w:hAnsi="宋体"/>
          <w:b/>
          <w:bCs w:val="0"/>
          <w:color w:val="auto"/>
          <w:sz w:val="44"/>
          <w:szCs w:val="44"/>
          <w:lang w:val="en-US" w:eastAsia="zh-CN"/>
        </w:rPr>
      </w:pPr>
      <w:r>
        <w:rPr>
          <w:rStyle w:val="15"/>
          <w:rFonts w:hint="eastAsia" w:ascii="宋体" w:hAnsi="宋体"/>
          <w:b/>
          <w:bCs w:val="0"/>
          <w:color w:val="auto"/>
          <w:sz w:val="44"/>
          <w:szCs w:val="44"/>
          <w:lang w:val="en-US" w:eastAsia="zh-CN"/>
        </w:rPr>
        <w:t>内蒙古银宏能源开发有限公司矿井水</w:t>
      </w:r>
    </w:p>
    <w:p>
      <w:pPr>
        <w:spacing w:line="600" w:lineRule="exact"/>
        <w:jc w:val="center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/>
          <w:b/>
          <w:bCs w:val="0"/>
          <w:color w:val="auto"/>
          <w:sz w:val="44"/>
          <w:szCs w:val="44"/>
          <w:lang w:val="en-US" w:eastAsia="zh-CN"/>
        </w:rPr>
        <w:t>水质净化扩建建设项目</w:t>
      </w:r>
      <w:r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环境</w:t>
      </w:r>
    </w:p>
    <w:p>
      <w:pPr>
        <w:spacing w:line="600" w:lineRule="exact"/>
        <w:ind w:firstLine="2650" w:firstLineChars="600"/>
        <w:jc w:val="both"/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5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影响报告表的批复</w:t>
      </w:r>
    </w:p>
    <w:p>
      <w:pPr>
        <w:spacing w:line="360" w:lineRule="auto"/>
        <w:textAlignment w:val="auto"/>
        <w:rPr>
          <w:rStyle w:val="15"/>
          <w:rFonts w:hint="eastAsia" w:ascii="仿宋" w:hAnsi="仿宋" w:eastAsia="仿宋"/>
          <w:sz w:val="32"/>
          <w:szCs w:val="32"/>
          <w:lang w:eastAsia="zh-CN"/>
        </w:rPr>
      </w:pPr>
    </w:p>
    <w:p>
      <w:pPr>
        <w:spacing w:line="360" w:lineRule="auto"/>
        <w:textAlignment w:val="auto"/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Style w:val="15"/>
          <w:rFonts w:hint="eastAsia" w:ascii="仿宋" w:hAnsi="仿宋" w:eastAsia="仿宋" w:cs="Times New Roman"/>
          <w:sz w:val="32"/>
          <w:szCs w:val="32"/>
        </w:rPr>
        <w:t>内蒙古银宏能源开发有限公司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Style w:val="15"/>
          <w:rFonts w:hint="eastAsia" w:ascii="仿宋" w:hAnsi="仿宋" w:eastAsia="仿宋" w:cs="Times New Roman"/>
          <w:sz w:val="32"/>
          <w:szCs w:val="32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你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Style w:val="15"/>
          <w:rFonts w:hint="eastAsia" w:ascii="仿宋" w:hAnsi="仿宋" w:eastAsia="仿宋"/>
          <w:sz w:val="32"/>
          <w:szCs w:val="32"/>
        </w:rPr>
        <w:t>报送的由内蒙古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信德工程技术咨询服务</w:t>
      </w:r>
      <w:r>
        <w:rPr>
          <w:rStyle w:val="15"/>
          <w:rFonts w:hint="eastAsia" w:ascii="仿宋" w:hAnsi="仿宋" w:eastAsia="仿宋"/>
          <w:sz w:val="32"/>
          <w:szCs w:val="32"/>
        </w:rPr>
        <w:t>有限公司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编</w:t>
      </w:r>
      <w:r>
        <w:rPr>
          <w:rStyle w:val="15"/>
          <w:rFonts w:hint="eastAsia" w:ascii="仿宋" w:hAnsi="仿宋" w:eastAsia="仿宋"/>
          <w:sz w:val="32"/>
          <w:szCs w:val="32"/>
        </w:rPr>
        <w:t>制的《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内蒙古银宏能源开发有限公司矿井水水质净化扩建项目</w:t>
      </w:r>
      <w:r>
        <w:rPr>
          <w:rStyle w:val="15"/>
          <w:rFonts w:hint="eastAsia" w:ascii="仿宋" w:hAnsi="仿宋" w:eastAsia="仿宋"/>
          <w:sz w:val="32"/>
          <w:szCs w:val="32"/>
        </w:rPr>
        <w:t>环境影响报告表》（以下简称《报告表》）已收悉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Style w:val="15"/>
          <w:rFonts w:hint="eastAsia" w:ascii="仿宋" w:hAnsi="仿宋" w:eastAsia="仿宋"/>
          <w:sz w:val="32"/>
          <w:szCs w:val="32"/>
        </w:rPr>
        <w:t>该项目属于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扩</w:t>
      </w:r>
      <w:r>
        <w:rPr>
          <w:rStyle w:val="15"/>
          <w:rFonts w:hint="eastAsia" w:ascii="仿宋" w:hAnsi="仿宋" w:eastAsia="仿宋"/>
          <w:sz w:val="32"/>
          <w:szCs w:val="32"/>
        </w:rPr>
        <w:t>建项目，位于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鄂尔多斯市东胜区泊江海子镇泊江海子矿工业广场北侧。项目总占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地面积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19549</w:t>
      </w:r>
      <w:r>
        <w:rPr>
          <w:rStyle w:val="15"/>
          <w:rFonts w:hint="eastAsia" w:ascii="仿宋" w:hAnsi="仿宋" w:eastAsia="仿宋" w:cs="Times New Roman"/>
          <w:sz w:val="32"/>
          <w:szCs w:val="32"/>
          <w:lang w:eastAsia="zh-CN"/>
        </w:rPr>
        <w:t>平方米，</w:t>
      </w:r>
      <w:r>
        <w:rPr>
          <w:rStyle w:val="15"/>
          <w:rFonts w:hint="default" w:ascii="仿宋" w:hAnsi="仿宋" w:eastAsia="仿宋" w:cs="Times New Roman"/>
          <w:sz w:val="32"/>
          <w:szCs w:val="32"/>
        </w:rPr>
        <w:t>总投资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5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000万</w:t>
      </w:r>
      <w:r>
        <w:rPr>
          <w:rStyle w:val="15"/>
          <w:rFonts w:hint="default" w:ascii="仿宋" w:hAnsi="仿宋" w:eastAsia="仿宋"/>
          <w:sz w:val="32"/>
          <w:szCs w:val="32"/>
        </w:rPr>
        <w:t>元，</w:t>
      </w:r>
      <w:r>
        <w:rPr>
          <w:rStyle w:val="15"/>
          <w:rFonts w:hint="eastAsia" w:ascii="仿宋" w:hAnsi="仿宋" w:eastAsia="仿宋"/>
          <w:sz w:val="32"/>
          <w:szCs w:val="32"/>
          <w:lang w:eastAsia="zh-CN"/>
        </w:rPr>
        <w:t>其中</w:t>
      </w:r>
      <w:r>
        <w:rPr>
          <w:rStyle w:val="15"/>
          <w:rFonts w:hint="default" w:ascii="仿宋" w:hAnsi="仿宋" w:eastAsia="仿宋"/>
          <w:sz w:val="32"/>
          <w:szCs w:val="32"/>
        </w:rPr>
        <w:t>环保投资</w:t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69万元</w:t>
      </w:r>
      <w:r>
        <w:rPr>
          <w:rStyle w:val="15"/>
          <w:rFonts w:hint="eastAsia" w:ascii="仿宋" w:hAnsi="仿宋" w:eastAsia="仿宋"/>
          <w:sz w:val="32"/>
          <w:szCs w:val="32"/>
        </w:rPr>
        <w:t>。</w:t>
      </w:r>
      <w:r>
        <w:rPr>
          <w:rStyle w:val="15"/>
          <w:rFonts w:hint="eastAsia" w:ascii="仿宋" w:hAnsi="仿宋" w:eastAsia="仿宋" w:cs="Times New Roman"/>
          <w:sz w:val="32"/>
          <w:szCs w:val="32"/>
        </w:rPr>
        <w:t>主要建设内容及规模：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项目建设内容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分为矿井水处理站及生活污水处理站两部分，在原有矿井水处理系统前端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新建预沉调节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车间1座，占地面积5000m</w:t>
      </w:r>
      <w:r>
        <w:rPr>
          <w:rStyle w:val="15"/>
          <w:rFonts w:hint="eastAsia" w:ascii="仿宋" w:hAnsi="仿宋" w:eastAsia="仿宋" w:cs="Times New Roman"/>
          <w:sz w:val="32"/>
          <w:szCs w:val="32"/>
          <w:vertAlign w:val="superscript"/>
          <w:lang w:val="en-US" w:eastAsia="zh-CN"/>
        </w:rPr>
        <w:t>2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，内置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3000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m</w:t>
      </w:r>
      <w:r>
        <w:rPr>
          <w:rStyle w:val="15"/>
          <w:rFonts w:hint="eastAsia" w:ascii="仿宋" w:hAnsi="仿宋" w:eastAsia="仿宋" w:cs="Times New Roman"/>
          <w:sz w:val="32"/>
          <w:szCs w:val="32"/>
          <w:vertAlign w:val="superscript"/>
          <w:lang w:val="en-US" w:eastAsia="zh-CN"/>
        </w:rPr>
        <w:t>3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矿井水预沉调节池一座，更换矿井水提升泵3台，单台提升能力210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m</w:t>
      </w:r>
      <w:r>
        <w:rPr>
          <w:rStyle w:val="15"/>
          <w:rFonts w:hint="eastAsia" w:ascii="仿宋" w:hAnsi="仿宋" w:eastAsia="仿宋" w:cs="Times New Roman"/>
          <w:sz w:val="32"/>
          <w:szCs w:val="32"/>
          <w:vertAlign w:val="superscript"/>
          <w:lang w:val="en-US" w:eastAsia="zh-CN"/>
        </w:rPr>
        <w:t>3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/h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，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矿井水处理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站处理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能力仍为10000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m</w:t>
      </w:r>
      <w:r>
        <w:rPr>
          <w:rStyle w:val="15"/>
          <w:rFonts w:hint="eastAsia" w:ascii="仿宋" w:hAnsi="仿宋" w:eastAsia="仿宋" w:cs="Times New Roman"/>
          <w:sz w:val="32"/>
          <w:szCs w:val="32"/>
          <w:vertAlign w:val="superscript"/>
          <w:lang w:val="en-US" w:eastAsia="zh-CN"/>
        </w:rPr>
        <w:t>3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/d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；在原生活污水处理系统中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新建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生活污水处理车间1座，总占地面积2000m</w:t>
      </w:r>
      <w:r>
        <w:rPr>
          <w:rStyle w:val="15"/>
          <w:rFonts w:hint="eastAsia" w:ascii="仿宋" w:hAnsi="仿宋" w:eastAsia="仿宋" w:cs="Times New Roman"/>
          <w:sz w:val="32"/>
          <w:szCs w:val="32"/>
          <w:vertAlign w:val="superscript"/>
          <w:lang w:val="en-US" w:eastAsia="zh-CN"/>
        </w:rPr>
        <w:t>2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，内置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储水量为1000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m</w:t>
      </w:r>
      <w:r>
        <w:rPr>
          <w:rStyle w:val="15"/>
          <w:rFonts w:hint="eastAsia" w:ascii="仿宋" w:hAnsi="仿宋" w:eastAsia="仿宋" w:cs="Times New Roman"/>
          <w:sz w:val="32"/>
          <w:szCs w:val="32"/>
          <w:vertAlign w:val="superscript"/>
          <w:lang w:val="en-US" w:eastAsia="zh-CN"/>
        </w:rPr>
        <w:t>3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ABFT生化池一座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、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储水量为500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m</w:t>
      </w:r>
      <w:r>
        <w:rPr>
          <w:rStyle w:val="15"/>
          <w:rFonts w:hint="eastAsia" w:ascii="仿宋" w:hAnsi="仿宋" w:eastAsia="仿宋" w:cs="Times New Roman"/>
          <w:sz w:val="32"/>
          <w:szCs w:val="32"/>
          <w:vertAlign w:val="superscript"/>
          <w:lang w:val="en-US" w:eastAsia="zh-CN"/>
        </w:rPr>
        <w:t>3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二沉池一座，新增生活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污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水提升泵2台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，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单台提升能力100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m</w:t>
      </w:r>
      <w:r>
        <w:rPr>
          <w:rStyle w:val="15"/>
          <w:rFonts w:hint="eastAsia" w:ascii="仿宋" w:hAnsi="仿宋" w:eastAsia="仿宋" w:cs="Times New Roman"/>
          <w:sz w:val="32"/>
          <w:szCs w:val="32"/>
          <w:vertAlign w:val="superscript"/>
          <w:lang w:val="en-US" w:eastAsia="zh-CN"/>
        </w:rPr>
        <w:t>3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/h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，生活污水处理站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处理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规模由1664m</w:t>
      </w:r>
      <w:r>
        <w:rPr>
          <w:rStyle w:val="15"/>
          <w:rFonts w:hint="eastAsia" w:ascii="仿宋" w:hAnsi="仿宋" w:eastAsia="仿宋" w:cs="Times New Roman"/>
          <w:sz w:val="32"/>
          <w:szCs w:val="32"/>
          <w:vertAlign w:val="superscript"/>
          <w:lang w:val="en-US" w:eastAsia="zh-CN"/>
        </w:rPr>
        <w:t>3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/d扩建为2000m</w:t>
      </w:r>
      <w:r>
        <w:rPr>
          <w:rStyle w:val="15"/>
          <w:rFonts w:hint="eastAsia" w:ascii="仿宋" w:hAnsi="仿宋" w:eastAsia="仿宋" w:cs="Times New Roman"/>
          <w:sz w:val="32"/>
          <w:szCs w:val="32"/>
          <w:vertAlign w:val="superscript"/>
          <w:lang w:val="en-US" w:eastAsia="zh-CN"/>
        </w:rPr>
        <w:t>3</w:t>
      </w:r>
      <w:r>
        <w:rPr>
          <w:rStyle w:val="15"/>
          <w:rFonts w:hint="default" w:ascii="仿宋" w:hAnsi="仿宋" w:eastAsia="仿宋" w:cs="Times New Roman"/>
          <w:sz w:val="32"/>
          <w:szCs w:val="32"/>
          <w:lang w:val="en-US" w:eastAsia="zh-CN"/>
        </w:rPr>
        <w:t>/d</w:t>
      </w:r>
      <w:r>
        <w:rPr>
          <w:rStyle w:val="15"/>
          <w:rFonts w:hint="eastAsia" w:ascii="仿宋" w:hAnsi="仿宋" w:eastAsia="仿宋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模、地点、环境保护措施进行建设。</w:t>
      </w:r>
      <w:r>
        <w:rPr>
          <w:rStyle w:val="15"/>
          <w:rFonts w:ascii="仿宋" w:hAnsi="仿宋" w:eastAsia="仿宋"/>
          <w:sz w:val="32"/>
          <w:szCs w:val="32"/>
        </w:rPr>
        <w:t xml:space="preserve"> 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left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施工期噪声执行《建筑施工场界环境噪声排放标准》（GB12523-2011）；</w:t>
      </w:r>
      <w:r>
        <w:rPr>
          <w:rFonts w:ascii="仿宋" w:hAnsi="仿宋" w:eastAsia="仿宋" w:cs="仿宋"/>
          <w:color w:val="auto"/>
          <w:sz w:val="32"/>
          <w:szCs w:val="32"/>
        </w:rPr>
        <w:t>施工期大气污染物排放执行《大气污染物综合排放标准》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</w:rPr>
        <w:t>GB16297-1996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z w:val="32"/>
          <w:szCs w:val="32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无组织排放监控浓度限值。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left"/>
        <w:textAlignment w:val="auto"/>
        <w:rPr>
          <w:rFonts w:hint="default" w:eastAsia="宋体" w:cs="Times New Roman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运营期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污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水处理站废气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无组织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排放执行</w:t>
      </w:r>
      <w:r>
        <w:rPr>
          <w:rFonts w:hint="default" w:ascii="仿宋" w:hAnsi="仿宋" w:eastAsia="仿宋" w:cs="仿宋"/>
          <w:color w:val="auto"/>
          <w:sz w:val="32"/>
          <w:szCs w:val="32"/>
        </w:rPr>
        <w:t>《城镇污水处理厂污染物排放标准》（GB18918-2002）表4二级标准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限值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left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运营期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生活污水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处理后满足《城市污水再生利用 工业用水水质》（GB/T19923-2005）中“工艺与产品用水”水质标准，回用于泊江海子矿选煤厂生产用水，不外排。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left"/>
        <w:textAlignment w:val="auto"/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运营期厂界噪声执行《工业企业厂界环境噪声排放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标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color w:val="auto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准》（GB12348-2008）中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类标准。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rPr>
          <w:rFonts w:hint="eastAsia" w:ascii="仿宋" w:hAnsi="仿宋" w:eastAsia="仿宋" w:cs="仿宋"/>
          <w:color w:val="auto"/>
          <w:kern w:val="2"/>
          <w:sz w:val="32"/>
          <w:szCs w:val="32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妥善处置各类固体废弃物。项目</w:t>
      </w:r>
      <w:r>
        <w:rPr>
          <w:rFonts w:hint="default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生活污水处理站污泥委托泊江海子镇环卫所集中处理。矿井水处理站污泥作为煤泥销售。</w:t>
      </w: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废机油暂存于厂区现有危废暂存间内。建设单位须严格按照《一般工业固体废物贮存和填埋污染控制标准》（GB18599-2020）处置一般固废，不得乱弃。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危险废物收集和运输等均按照《危险废物收集 贮存 运输技术规范》(HJ2025-2012)要求执行。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危废必须由有资质单位处置。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非正常情况下泄露的危险废物及冲洗水进入废液池中，收集后交由有资质单位处置。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强化环境风险防范，制定突发环境事件应急预案，落实环境风险事故防范措施，提高事故风险防范和污染控制能力。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rPr>
          <w:color w:val="0000FF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按照《排污口规范化整治技术要求》（环监〔1996〕470号）规范设置排污口。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8、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你单位在该项目环保申报过程中如有瞒报、假报情形，则是严重的违法行为，须承担因此产生的一切后果。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9、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项目建设必须严格执行环境保护“三同时”制度。项目竣工后，须按照规定程序实施竣工环境保护验收。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10、</w:t>
      </w:r>
      <w:r>
        <w:rPr>
          <w:rStyle w:val="15"/>
          <w:rFonts w:eastAsia="仿宋"/>
          <w:color w:val="auto"/>
          <w:sz w:val="32"/>
          <w:szCs w:val="32"/>
        </w:rPr>
        <w:t>你</w:t>
      </w:r>
      <w:r>
        <w:rPr>
          <w:rStyle w:val="15"/>
          <w:rFonts w:hint="eastAsia" w:eastAsia="仿宋"/>
          <w:color w:val="auto"/>
          <w:sz w:val="32"/>
          <w:szCs w:val="32"/>
        </w:rPr>
        <w:t>单位</w:t>
      </w:r>
      <w:r>
        <w:rPr>
          <w:rStyle w:val="15"/>
          <w:rFonts w:eastAsia="仿宋"/>
          <w:color w:val="auto"/>
          <w:sz w:val="32"/>
          <w:szCs w:val="32"/>
        </w:rPr>
        <w:t>应在收到本批复20日内，将《报告表》（报批版）及批复文件送至鄂尔多斯市生态环境综合行政执法支队东胜区大队，由鄂尔多斯市生态环境综合行政执法支队东胜区大队负责</w:t>
      </w:r>
      <w:r>
        <w:rPr>
          <w:rStyle w:val="15"/>
          <w:rFonts w:hint="eastAsia" w:eastAsia="仿宋"/>
          <w:color w:val="auto"/>
          <w:sz w:val="32"/>
          <w:szCs w:val="32"/>
        </w:rPr>
        <w:t>该项目的</w:t>
      </w:r>
      <w:r>
        <w:rPr>
          <w:rStyle w:val="15"/>
          <w:rFonts w:eastAsia="仿宋"/>
          <w:color w:val="auto"/>
          <w:sz w:val="32"/>
          <w:szCs w:val="32"/>
        </w:rPr>
        <w:t>事中事后监管</w:t>
      </w:r>
      <w:r>
        <w:rPr>
          <w:rFonts w:eastAsia="仿宋"/>
          <w:color w:val="auto"/>
          <w:sz w:val="32"/>
          <w:szCs w:val="32"/>
        </w:rPr>
        <w:t>。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                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1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、该项目从批准之日起超过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>5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年方决定开工建设，其环评文件应重新审核。如果建设地点、规模、防治污染和防止生态破坏的措施等发生重大变化时，需重新报批环评文件。</w:t>
      </w:r>
    </w:p>
    <w:p>
      <w:pPr>
        <w:pStyle w:val="4"/>
        <w:spacing w:line="360" w:lineRule="auto"/>
        <w:ind w:firstLine="0"/>
        <w:rPr>
          <w:color w:val="auto"/>
        </w:rPr>
      </w:pPr>
    </w:p>
    <w:p>
      <w:pPr>
        <w:pStyle w:val="2"/>
        <w:rPr>
          <w:color w:val="auto"/>
        </w:rPr>
      </w:pPr>
    </w:p>
    <w:p/>
    <w:p>
      <w:pPr>
        <w:pStyle w:val="2"/>
      </w:pPr>
    </w:p>
    <w:p>
      <w:pPr>
        <w:spacing w:line="360" w:lineRule="auto"/>
        <w:ind w:firstLine="3840" w:firstLineChars="1200"/>
        <w:textAlignment w:val="auto"/>
        <w:rPr>
          <w:rStyle w:val="15"/>
          <w:rFonts w:ascii="仿宋" w:hAnsi="仿宋" w:eastAsia="仿宋"/>
          <w:color w:val="auto"/>
          <w:sz w:val="32"/>
          <w:szCs w:val="32"/>
        </w:rPr>
      </w:pP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鄂尔多斯市生态环境局东胜区分局</w:t>
      </w:r>
    </w:p>
    <w:p>
      <w:pPr>
        <w:spacing w:line="360" w:lineRule="auto"/>
        <w:ind w:firstLine="640" w:firstLineChars="200"/>
        <w:textAlignment w:val="auto"/>
        <w:rPr>
          <w:rStyle w:val="15"/>
          <w:rFonts w:ascii="仿宋" w:hAnsi="仿宋" w:eastAsia="仿宋"/>
          <w:color w:val="auto"/>
          <w:sz w:val="32"/>
          <w:szCs w:val="32"/>
          <w:highlight w:val="yellow"/>
        </w:rPr>
      </w:pP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                         202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9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Style w:val="15"/>
          <w:rFonts w:hint="eastAsia" w:ascii="仿宋" w:hAnsi="仿宋" w:eastAsia="仿宋"/>
          <w:color w:val="auto"/>
          <w:sz w:val="32"/>
          <w:szCs w:val="32"/>
          <w:lang w:val="en-US" w:eastAsia="zh-CN"/>
        </w:rPr>
        <w:t>13</w:t>
      </w:r>
      <w:r>
        <w:rPr>
          <w:rStyle w:val="15"/>
          <w:rFonts w:hint="eastAsia" w:ascii="仿宋" w:hAnsi="仿宋" w:eastAsia="仿宋"/>
          <w:color w:val="auto"/>
          <w:sz w:val="32"/>
          <w:szCs w:val="32"/>
        </w:rPr>
        <w:t>日</w:t>
      </w:r>
      <w:r>
        <w:rPr>
          <w:rStyle w:val="15"/>
          <w:rFonts w:ascii="仿宋" w:hAnsi="仿宋" w:eastAsia="仿宋"/>
          <w:color w:val="auto"/>
          <w:sz w:val="32"/>
          <w:szCs w:val="32"/>
        </w:rPr>
        <w:t xml:space="preserve">  </w:t>
      </w: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</w:p>
    <w:p>
      <w:pPr>
        <w:pStyle w:val="22"/>
        <w:rPr>
          <w:color w:val="auto"/>
        </w:rPr>
      </w:pPr>
      <w:bookmarkStart w:id="0" w:name="_GoBack"/>
      <w:bookmarkEnd w:id="0"/>
    </w:p>
    <w:p>
      <w:pPr>
        <w:pStyle w:val="22"/>
        <w:rPr>
          <w:color w:val="auto"/>
        </w:rPr>
      </w:pPr>
    </w:p>
    <w:p>
      <w:pPr>
        <w:spacing w:line="560" w:lineRule="exact"/>
        <w:ind w:right="168" w:firstLine="210" w:firstLineChars="100"/>
        <w:rPr>
          <w:rStyle w:val="15"/>
          <w:rFonts w:ascii="仿宋" w:hAnsi="仿宋" w:eastAsia="仿宋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109220</wp:posOffset>
                </wp:positionV>
                <wp:extent cx="5615940" cy="635"/>
                <wp:effectExtent l="0" t="0" r="0" b="0"/>
                <wp:wrapNone/>
                <wp:docPr id="2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2.15pt;margin-top:8.6pt;height:0.05pt;width:442.2pt;z-index:251662336;mso-width-relative:page;mso-height-relative:page;" filled="f" stroked="t" coordsize="21600,21600" o:gfxdata="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8bDop1QAAAAcBAAAPAAAAAAAAAAEAIAAAACIAAABkcnMvZG93bnJldi54bWxQSwECFAAU&#10;AAAACACHTuJAiDP4PvQBAAD2AwAADgAAAAAAAAABACAAAAAk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鄂尔多斯市生态环境局东胜区分局</w: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338455</wp:posOffset>
                </wp:positionV>
                <wp:extent cx="5615940" cy="635"/>
                <wp:effectExtent l="0" t="0" r="0" b="0"/>
                <wp:wrapNone/>
                <wp:docPr id="1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.65pt;margin-top:26.65pt;height:0.05pt;width:442.2pt;z-index:251661312;mso-width-relative:page;mso-height-relative:page;" filled="f" stroked="t" coordsize="21600,21600" o:gfxdata="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uSVK1gAAAAcBAAAPAAAAAAAAAAEAIAAAACIAAABkcnMvZG93bnJldi54bWxQSwECFAAU&#10;AAAACACHTuJANGdpZvMBAAD2AwAADgAAAAAAAAABACAAAAAl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      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 202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2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年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9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月</w:t>
      </w:r>
      <w:r>
        <w:rPr>
          <w:rStyle w:val="15"/>
          <w:rFonts w:hint="eastAsia" w:ascii="仿宋" w:hAnsi="仿宋" w:eastAsia="仿宋"/>
          <w:color w:val="auto"/>
          <w:sz w:val="28"/>
          <w:szCs w:val="28"/>
          <w:lang w:val="en-US" w:eastAsia="zh-CN"/>
        </w:rPr>
        <w:t>13</w:t>
      </w:r>
      <w:r>
        <w:rPr>
          <w:rStyle w:val="15"/>
          <w:rFonts w:hint="eastAsia" w:ascii="仿宋" w:hAnsi="仿宋" w:eastAsia="仿宋"/>
          <w:color w:val="auto"/>
          <w:sz w:val="28"/>
          <w:szCs w:val="28"/>
        </w:rPr>
        <w:t>日印发</w:t>
      </w:r>
      <w:r>
        <w:rPr>
          <w:rStyle w:val="15"/>
          <w:rFonts w:ascii="仿宋" w:hAnsi="仿宋" w:eastAsia="仿宋"/>
          <w:color w:val="auto"/>
          <w:sz w:val="28"/>
          <w:szCs w:val="28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5" w:h="16837"/>
      <w:pgMar w:top="1700" w:right="1530" w:bottom="1417" w:left="1587" w:header="566" w:footer="566" w:gutter="0"/>
      <w:pgNumType w:fmt="numberInDash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BQ8+c0BAACnAwAADgAAAGRycy9lMm9Eb2MueG1srVNLbtswEN0H6B0I&#10;7mspRlE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U/A1nTlh68PPPH+dfj+eH72yZ&#10;5OkDVlR1F6guDu/9QEszx5GCifXQgk1f4sMoT+KeLuKqITKZLq2Wq1VJKUm52SH84ul6AIwflLcs&#10;GTUHer0sqjh+wjiWziWpm/O32pj8gsb9FSDMMaLyCky3E5Nx4mTFYTdM9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SBQ8+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napToGrid w:val="0"/>
      <w:spacing w:line="240" w:lineRule="atLeast"/>
      <w:jc w:val="center"/>
      <w:rPr>
        <w:rStyle w:val="1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720"/>
      <w:rPr>
        <w:rStyle w:val="1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mKMRP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8"/>
      <w:rPr>
        <w:rStyle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240" w:lineRule="atLeast"/>
      <w:rPr>
        <w:rStyle w:val="15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1007745</wp:posOffset>
              </wp:positionH>
              <wp:positionV relativeFrom="page">
                <wp:posOffset>359410</wp:posOffset>
              </wp:positionV>
              <wp:extent cx="5579745" cy="17970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97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dist="35921" dir="2699999" algn="ctr" rotWithShape="0">
                          <a:srgbClr val="A0A0A4"/>
                        </a:outerShdw>
                      </a:effectLst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9.35pt;margin-top:28.3pt;height:14.15pt;width:439.3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5TyNH9wAAAAKAQAADwAAAAAAAAABACAAAAAiAAAAZHJzL2Rvd25yZXYueG1sUEsBAhQA&#10;FAAAAAgAh07iQGUr8vLuAQAAyQMAAA4AAAAAAAAAAQAgAAAAKwEAAGRycy9lMm9Eb2MueG1sUEsF&#10;BgAAAAAGAAYAWQEAAIsFAAAAAA==&#10;">
              <v:fill on="f" focussize="0,0"/>
              <v:stroke on="f"/>
              <v:imagedata o:title=""/>
              <o:lock v:ext="edit" aspectratio="f"/>
              <v:shadow on="t" color="#A0A0A4" offset="2pt,2pt" origin="0f,0f" matrix="65536f,0f,0f,65536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A7FE8C"/>
    <w:multiLevelType w:val="singleLevel"/>
    <w:tmpl w:val="77A7FE8C"/>
    <w:lvl w:ilvl="0" w:tentative="0">
      <w:start w:val="1"/>
      <w:numFmt w:val="decimal"/>
      <w:suff w:val="nothing"/>
      <w:lvlText w:val="%1、"/>
      <w:lvlJc w:val="left"/>
      <w:pPr>
        <w:ind w:left="-10"/>
      </w:pPr>
      <w:rPr>
        <w:rFonts w:hint="default" w:ascii="仿宋" w:hAnsi="仿宋" w:eastAsia="仿宋" w:cs="仿宋"/>
        <w:color w:val="auto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ZTdmZjQ3MGE0NzZlNGYzNDM4YTliMDQ5ZTg3YjAifQ=="/>
  </w:docVars>
  <w:rsids>
    <w:rsidRoot w:val="006F5E64"/>
    <w:rsid w:val="001204A9"/>
    <w:rsid w:val="0015076A"/>
    <w:rsid w:val="00175BF5"/>
    <w:rsid w:val="002D2E4B"/>
    <w:rsid w:val="00354558"/>
    <w:rsid w:val="00494E3D"/>
    <w:rsid w:val="005B2A4E"/>
    <w:rsid w:val="006F5E64"/>
    <w:rsid w:val="007E2F8E"/>
    <w:rsid w:val="008C77A6"/>
    <w:rsid w:val="008E69A5"/>
    <w:rsid w:val="0092520E"/>
    <w:rsid w:val="009A3BD3"/>
    <w:rsid w:val="00A104F9"/>
    <w:rsid w:val="00AE48E3"/>
    <w:rsid w:val="00AF0FF6"/>
    <w:rsid w:val="00B20AEA"/>
    <w:rsid w:val="00B51603"/>
    <w:rsid w:val="00B93F27"/>
    <w:rsid w:val="00BA2ACE"/>
    <w:rsid w:val="00D2091F"/>
    <w:rsid w:val="00E42E5F"/>
    <w:rsid w:val="00E44AC0"/>
    <w:rsid w:val="00E82E40"/>
    <w:rsid w:val="00F5710E"/>
    <w:rsid w:val="00F634D8"/>
    <w:rsid w:val="00F7548A"/>
    <w:rsid w:val="00FA618D"/>
    <w:rsid w:val="01210341"/>
    <w:rsid w:val="01AC556B"/>
    <w:rsid w:val="02D23453"/>
    <w:rsid w:val="02DD4C33"/>
    <w:rsid w:val="02DD5B4F"/>
    <w:rsid w:val="02E37041"/>
    <w:rsid w:val="02F3233D"/>
    <w:rsid w:val="0358144A"/>
    <w:rsid w:val="03A03DE5"/>
    <w:rsid w:val="03A96EC4"/>
    <w:rsid w:val="03F37592"/>
    <w:rsid w:val="03F963FB"/>
    <w:rsid w:val="042E1659"/>
    <w:rsid w:val="044E4F55"/>
    <w:rsid w:val="048A4438"/>
    <w:rsid w:val="048A4FCC"/>
    <w:rsid w:val="04916917"/>
    <w:rsid w:val="04B202E1"/>
    <w:rsid w:val="04F715EE"/>
    <w:rsid w:val="04F72C71"/>
    <w:rsid w:val="05337BE9"/>
    <w:rsid w:val="059A4722"/>
    <w:rsid w:val="05D94866"/>
    <w:rsid w:val="060A1C1B"/>
    <w:rsid w:val="06191689"/>
    <w:rsid w:val="06CA02D1"/>
    <w:rsid w:val="06CC5F39"/>
    <w:rsid w:val="06E35A8B"/>
    <w:rsid w:val="06F42603"/>
    <w:rsid w:val="06F55023"/>
    <w:rsid w:val="071479B9"/>
    <w:rsid w:val="075C516B"/>
    <w:rsid w:val="075E259A"/>
    <w:rsid w:val="075F5B44"/>
    <w:rsid w:val="07B2034C"/>
    <w:rsid w:val="07E24DC5"/>
    <w:rsid w:val="08660559"/>
    <w:rsid w:val="088554D8"/>
    <w:rsid w:val="08A1120A"/>
    <w:rsid w:val="08AD4A87"/>
    <w:rsid w:val="08B51389"/>
    <w:rsid w:val="08EA5D86"/>
    <w:rsid w:val="08FE4C90"/>
    <w:rsid w:val="090362EF"/>
    <w:rsid w:val="090866C9"/>
    <w:rsid w:val="09630EDC"/>
    <w:rsid w:val="097134F8"/>
    <w:rsid w:val="098F5074"/>
    <w:rsid w:val="09B06929"/>
    <w:rsid w:val="0A3D33B0"/>
    <w:rsid w:val="0A5D0D80"/>
    <w:rsid w:val="0A62221D"/>
    <w:rsid w:val="0A6D53BD"/>
    <w:rsid w:val="0A9A115F"/>
    <w:rsid w:val="0AA477AD"/>
    <w:rsid w:val="0AA718C1"/>
    <w:rsid w:val="0B6446A4"/>
    <w:rsid w:val="0BA55642"/>
    <w:rsid w:val="0BD72E57"/>
    <w:rsid w:val="0BDE1694"/>
    <w:rsid w:val="0C2B3A73"/>
    <w:rsid w:val="0C301322"/>
    <w:rsid w:val="0CC65836"/>
    <w:rsid w:val="0CFC12E8"/>
    <w:rsid w:val="0D006A41"/>
    <w:rsid w:val="0D693F98"/>
    <w:rsid w:val="0D830185"/>
    <w:rsid w:val="0D966894"/>
    <w:rsid w:val="0E2F5220"/>
    <w:rsid w:val="0E364873"/>
    <w:rsid w:val="0E385A18"/>
    <w:rsid w:val="0E570138"/>
    <w:rsid w:val="0E9A33FF"/>
    <w:rsid w:val="0EB72A51"/>
    <w:rsid w:val="0EC36AE6"/>
    <w:rsid w:val="0F1B51C5"/>
    <w:rsid w:val="0F7E2F3B"/>
    <w:rsid w:val="0F8B77A7"/>
    <w:rsid w:val="0FB279DE"/>
    <w:rsid w:val="0FD03B40"/>
    <w:rsid w:val="101C23A5"/>
    <w:rsid w:val="103352A9"/>
    <w:rsid w:val="10376624"/>
    <w:rsid w:val="10395A2B"/>
    <w:rsid w:val="107347CB"/>
    <w:rsid w:val="10830D1C"/>
    <w:rsid w:val="10944235"/>
    <w:rsid w:val="10B61351"/>
    <w:rsid w:val="10C26E79"/>
    <w:rsid w:val="10C7603A"/>
    <w:rsid w:val="10C86C16"/>
    <w:rsid w:val="11131BAC"/>
    <w:rsid w:val="112C24FB"/>
    <w:rsid w:val="11356D45"/>
    <w:rsid w:val="11534193"/>
    <w:rsid w:val="11611336"/>
    <w:rsid w:val="116C0377"/>
    <w:rsid w:val="119944E3"/>
    <w:rsid w:val="11B06C88"/>
    <w:rsid w:val="11B5604C"/>
    <w:rsid w:val="11CD325E"/>
    <w:rsid w:val="11D2180D"/>
    <w:rsid w:val="12EA255A"/>
    <w:rsid w:val="13464D5E"/>
    <w:rsid w:val="13664E34"/>
    <w:rsid w:val="1398649C"/>
    <w:rsid w:val="139A0B1F"/>
    <w:rsid w:val="13C532EF"/>
    <w:rsid w:val="13C62793"/>
    <w:rsid w:val="144C07C7"/>
    <w:rsid w:val="1562595D"/>
    <w:rsid w:val="15652C35"/>
    <w:rsid w:val="156D1455"/>
    <w:rsid w:val="15E91737"/>
    <w:rsid w:val="16015C16"/>
    <w:rsid w:val="16041455"/>
    <w:rsid w:val="16391CAE"/>
    <w:rsid w:val="168C74C9"/>
    <w:rsid w:val="16FF6904"/>
    <w:rsid w:val="171F5F2F"/>
    <w:rsid w:val="1747459A"/>
    <w:rsid w:val="178F5508"/>
    <w:rsid w:val="17D90483"/>
    <w:rsid w:val="181C5F12"/>
    <w:rsid w:val="18207E93"/>
    <w:rsid w:val="18A230A3"/>
    <w:rsid w:val="18A37FC9"/>
    <w:rsid w:val="18AE27A5"/>
    <w:rsid w:val="18E54146"/>
    <w:rsid w:val="19473B43"/>
    <w:rsid w:val="19AC1F9C"/>
    <w:rsid w:val="19EA6791"/>
    <w:rsid w:val="19F825D9"/>
    <w:rsid w:val="1A437161"/>
    <w:rsid w:val="1A562397"/>
    <w:rsid w:val="1A6C6995"/>
    <w:rsid w:val="1A805ECF"/>
    <w:rsid w:val="1AFA27E4"/>
    <w:rsid w:val="1BBA357C"/>
    <w:rsid w:val="1BBC5800"/>
    <w:rsid w:val="1BDD6112"/>
    <w:rsid w:val="1BF630B5"/>
    <w:rsid w:val="1C0715F0"/>
    <w:rsid w:val="1C38167A"/>
    <w:rsid w:val="1C5D600F"/>
    <w:rsid w:val="1C5E37FE"/>
    <w:rsid w:val="1C5F17DC"/>
    <w:rsid w:val="1C680F45"/>
    <w:rsid w:val="1C866676"/>
    <w:rsid w:val="1CA41BA5"/>
    <w:rsid w:val="1CE0100C"/>
    <w:rsid w:val="1D062C2C"/>
    <w:rsid w:val="1D0F0766"/>
    <w:rsid w:val="1D806FC0"/>
    <w:rsid w:val="1DD85EE2"/>
    <w:rsid w:val="1E322AFA"/>
    <w:rsid w:val="1E39255D"/>
    <w:rsid w:val="1E565798"/>
    <w:rsid w:val="1E5B4E2F"/>
    <w:rsid w:val="1EB145A4"/>
    <w:rsid w:val="1EB26A2F"/>
    <w:rsid w:val="1F197ECC"/>
    <w:rsid w:val="1F9A03FC"/>
    <w:rsid w:val="1F9F4FD0"/>
    <w:rsid w:val="1FB13B43"/>
    <w:rsid w:val="1FB75686"/>
    <w:rsid w:val="1FDE2C12"/>
    <w:rsid w:val="201523AC"/>
    <w:rsid w:val="202820DF"/>
    <w:rsid w:val="203E5C2F"/>
    <w:rsid w:val="20723F75"/>
    <w:rsid w:val="208B0C0A"/>
    <w:rsid w:val="209F2E8C"/>
    <w:rsid w:val="20B35E4D"/>
    <w:rsid w:val="20C94FCD"/>
    <w:rsid w:val="20CF0133"/>
    <w:rsid w:val="217D77E0"/>
    <w:rsid w:val="21EF70BE"/>
    <w:rsid w:val="220E66BC"/>
    <w:rsid w:val="2265588B"/>
    <w:rsid w:val="22795B92"/>
    <w:rsid w:val="228C2292"/>
    <w:rsid w:val="23541649"/>
    <w:rsid w:val="235E3785"/>
    <w:rsid w:val="23921405"/>
    <w:rsid w:val="23963804"/>
    <w:rsid w:val="23C9100A"/>
    <w:rsid w:val="24421E65"/>
    <w:rsid w:val="24523BCF"/>
    <w:rsid w:val="245B6F27"/>
    <w:rsid w:val="24715151"/>
    <w:rsid w:val="24855506"/>
    <w:rsid w:val="24C456C6"/>
    <w:rsid w:val="24FF3C54"/>
    <w:rsid w:val="25125EFC"/>
    <w:rsid w:val="25366867"/>
    <w:rsid w:val="2537664C"/>
    <w:rsid w:val="253C64B1"/>
    <w:rsid w:val="25733248"/>
    <w:rsid w:val="25AA1BAB"/>
    <w:rsid w:val="25AF47C5"/>
    <w:rsid w:val="25D60BC4"/>
    <w:rsid w:val="25D873ED"/>
    <w:rsid w:val="25F75335"/>
    <w:rsid w:val="260007C3"/>
    <w:rsid w:val="261325BB"/>
    <w:rsid w:val="267000E4"/>
    <w:rsid w:val="269E1BDF"/>
    <w:rsid w:val="26C86AE1"/>
    <w:rsid w:val="27063174"/>
    <w:rsid w:val="2745621A"/>
    <w:rsid w:val="274B306C"/>
    <w:rsid w:val="28150F91"/>
    <w:rsid w:val="289A0EE5"/>
    <w:rsid w:val="28A2177B"/>
    <w:rsid w:val="28DA25CC"/>
    <w:rsid w:val="29625978"/>
    <w:rsid w:val="29BE7B24"/>
    <w:rsid w:val="29EC1002"/>
    <w:rsid w:val="2A173A82"/>
    <w:rsid w:val="2A27019D"/>
    <w:rsid w:val="2A4A7282"/>
    <w:rsid w:val="2A77431C"/>
    <w:rsid w:val="2ABD6442"/>
    <w:rsid w:val="2AC9179F"/>
    <w:rsid w:val="2ACD268E"/>
    <w:rsid w:val="2AF53CB3"/>
    <w:rsid w:val="2B496FAB"/>
    <w:rsid w:val="2B5F7DC4"/>
    <w:rsid w:val="2BD26C46"/>
    <w:rsid w:val="2BDE5B5E"/>
    <w:rsid w:val="2C3F708C"/>
    <w:rsid w:val="2C871D94"/>
    <w:rsid w:val="2CAE4D3A"/>
    <w:rsid w:val="2CFB6C68"/>
    <w:rsid w:val="2D103609"/>
    <w:rsid w:val="2D5C4C74"/>
    <w:rsid w:val="2D5F771D"/>
    <w:rsid w:val="2E1A5EC1"/>
    <w:rsid w:val="2E653EAF"/>
    <w:rsid w:val="2E6B1F05"/>
    <w:rsid w:val="2EA85B70"/>
    <w:rsid w:val="2EB60EB6"/>
    <w:rsid w:val="2F1876BA"/>
    <w:rsid w:val="2F71563A"/>
    <w:rsid w:val="2F8C2E25"/>
    <w:rsid w:val="2F8E3C27"/>
    <w:rsid w:val="2FC328DF"/>
    <w:rsid w:val="2FC971D5"/>
    <w:rsid w:val="2FE05822"/>
    <w:rsid w:val="2FEA3599"/>
    <w:rsid w:val="301223CD"/>
    <w:rsid w:val="30221543"/>
    <w:rsid w:val="3071536E"/>
    <w:rsid w:val="30AC344A"/>
    <w:rsid w:val="30CD0F38"/>
    <w:rsid w:val="312C0E37"/>
    <w:rsid w:val="31451F91"/>
    <w:rsid w:val="3166710B"/>
    <w:rsid w:val="31B97443"/>
    <w:rsid w:val="31E74361"/>
    <w:rsid w:val="322F75E5"/>
    <w:rsid w:val="3239406E"/>
    <w:rsid w:val="3245462B"/>
    <w:rsid w:val="32862408"/>
    <w:rsid w:val="32902492"/>
    <w:rsid w:val="32A41A78"/>
    <w:rsid w:val="32A93554"/>
    <w:rsid w:val="33086177"/>
    <w:rsid w:val="333016EF"/>
    <w:rsid w:val="33314FCC"/>
    <w:rsid w:val="33460DA3"/>
    <w:rsid w:val="334F543C"/>
    <w:rsid w:val="336D70A5"/>
    <w:rsid w:val="33770F5C"/>
    <w:rsid w:val="33A76983"/>
    <w:rsid w:val="33CD0AF4"/>
    <w:rsid w:val="340F04E6"/>
    <w:rsid w:val="341B222F"/>
    <w:rsid w:val="343D6FC0"/>
    <w:rsid w:val="346C54C4"/>
    <w:rsid w:val="3587701E"/>
    <w:rsid w:val="361479B3"/>
    <w:rsid w:val="362A341F"/>
    <w:rsid w:val="36CB51E2"/>
    <w:rsid w:val="36D33EE3"/>
    <w:rsid w:val="36F32FEF"/>
    <w:rsid w:val="37075CEA"/>
    <w:rsid w:val="372344BA"/>
    <w:rsid w:val="37334EA2"/>
    <w:rsid w:val="375C4DD9"/>
    <w:rsid w:val="375D3876"/>
    <w:rsid w:val="37663248"/>
    <w:rsid w:val="37966A72"/>
    <w:rsid w:val="37E5426D"/>
    <w:rsid w:val="37FF7133"/>
    <w:rsid w:val="38114125"/>
    <w:rsid w:val="38176CB5"/>
    <w:rsid w:val="38252AC8"/>
    <w:rsid w:val="389B5401"/>
    <w:rsid w:val="38B32843"/>
    <w:rsid w:val="39750C1A"/>
    <w:rsid w:val="39815D3F"/>
    <w:rsid w:val="39CB16C6"/>
    <w:rsid w:val="39CE6D77"/>
    <w:rsid w:val="39CF3432"/>
    <w:rsid w:val="3A102EB3"/>
    <w:rsid w:val="3A1559AB"/>
    <w:rsid w:val="3A1716A8"/>
    <w:rsid w:val="3A2C25BF"/>
    <w:rsid w:val="3A420ECD"/>
    <w:rsid w:val="3A877E33"/>
    <w:rsid w:val="3AEA62F0"/>
    <w:rsid w:val="3B433FA0"/>
    <w:rsid w:val="3B8024AE"/>
    <w:rsid w:val="3BCA2CB8"/>
    <w:rsid w:val="3C0033D9"/>
    <w:rsid w:val="3C201861"/>
    <w:rsid w:val="3C351081"/>
    <w:rsid w:val="3C545991"/>
    <w:rsid w:val="3C795E81"/>
    <w:rsid w:val="3C9C06C9"/>
    <w:rsid w:val="3CF212C3"/>
    <w:rsid w:val="3D4E0D02"/>
    <w:rsid w:val="3D615C4A"/>
    <w:rsid w:val="3D9D29AC"/>
    <w:rsid w:val="3DD06792"/>
    <w:rsid w:val="3E6216DB"/>
    <w:rsid w:val="3E6D2368"/>
    <w:rsid w:val="3E8C50F6"/>
    <w:rsid w:val="3E9E6EFC"/>
    <w:rsid w:val="3EA147B7"/>
    <w:rsid w:val="3EAA1A98"/>
    <w:rsid w:val="3ED64314"/>
    <w:rsid w:val="3EDA3818"/>
    <w:rsid w:val="3EEF2E69"/>
    <w:rsid w:val="3F267EF6"/>
    <w:rsid w:val="3F411139"/>
    <w:rsid w:val="3F650C7F"/>
    <w:rsid w:val="3F7635AF"/>
    <w:rsid w:val="3F926C34"/>
    <w:rsid w:val="3FEA64CB"/>
    <w:rsid w:val="3FF57D0C"/>
    <w:rsid w:val="401A75E2"/>
    <w:rsid w:val="40333ECA"/>
    <w:rsid w:val="405368AD"/>
    <w:rsid w:val="40A601F0"/>
    <w:rsid w:val="40B345F0"/>
    <w:rsid w:val="40BF08B4"/>
    <w:rsid w:val="411D0018"/>
    <w:rsid w:val="413328ED"/>
    <w:rsid w:val="41392B4A"/>
    <w:rsid w:val="41C04416"/>
    <w:rsid w:val="41C31E09"/>
    <w:rsid w:val="41D47B54"/>
    <w:rsid w:val="42096DA4"/>
    <w:rsid w:val="42571ED3"/>
    <w:rsid w:val="42A12AD7"/>
    <w:rsid w:val="42B31FAB"/>
    <w:rsid w:val="42C15BDB"/>
    <w:rsid w:val="431350FA"/>
    <w:rsid w:val="43171E14"/>
    <w:rsid w:val="431B4412"/>
    <w:rsid w:val="4331043E"/>
    <w:rsid w:val="4331172A"/>
    <w:rsid w:val="43374264"/>
    <w:rsid w:val="433E53DA"/>
    <w:rsid w:val="43B31C0B"/>
    <w:rsid w:val="43DA60A1"/>
    <w:rsid w:val="43E35A87"/>
    <w:rsid w:val="43EC55F4"/>
    <w:rsid w:val="4477148F"/>
    <w:rsid w:val="44947B97"/>
    <w:rsid w:val="44A75A3C"/>
    <w:rsid w:val="44B519AF"/>
    <w:rsid w:val="44C00C32"/>
    <w:rsid w:val="44EF0F1F"/>
    <w:rsid w:val="4502587E"/>
    <w:rsid w:val="456D65AD"/>
    <w:rsid w:val="458429FA"/>
    <w:rsid w:val="463C0677"/>
    <w:rsid w:val="46462965"/>
    <w:rsid w:val="46773189"/>
    <w:rsid w:val="467C4988"/>
    <w:rsid w:val="468D35B1"/>
    <w:rsid w:val="46C060ED"/>
    <w:rsid w:val="46DC7BF5"/>
    <w:rsid w:val="46EF6089"/>
    <w:rsid w:val="46F85ECC"/>
    <w:rsid w:val="47187FE4"/>
    <w:rsid w:val="4719630E"/>
    <w:rsid w:val="47310F34"/>
    <w:rsid w:val="47352FEC"/>
    <w:rsid w:val="47413DCB"/>
    <w:rsid w:val="47463708"/>
    <w:rsid w:val="477C5B9E"/>
    <w:rsid w:val="4780431E"/>
    <w:rsid w:val="479235C6"/>
    <w:rsid w:val="482F22FC"/>
    <w:rsid w:val="483A153F"/>
    <w:rsid w:val="48714DBB"/>
    <w:rsid w:val="49540677"/>
    <w:rsid w:val="496658A3"/>
    <w:rsid w:val="49926C6C"/>
    <w:rsid w:val="49AA4FB0"/>
    <w:rsid w:val="49DB78B5"/>
    <w:rsid w:val="49E97A04"/>
    <w:rsid w:val="49EA569C"/>
    <w:rsid w:val="4A1A59D7"/>
    <w:rsid w:val="4A494A22"/>
    <w:rsid w:val="4A911B79"/>
    <w:rsid w:val="4ADF223E"/>
    <w:rsid w:val="4AF07DCC"/>
    <w:rsid w:val="4B620F05"/>
    <w:rsid w:val="4BAD0F90"/>
    <w:rsid w:val="4C2274BE"/>
    <w:rsid w:val="4D377F90"/>
    <w:rsid w:val="4D3D1D46"/>
    <w:rsid w:val="4D743394"/>
    <w:rsid w:val="4D7C0517"/>
    <w:rsid w:val="4DD86643"/>
    <w:rsid w:val="4DDE7B5E"/>
    <w:rsid w:val="4E062159"/>
    <w:rsid w:val="4E8978EA"/>
    <w:rsid w:val="4EC56144"/>
    <w:rsid w:val="4EC72940"/>
    <w:rsid w:val="4F044A24"/>
    <w:rsid w:val="4F0B6B33"/>
    <w:rsid w:val="4F2B1F6E"/>
    <w:rsid w:val="4F4437F3"/>
    <w:rsid w:val="4F94752D"/>
    <w:rsid w:val="4F9668DE"/>
    <w:rsid w:val="4FD91C66"/>
    <w:rsid w:val="4FDF1ADA"/>
    <w:rsid w:val="4FE651D4"/>
    <w:rsid w:val="501660DD"/>
    <w:rsid w:val="505F24B0"/>
    <w:rsid w:val="50681DDC"/>
    <w:rsid w:val="507026E4"/>
    <w:rsid w:val="50C61171"/>
    <w:rsid w:val="51167CDE"/>
    <w:rsid w:val="51324DA9"/>
    <w:rsid w:val="51D501ED"/>
    <w:rsid w:val="51F10DE8"/>
    <w:rsid w:val="522D7F16"/>
    <w:rsid w:val="523952D8"/>
    <w:rsid w:val="523B2FBD"/>
    <w:rsid w:val="52400F9E"/>
    <w:rsid w:val="52473BB8"/>
    <w:rsid w:val="5288313B"/>
    <w:rsid w:val="52D27DE3"/>
    <w:rsid w:val="52F33045"/>
    <w:rsid w:val="531F408E"/>
    <w:rsid w:val="53406525"/>
    <w:rsid w:val="5346488C"/>
    <w:rsid w:val="534B5C0F"/>
    <w:rsid w:val="53E44017"/>
    <w:rsid w:val="5432323D"/>
    <w:rsid w:val="54331B24"/>
    <w:rsid w:val="54686A39"/>
    <w:rsid w:val="548432FD"/>
    <w:rsid w:val="54E641C3"/>
    <w:rsid w:val="54EC6DF6"/>
    <w:rsid w:val="54F16F78"/>
    <w:rsid w:val="55215714"/>
    <w:rsid w:val="554D7806"/>
    <w:rsid w:val="55865C3F"/>
    <w:rsid w:val="55A94050"/>
    <w:rsid w:val="55CA36B6"/>
    <w:rsid w:val="56101070"/>
    <w:rsid w:val="567F5F3C"/>
    <w:rsid w:val="56BF4844"/>
    <w:rsid w:val="56DB6AC7"/>
    <w:rsid w:val="56DF16DC"/>
    <w:rsid w:val="57780B5F"/>
    <w:rsid w:val="57827D4C"/>
    <w:rsid w:val="57B96494"/>
    <w:rsid w:val="57DD76E9"/>
    <w:rsid w:val="57E02CC4"/>
    <w:rsid w:val="57FC658A"/>
    <w:rsid w:val="57FE5FE5"/>
    <w:rsid w:val="586A1F97"/>
    <w:rsid w:val="589C6ECF"/>
    <w:rsid w:val="59597413"/>
    <w:rsid w:val="59EE5797"/>
    <w:rsid w:val="5AC272A3"/>
    <w:rsid w:val="5B092532"/>
    <w:rsid w:val="5B307B0A"/>
    <w:rsid w:val="5BB1110B"/>
    <w:rsid w:val="5C2B7BE1"/>
    <w:rsid w:val="5C621337"/>
    <w:rsid w:val="5C7F01BD"/>
    <w:rsid w:val="5CFF6F8D"/>
    <w:rsid w:val="5D6C33D5"/>
    <w:rsid w:val="5DA25547"/>
    <w:rsid w:val="5DB76B81"/>
    <w:rsid w:val="5DC5227C"/>
    <w:rsid w:val="5DD32B36"/>
    <w:rsid w:val="5DEC6C8E"/>
    <w:rsid w:val="5DF951D1"/>
    <w:rsid w:val="5DFA4819"/>
    <w:rsid w:val="5E7128C8"/>
    <w:rsid w:val="5EFB79A1"/>
    <w:rsid w:val="5F2A616C"/>
    <w:rsid w:val="5F3C052E"/>
    <w:rsid w:val="5F6C71D0"/>
    <w:rsid w:val="5F785148"/>
    <w:rsid w:val="5F903222"/>
    <w:rsid w:val="5FA8049F"/>
    <w:rsid w:val="5FC04A97"/>
    <w:rsid w:val="5FF2718E"/>
    <w:rsid w:val="5FFF4EA8"/>
    <w:rsid w:val="602B2726"/>
    <w:rsid w:val="60417BB4"/>
    <w:rsid w:val="60B2650C"/>
    <w:rsid w:val="611D40E2"/>
    <w:rsid w:val="614462DE"/>
    <w:rsid w:val="61B516C4"/>
    <w:rsid w:val="61EF4764"/>
    <w:rsid w:val="623B60A2"/>
    <w:rsid w:val="625904A9"/>
    <w:rsid w:val="62A64AED"/>
    <w:rsid w:val="62FD2CBF"/>
    <w:rsid w:val="632D32DF"/>
    <w:rsid w:val="636B778B"/>
    <w:rsid w:val="63713FBD"/>
    <w:rsid w:val="63950102"/>
    <w:rsid w:val="63A66B70"/>
    <w:rsid w:val="63B4454C"/>
    <w:rsid w:val="641D5FD9"/>
    <w:rsid w:val="644545DB"/>
    <w:rsid w:val="64566E62"/>
    <w:rsid w:val="647677D7"/>
    <w:rsid w:val="64770209"/>
    <w:rsid w:val="65042865"/>
    <w:rsid w:val="651360F5"/>
    <w:rsid w:val="651B024D"/>
    <w:rsid w:val="652A27F0"/>
    <w:rsid w:val="652A37D1"/>
    <w:rsid w:val="65571260"/>
    <w:rsid w:val="65620EA6"/>
    <w:rsid w:val="65AB3C61"/>
    <w:rsid w:val="65B25CB4"/>
    <w:rsid w:val="65CE2481"/>
    <w:rsid w:val="65FB616C"/>
    <w:rsid w:val="661125F2"/>
    <w:rsid w:val="6611695D"/>
    <w:rsid w:val="66194DC3"/>
    <w:rsid w:val="66267FAE"/>
    <w:rsid w:val="668D09A2"/>
    <w:rsid w:val="669764AC"/>
    <w:rsid w:val="66B8399A"/>
    <w:rsid w:val="66BE0674"/>
    <w:rsid w:val="66D55C0F"/>
    <w:rsid w:val="66D56920"/>
    <w:rsid w:val="66DE2AC5"/>
    <w:rsid w:val="672A40B7"/>
    <w:rsid w:val="6746660F"/>
    <w:rsid w:val="6749451C"/>
    <w:rsid w:val="674A4227"/>
    <w:rsid w:val="679300D6"/>
    <w:rsid w:val="684478D1"/>
    <w:rsid w:val="686109FC"/>
    <w:rsid w:val="686801CC"/>
    <w:rsid w:val="686B1CC5"/>
    <w:rsid w:val="688C32E6"/>
    <w:rsid w:val="68D84C26"/>
    <w:rsid w:val="694D466A"/>
    <w:rsid w:val="695143FB"/>
    <w:rsid w:val="698A3A01"/>
    <w:rsid w:val="698D0D6B"/>
    <w:rsid w:val="69E6116E"/>
    <w:rsid w:val="6A051C1C"/>
    <w:rsid w:val="6A461941"/>
    <w:rsid w:val="6AA33CF1"/>
    <w:rsid w:val="6ABD1719"/>
    <w:rsid w:val="6ACC25CE"/>
    <w:rsid w:val="6B275374"/>
    <w:rsid w:val="6B383C34"/>
    <w:rsid w:val="6B3E3B32"/>
    <w:rsid w:val="6B96571C"/>
    <w:rsid w:val="6BAF67DE"/>
    <w:rsid w:val="6BEB28AD"/>
    <w:rsid w:val="6C1D1BAE"/>
    <w:rsid w:val="6C32108A"/>
    <w:rsid w:val="6C324ACA"/>
    <w:rsid w:val="6C495CD7"/>
    <w:rsid w:val="6C6C7186"/>
    <w:rsid w:val="6C71153E"/>
    <w:rsid w:val="6CA67BC0"/>
    <w:rsid w:val="6CC91B21"/>
    <w:rsid w:val="6CE10EDA"/>
    <w:rsid w:val="6D4F01B3"/>
    <w:rsid w:val="6D9B0E92"/>
    <w:rsid w:val="6DC319FF"/>
    <w:rsid w:val="6E541954"/>
    <w:rsid w:val="6E6D5C0E"/>
    <w:rsid w:val="6E7C3113"/>
    <w:rsid w:val="6E934195"/>
    <w:rsid w:val="6EA67FA2"/>
    <w:rsid w:val="6F957251"/>
    <w:rsid w:val="6F9B1553"/>
    <w:rsid w:val="700A5B3E"/>
    <w:rsid w:val="70921C55"/>
    <w:rsid w:val="710C022E"/>
    <w:rsid w:val="71283ECD"/>
    <w:rsid w:val="713D11CB"/>
    <w:rsid w:val="71502437"/>
    <w:rsid w:val="71D76A8E"/>
    <w:rsid w:val="71E362C3"/>
    <w:rsid w:val="72323D71"/>
    <w:rsid w:val="731775B6"/>
    <w:rsid w:val="73BA11B9"/>
    <w:rsid w:val="73D60472"/>
    <w:rsid w:val="73F53D48"/>
    <w:rsid w:val="7463285B"/>
    <w:rsid w:val="7496752E"/>
    <w:rsid w:val="755A0A76"/>
    <w:rsid w:val="755B54D7"/>
    <w:rsid w:val="75765328"/>
    <w:rsid w:val="75A177EE"/>
    <w:rsid w:val="75D86CD4"/>
    <w:rsid w:val="760E7139"/>
    <w:rsid w:val="76496AA8"/>
    <w:rsid w:val="76745CA5"/>
    <w:rsid w:val="768559AF"/>
    <w:rsid w:val="76A05F87"/>
    <w:rsid w:val="76F33AE6"/>
    <w:rsid w:val="76F41191"/>
    <w:rsid w:val="773D6D01"/>
    <w:rsid w:val="779352B4"/>
    <w:rsid w:val="77DF2692"/>
    <w:rsid w:val="77EC1D59"/>
    <w:rsid w:val="783E6571"/>
    <w:rsid w:val="78502F65"/>
    <w:rsid w:val="786E6C4A"/>
    <w:rsid w:val="789D2BB8"/>
    <w:rsid w:val="78DB6555"/>
    <w:rsid w:val="78FD20DF"/>
    <w:rsid w:val="79442C5B"/>
    <w:rsid w:val="795654B4"/>
    <w:rsid w:val="79E24199"/>
    <w:rsid w:val="7A281851"/>
    <w:rsid w:val="7A550F13"/>
    <w:rsid w:val="7A773BB5"/>
    <w:rsid w:val="7AA634A2"/>
    <w:rsid w:val="7B345817"/>
    <w:rsid w:val="7B62786A"/>
    <w:rsid w:val="7BAD7F79"/>
    <w:rsid w:val="7BE82E7A"/>
    <w:rsid w:val="7C047330"/>
    <w:rsid w:val="7C1A0DC0"/>
    <w:rsid w:val="7CE039CF"/>
    <w:rsid w:val="7D273F15"/>
    <w:rsid w:val="7D54267F"/>
    <w:rsid w:val="7D7C739E"/>
    <w:rsid w:val="7D962891"/>
    <w:rsid w:val="7DBD5F66"/>
    <w:rsid w:val="7DC17EA6"/>
    <w:rsid w:val="7E0D5B2C"/>
    <w:rsid w:val="7E2E7A36"/>
    <w:rsid w:val="7E6D055E"/>
    <w:rsid w:val="7E7F66A4"/>
    <w:rsid w:val="7EA72D17"/>
    <w:rsid w:val="7F277A16"/>
    <w:rsid w:val="7F2F2002"/>
    <w:rsid w:val="7FCE14D1"/>
    <w:rsid w:val="7FEC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qFormat/>
    <w:uiPriority w:val="99"/>
    <w:pPr>
      <w:ind w:left="420" w:leftChars="200"/>
    </w:pPr>
  </w:style>
  <w:style w:type="paragraph" w:styleId="4">
    <w:name w:val="Normal Indent"/>
    <w:basedOn w:val="1"/>
    <w:next w:val="2"/>
    <w:qFormat/>
    <w:uiPriority w:val="0"/>
    <w:pPr>
      <w:ind w:firstLine="42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link w:val="18"/>
    <w:qFormat/>
    <w:uiPriority w:val="99"/>
    <w:pPr>
      <w:spacing w:after="120"/>
    </w:pPr>
    <w:rPr>
      <w:rFonts w:ascii="Calibri" w:hAnsi="Calibri"/>
      <w:szCs w:val="22"/>
    </w:rPr>
  </w:style>
  <w:style w:type="paragraph" w:styleId="7">
    <w:name w:val="Date"/>
    <w:basedOn w:val="1"/>
    <w:next w:val="1"/>
    <w:link w:val="19"/>
    <w:qFormat/>
    <w:uiPriority w:val="99"/>
    <w:pPr>
      <w:ind w:left="100" w:leftChars="2500"/>
    </w:p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1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Body Text 2"/>
    <w:basedOn w:val="1"/>
    <w:next w:val="1"/>
    <w:qFormat/>
    <w:uiPriority w:val="0"/>
    <w:rPr>
      <w:sz w:val="24"/>
      <w:szCs w:val="22"/>
    </w:rPr>
  </w:style>
  <w:style w:type="paragraph" w:styleId="11">
    <w:name w:val="Body Text First Indent"/>
    <w:basedOn w:val="6"/>
    <w:next w:val="1"/>
    <w:qFormat/>
    <w:uiPriority w:val="0"/>
    <w:pPr>
      <w:spacing w:after="120"/>
      <w:ind w:firstLine="420" w:firstLineChars="100"/>
    </w:pPr>
  </w:style>
  <w:style w:type="character" w:styleId="14">
    <w:name w:val="Strong"/>
    <w:basedOn w:val="15"/>
    <w:qFormat/>
    <w:uiPriority w:val="99"/>
    <w:rPr>
      <w:rFonts w:cs="Times New Roman"/>
      <w:b/>
    </w:rPr>
  </w:style>
  <w:style w:type="character" w:customStyle="1" w:styleId="15">
    <w:name w:val="NormalCharacter"/>
    <w:semiHidden/>
    <w:qFormat/>
    <w:uiPriority w:val="99"/>
  </w:style>
  <w:style w:type="character" w:styleId="16">
    <w:name w:val="annotation reference"/>
    <w:qFormat/>
    <w:uiPriority w:val="0"/>
    <w:rPr>
      <w:sz w:val="21"/>
      <w:szCs w:val="21"/>
    </w:rPr>
  </w:style>
  <w:style w:type="paragraph" w:customStyle="1" w:styleId="17">
    <w:name w:val="样式 正文缩进正文缩进2正文缩进 Char Char正文缩进 Char Char Char Char正文缩进 Char ..."/>
    <w:basedOn w:val="4"/>
    <w:qFormat/>
    <w:uiPriority w:val="0"/>
    <w:pPr>
      <w:widowControl/>
      <w:spacing w:before="0" w:after="0" w:line="360" w:lineRule="auto"/>
      <w:ind w:firstLine="200"/>
      <w:jc w:val="left"/>
      <w:textAlignment w:val="auto"/>
    </w:pPr>
    <w:rPr>
      <w:rFonts w:ascii="Times New Roman" w:hAnsi="Times New Roman" w:cs="宋体"/>
      <w:spacing w:val="0"/>
      <w:szCs w:val="22"/>
    </w:rPr>
  </w:style>
  <w:style w:type="character" w:customStyle="1" w:styleId="18">
    <w:name w:val="正文文本 Char"/>
    <w:basedOn w:val="13"/>
    <w:link w:val="6"/>
    <w:semiHidden/>
    <w:qFormat/>
    <w:uiPriority w:val="99"/>
    <w:rPr>
      <w:color w:val="000000"/>
      <w:kern w:val="0"/>
      <w:szCs w:val="20"/>
    </w:rPr>
  </w:style>
  <w:style w:type="character" w:customStyle="1" w:styleId="19">
    <w:name w:val="日期 Char"/>
    <w:basedOn w:val="13"/>
    <w:link w:val="7"/>
    <w:semiHidden/>
    <w:qFormat/>
    <w:uiPriority w:val="99"/>
    <w:rPr>
      <w:color w:val="000000"/>
      <w:kern w:val="0"/>
      <w:szCs w:val="20"/>
    </w:rPr>
  </w:style>
  <w:style w:type="character" w:customStyle="1" w:styleId="20">
    <w:name w:val="页脚 Char"/>
    <w:basedOn w:val="15"/>
    <w:link w:val="8"/>
    <w:qFormat/>
    <w:locked/>
    <w:uiPriority w:val="99"/>
    <w:rPr>
      <w:rFonts w:cs="Times New Roman"/>
      <w:color w:val="000000"/>
      <w:sz w:val="18"/>
    </w:rPr>
  </w:style>
  <w:style w:type="character" w:customStyle="1" w:styleId="21">
    <w:name w:val="页眉 Char"/>
    <w:basedOn w:val="15"/>
    <w:link w:val="9"/>
    <w:qFormat/>
    <w:locked/>
    <w:uiPriority w:val="99"/>
    <w:rPr>
      <w:rFonts w:cs="Times New Roman"/>
      <w:color w:val="000000"/>
      <w:sz w:val="18"/>
      <w:szCs w:val="18"/>
    </w:rPr>
  </w:style>
  <w:style w:type="paragraph" w:customStyle="1" w:styleId="22">
    <w:name w:val="BodyText"/>
    <w:basedOn w:val="1"/>
    <w:qFormat/>
    <w:uiPriority w:val="99"/>
    <w:pPr>
      <w:spacing w:after="120"/>
    </w:pPr>
    <w:rPr>
      <w:rFonts w:ascii="Calibri" w:hAnsi="Calibri"/>
      <w:szCs w:val="22"/>
    </w:rPr>
  </w:style>
  <w:style w:type="table" w:customStyle="1" w:styleId="23">
    <w:name w:val="TableNormal"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4">
    <w:name w:val="UserStyle_0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5">
    <w:name w:val="AnnotationReference"/>
    <w:qFormat/>
    <w:uiPriority w:val="99"/>
    <w:rPr>
      <w:sz w:val="21"/>
    </w:rPr>
  </w:style>
  <w:style w:type="character" w:customStyle="1" w:styleId="26">
    <w:name w:val="UserStyle_2"/>
    <w:basedOn w:val="15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7">
    <w:name w:val="UserStyle_3"/>
    <w:semiHidden/>
    <w:qFormat/>
    <w:uiPriority w:val="99"/>
    <w:rPr>
      <w:rFonts w:ascii="Times New Roman" w:hAnsi="Times New Roman" w:eastAsia="宋体"/>
      <w:kern w:val="2"/>
      <w:sz w:val="21"/>
      <w:lang w:val="en-US" w:eastAsia="zh-CN"/>
    </w:rPr>
  </w:style>
  <w:style w:type="paragraph" w:customStyle="1" w:styleId="28">
    <w:name w:val="UserStyle_5"/>
    <w:basedOn w:val="1"/>
    <w:next w:val="29"/>
    <w:qFormat/>
    <w:uiPriority w:val="99"/>
    <w:pPr>
      <w:spacing w:before="566" w:after="544" w:line="566" w:lineRule="atLeast"/>
      <w:jc w:val="center"/>
    </w:pPr>
    <w:rPr>
      <w:rFonts w:ascii="Arial" w:eastAsia="黑体"/>
      <w:sz w:val="54"/>
    </w:rPr>
  </w:style>
  <w:style w:type="paragraph" w:customStyle="1" w:styleId="29">
    <w:name w:val="UserStyle_6"/>
    <w:basedOn w:val="1"/>
    <w:next w:val="30"/>
    <w:qFormat/>
    <w:uiPriority w:val="99"/>
    <w:pPr>
      <w:spacing w:before="187" w:after="175" w:line="374" w:lineRule="atLeast"/>
      <w:jc w:val="center"/>
    </w:pPr>
    <w:rPr>
      <w:sz w:val="36"/>
    </w:rPr>
  </w:style>
  <w:style w:type="paragraph" w:customStyle="1" w:styleId="30">
    <w:name w:val="UserStyle_16"/>
    <w:basedOn w:val="1"/>
    <w:next w:val="31"/>
    <w:qFormat/>
    <w:uiPriority w:val="99"/>
    <w:pPr>
      <w:spacing w:before="158" w:after="153" w:line="323" w:lineRule="atLeast"/>
      <w:jc w:val="center"/>
    </w:pPr>
    <w:rPr>
      <w:rFonts w:ascii="Arial" w:eastAsia="黑体"/>
      <w:sz w:val="31"/>
    </w:rPr>
  </w:style>
  <w:style w:type="paragraph" w:customStyle="1" w:styleId="31">
    <w:name w:val="UserStyle_10"/>
    <w:basedOn w:val="1"/>
    <w:next w:val="32"/>
    <w:qFormat/>
    <w:uiPriority w:val="99"/>
    <w:pPr>
      <w:spacing w:line="289" w:lineRule="atLeast"/>
      <w:jc w:val="center"/>
    </w:pPr>
    <w:rPr>
      <w:sz w:val="28"/>
    </w:rPr>
  </w:style>
  <w:style w:type="paragraph" w:customStyle="1" w:styleId="32">
    <w:name w:val="UserStyle_11"/>
    <w:basedOn w:val="1"/>
    <w:next w:val="1"/>
    <w:qFormat/>
    <w:uiPriority w:val="99"/>
    <w:pPr>
      <w:spacing w:before="175" w:after="102" w:line="351" w:lineRule="atLeast"/>
    </w:pPr>
    <w:rPr>
      <w:rFonts w:eastAsia="黑体"/>
    </w:rPr>
  </w:style>
  <w:style w:type="paragraph" w:customStyle="1" w:styleId="33">
    <w:name w:val="UserStyle_7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629"/>
    </w:pPr>
  </w:style>
  <w:style w:type="paragraph" w:customStyle="1" w:styleId="34">
    <w:name w:val="UserStyle_8"/>
    <w:basedOn w:val="1"/>
    <w:next w:val="1"/>
    <w:qFormat/>
    <w:uiPriority w:val="99"/>
    <w:pPr>
      <w:spacing w:before="566" w:after="544" w:line="566" w:lineRule="atLeast"/>
      <w:ind w:firstLine="419"/>
      <w:jc w:val="center"/>
    </w:pPr>
    <w:rPr>
      <w:rFonts w:ascii="Arial" w:eastAsia="黑体"/>
      <w:spacing w:val="566"/>
      <w:sz w:val="54"/>
    </w:rPr>
  </w:style>
  <w:style w:type="paragraph" w:customStyle="1" w:styleId="35">
    <w:name w:val="HtmlNormal"/>
    <w:basedOn w:val="1"/>
    <w:qFormat/>
    <w:uiPriority w:val="99"/>
    <w:pPr>
      <w:spacing w:before="100" w:beforeAutospacing="1" w:after="100" w:afterAutospacing="1" w:line="240" w:lineRule="auto"/>
      <w:jc w:val="left"/>
      <w:textAlignment w:val="auto"/>
    </w:pPr>
    <w:rPr>
      <w:rFonts w:ascii="宋体" w:hAnsi="宋体"/>
      <w:sz w:val="24"/>
      <w:szCs w:val="24"/>
    </w:rPr>
  </w:style>
  <w:style w:type="paragraph" w:customStyle="1" w:styleId="36">
    <w:name w:val="UserStyle_9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419"/>
    </w:pPr>
  </w:style>
  <w:style w:type="paragraph" w:customStyle="1" w:styleId="37">
    <w:name w:val="UserStyle_12"/>
    <w:basedOn w:val="1"/>
    <w:next w:val="1"/>
    <w:qFormat/>
    <w:uiPriority w:val="99"/>
    <w:pPr>
      <w:tabs>
        <w:tab w:val="left" w:leader="dot" w:pos="8503"/>
      </w:tabs>
      <w:spacing w:after="136" w:line="289" w:lineRule="atLeast"/>
      <w:jc w:val="left"/>
    </w:pPr>
    <w:rPr>
      <w:rFonts w:ascii="Arial" w:eastAsia="黑体"/>
      <w:sz w:val="28"/>
    </w:rPr>
  </w:style>
  <w:style w:type="paragraph" w:customStyle="1" w:styleId="38">
    <w:name w:val="UserStyle_13"/>
    <w:basedOn w:val="1"/>
    <w:qFormat/>
    <w:uiPriority w:val="99"/>
    <w:pPr>
      <w:spacing w:line="240" w:lineRule="auto"/>
      <w:textAlignment w:val="auto"/>
    </w:pPr>
    <w:rPr>
      <w:sz w:val="32"/>
      <w:szCs w:val="32"/>
    </w:rPr>
  </w:style>
  <w:style w:type="paragraph" w:customStyle="1" w:styleId="39">
    <w:name w:val="UserStyle_14"/>
    <w:basedOn w:val="1"/>
    <w:qFormat/>
    <w:uiPriority w:val="99"/>
    <w:pPr>
      <w:spacing w:line="600" w:lineRule="atLeast"/>
      <w:jc w:val="center"/>
      <w:textAlignment w:val="auto"/>
    </w:pPr>
    <w:rPr>
      <w:rFonts w:ascii="Arial" w:hAnsi="Arial"/>
      <w:sz w:val="24"/>
      <w:szCs w:val="24"/>
    </w:rPr>
  </w:style>
  <w:style w:type="paragraph" w:customStyle="1" w:styleId="40">
    <w:name w:val="UserStyle_15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209"/>
    </w:pPr>
  </w:style>
  <w:style w:type="paragraph" w:customStyle="1" w:styleId="41">
    <w:name w:val="UserStyle_17"/>
    <w:basedOn w:val="1"/>
    <w:qFormat/>
    <w:uiPriority w:val="99"/>
    <w:pPr>
      <w:spacing w:line="480" w:lineRule="exact"/>
      <w:ind w:firstLine="420" w:firstLineChars="200"/>
      <w:textAlignment w:val="auto"/>
    </w:pPr>
    <w:rPr>
      <w:kern w:val="2"/>
      <w:sz w:val="24"/>
      <w:szCs w:val="24"/>
    </w:rPr>
  </w:style>
  <w:style w:type="table" w:customStyle="1" w:styleId="42">
    <w:name w:val="TableGrid"/>
    <w:basedOn w:val="23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3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44">
    <w:name w:val="BodyText1I2"/>
    <w:basedOn w:val="43"/>
    <w:qFormat/>
    <w:uiPriority w:val="99"/>
    <w:pPr>
      <w:ind w:firstLine="420" w:firstLineChars="200"/>
    </w:pPr>
  </w:style>
  <w:style w:type="paragraph" w:customStyle="1" w:styleId="45">
    <w:name w:val="ZSZW-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color w:val="000000"/>
      <w:kern w:val="0"/>
      <w:sz w:val="24"/>
    </w:rPr>
  </w:style>
  <w:style w:type="paragraph" w:customStyle="1" w:styleId="46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1408</Words>
  <Characters>1590</Characters>
  <Lines>10</Lines>
  <Paragraphs>3</Paragraphs>
  <TotalTime>35</TotalTime>
  <ScaleCrop>false</ScaleCrop>
  <LinksUpToDate>false</LinksUpToDate>
  <CharactersWithSpaces>1736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2020-08-18T07:58:00Z</dcterms:created>
  <dc:creator>Administrator</dc:creator>
  <cp:lastModifiedBy>苏</cp:lastModifiedBy>
  <cp:lastPrinted>2020-09-03T08:09:00Z</cp:lastPrinted>
  <dcterms:modified xsi:type="dcterms:W3CDTF">2022-09-07T01:11:48Z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8AA8B29D01F243088E7C7029CA39FF15</vt:lpwstr>
  </property>
</Properties>
</file>