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893F6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55579C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总体目标及年度分解任务</w:t>
      </w:r>
    </w:p>
    <w:tbl>
      <w:tblPr>
        <w:tblStyle w:val="2"/>
        <w:tblW w:w="8991" w:type="dxa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851"/>
        <w:gridCol w:w="2122"/>
        <w:gridCol w:w="2108"/>
      </w:tblGrid>
      <w:tr w14:paraId="277B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指标类型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D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2022年底数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2F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55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2025年</w:t>
            </w:r>
          </w:p>
        </w:tc>
      </w:tr>
      <w:tr w14:paraId="1E01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92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约束指标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46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县域综合商贸服务中心数量、覆盖率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81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D5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6F80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11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B8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县级物流配送中心数量、覆盖率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39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E8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2238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2F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A2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乡镇商贸中心数量、服务覆盖率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DB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80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6A6E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389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EEE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村级便民商店数量、覆盖率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E46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DA9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6E53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B2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C0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“快递进村”数量、覆盖率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CC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EF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77F26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20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7A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县域物流共同配送率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53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24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26C5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ED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自选指标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63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培育龙头流通企业数量、覆盖县数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D8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20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2A0E5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C8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48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县域社会消费品零售额、年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 w:bidi="ar"/>
              </w:rPr>
              <w:t>增速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5A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C7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26FBE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5B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1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乡镇集贸市场建设改造数量、占比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24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BC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4A30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D6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97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5C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21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07737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52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建设类型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AB8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基本型县名、数量、占比</w:t>
            </w:r>
          </w:p>
        </w:tc>
        <w:tc>
          <w:tcPr>
            <w:tcW w:w="4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4CE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2022年底数：     2025年目标：</w:t>
            </w:r>
          </w:p>
        </w:tc>
      </w:tr>
      <w:tr w14:paraId="4E66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63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827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增强型县名、数量、占比</w:t>
            </w:r>
          </w:p>
        </w:tc>
        <w:tc>
          <w:tcPr>
            <w:tcW w:w="4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1E7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2022年底数：     2025年目标：</w:t>
            </w:r>
          </w:p>
        </w:tc>
      </w:tr>
      <w:tr w14:paraId="48956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11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CDC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提升型县名、数量、占比</w:t>
            </w:r>
          </w:p>
        </w:tc>
        <w:tc>
          <w:tcPr>
            <w:tcW w:w="4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EC2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2022年底数：     2025年目标：</w:t>
            </w:r>
          </w:p>
        </w:tc>
      </w:tr>
    </w:tbl>
    <w:p w14:paraId="75947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注: 1.县城综合商贸服务中心、村级便民商店不列入中央财政支持方向，通过市场化手段推进建设改造。</w:t>
      </w:r>
    </w:p>
    <w:p w14:paraId="29F3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2.约束指标为《县域商业建设指南》所涉及的约束性指标，除人口稀少、欠发达县域，在具备的地区实现县乡村“三个全覆盖”。</w:t>
      </w:r>
    </w:p>
    <w:p w14:paraId="03F895A1">
      <w:r>
        <w:rPr>
          <w:rFonts w:hint="eastAsia" w:ascii="仿宋_GB2312" w:hAnsi="仿宋_GB2312" w:eastAsia="仿宋_GB2312" w:cs="仿宋_GB2312"/>
          <w:sz w:val="24"/>
        </w:rPr>
        <w:t>3.建设类型由省级主管部门参照《县域商业建设指南》，结合摸底情况，对下辖县整县商业现状进行分类(基本型、增强型、提升型以及未达基本型)。在此基础上，指导各县因地制宜、自主选择到 2025年的目标类型(基本型、增强型、提升型)。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WRkMDViMTA2NDA4ZDhhNWE4MzY2ZGI4ZjZjYTgifQ=="/>
  </w:docVars>
  <w:rsids>
    <w:rsidRoot w:val="7633682E"/>
    <w:rsid w:val="39146204"/>
    <w:rsid w:val="7633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472</Characters>
  <Lines>0</Lines>
  <Paragraphs>0</Paragraphs>
  <TotalTime>0</TotalTime>
  <ScaleCrop>false</ScaleCrop>
  <LinksUpToDate>false</LinksUpToDate>
  <CharactersWithSpaces>489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2024-09-14T11:40:00Z</dcterms:created>
  <dc:creator>莉</dc:creator>
  <cp:lastModifiedBy>微信用户</cp:lastModifiedBy>
  <dcterms:modified xsi:type="dcterms:W3CDTF">2024-10-10T01:32:25Z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BCFD8714B30643B69507E2AFAC168D8D_13</vt:lpwstr>
  </property>
</Properties>
</file>