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E7C30">
      <w:pP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4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4"/>
          <w:kern w:val="0"/>
          <w:sz w:val="30"/>
          <w:szCs w:val="30"/>
          <w:lang w:val="en-US" w:eastAsia="zh-CN"/>
        </w:rPr>
        <w:t>附件2</w:t>
      </w:r>
    </w:p>
    <w:p w14:paraId="0E26F1F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4"/>
          <w:kern w:val="0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4"/>
          <w:kern w:val="0"/>
          <w:sz w:val="44"/>
          <w:szCs w:val="44"/>
          <w:lang w:val="en-US" w:eastAsia="zh-CN"/>
        </w:rPr>
        <w:t>企业（单位）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4"/>
          <w:kern w:val="0"/>
          <w:sz w:val="44"/>
          <w:szCs w:val="44"/>
        </w:rPr>
        <w:t>县域商业体系建设工作方案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2"/>
          <w:kern w:val="0"/>
          <w:sz w:val="44"/>
          <w:szCs w:val="44"/>
        </w:rPr>
        <w:t>基本内容及具体要求</w:t>
      </w:r>
    </w:p>
    <w:p w14:paraId="359CE43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2"/>
          <w:kern w:val="0"/>
          <w:sz w:val="44"/>
          <w:szCs w:val="44"/>
        </w:rPr>
      </w:pPr>
    </w:p>
    <w:p w14:paraId="58DEC39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textAlignment w:val="baseline"/>
        <w:rPr>
          <w:rFonts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2"/>
          <w:kern w:val="0"/>
          <w:sz w:val="32"/>
          <w:szCs w:val="32"/>
        </w:rPr>
        <w:t>一、基本情况</w:t>
      </w:r>
    </w:p>
    <w:p w14:paraId="095A529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96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  <w:t>(一)县域商业概况。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企业（单位）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本情况；县域主要商业设施数量、基本功能等摸底数据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</w:rPr>
        <w:t>汇总情况。</w:t>
      </w:r>
    </w:p>
    <w:p w14:paraId="78DC8C2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96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  <w:t>(二)前期工作进展。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</w:rPr>
        <w:t>县域商业组织实施情况，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包括建立县域商业体系领导小组，成立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工作协调机制和责任分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工等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已开展工作、取得的成效和存在问题。</w:t>
      </w:r>
    </w:p>
    <w:p w14:paraId="6404050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textAlignment w:val="baseline"/>
        <w:rPr>
          <w:rFonts w:ascii="黑体" w:hAnsi="黑体" w:eastAsia="黑体" w:cs="黑体"/>
          <w:b w:val="0"/>
          <w:bCs w:val="0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2"/>
          <w:kern w:val="0"/>
          <w:sz w:val="32"/>
          <w:szCs w:val="32"/>
        </w:rPr>
        <w:t>二、目标任务</w:t>
      </w:r>
    </w:p>
    <w:p w14:paraId="7213306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96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  <w:t>(一)总体目标和年度分解任务。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</w:rPr>
        <w:t>对照《县域商业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5"/>
          <w:kern w:val="0"/>
          <w:sz w:val="32"/>
          <w:szCs w:val="32"/>
        </w:rPr>
        <w:t>建设指南》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要求，提出县域商业总体目标，包括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县域商贸综合体和物流配送中心总体布局、乡镇商贸服务中心覆盖率、快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递行政村覆盖率等；结合摸底数据和总体目标，制定工作任务。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目标任务要可量化、可考核，明确时间表、路线图和责任分工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2"/>
          <w:szCs w:val="32"/>
        </w:rPr>
        <w:t>(请填制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总体目标及年度分解任务表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2"/>
          <w:szCs w:val="32"/>
        </w:rPr>
        <w:t>)</w:t>
      </w:r>
    </w:p>
    <w:p w14:paraId="13BF88C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96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  <w:t>(二)县城商业建设类型和标准。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eastAsia="zh-CN"/>
        </w:rPr>
        <w:t>旗县（区）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要达到的县域商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业建设类型(基本型、增强型、提升型)和标准。因地制宜、实事求是确定建设类型和标准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。</w:t>
      </w:r>
    </w:p>
    <w:p w14:paraId="184A909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textAlignment w:val="baseline"/>
        <w:rPr>
          <w:rFonts w:ascii="黑体" w:hAnsi="黑体" w:eastAsia="黑体" w:cs="黑体"/>
          <w:b w:val="0"/>
          <w:bCs w:val="0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2"/>
          <w:kern w:val="0"/>
          <w:sz w:val="32"/>
          <w:szCs w:val="32"/>
        </w:rPr>
        <w:t>三、重点工作</w:t>
      </w:r>
    </w:p>
    <w:p w14:paraId="2A5CD50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96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  <w:t>(一)补齐县域商业基础设施短板。(略)</w:t>
      </w:r>
    </w:p>
    <w:p w14:paraId="2B2689C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96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  <w:t>(二)完善县乡村三级物流配送体系。(略)</w:t>
      </w:r>
    </w:p>
    <w:p w14:paraId="41B7BB5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96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  <w:t>(三)改善优化县域消费渠道。(略)</w:t>
      </w:r>
    </w:p>
    <w:p w14:paraId="0724571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96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  <w:t>(四)增强农村产品上行动能。(略)</w:t>
      </w:r>
    </w:p>
    <w:p w14:paraId="64E2A82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96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  <w:t>(五)提高生活服务供给质量。(略)</w:t>
      </w:r>
    </w:p>
    <w:p w14:paraId="654AD01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textAlignment w:val="baseline"/>
        <w:rPr>
          <w:rFonts w:ascii="黑体" w:hAnsi="黑体" w:eastAsia="黑体" w:cs="黑体"/>
          <w:b w:val="0"/>
          <w:bCs w:val="0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2"/>
          <w:kern w:val="0"/>
          <w:sz w:val="32"/>
          <w:szCs w:val="32"/>
        </w:rPr>
        <w:t>四、项目计划</w:t>
      </w:r>
    </w:p>
    <w:p w14:paraId="0CD71CF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96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  <w:t>(一)项目管理</w:t>
      </w:r>
    </w:p>
    <w:p w14:paraId="67252AE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4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  <w:lang w:val="en-US" w:eastAsia="zh-CN"/>
        </w:rPr>
        <w:t>各企业（单位）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</w:rPr>
        <w:t>项目名单以及项目选择程序、依据、责任主体等；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项目名称、资金使用比例、额度及管理方式。各项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目应落实责任单位、考核安排、实施目标等，并注重项目可持续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性。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2"/>
          <w:szCs w:val="32"/>
        </w:rPr>
        <w:t>(请填制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县域商业项目清单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2"/>
          <w:szCs w:val="32"/>
        </w:rPr>
        <w:t>)</w:t>
      </w:r>
    </w:p>
    <w:p w14:paraId="794D744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textAlignment w:val="baseline"/>
        <w:rPr>
          <w:rFonts w:ascii="黑体" w:hAnsi="黑体" w:eastAsia="黑体" w:cs="黑体"/>
          <w:b w:val="0"/>
          <w:bCs w:val="0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2"/>
          <w:kern w:val="0"/>
          <w:sz w:val="32"/>
          <w:szCs w:val="32"/>
        </w:rPr>
        <w:t>五、保障机制</w:t>
      </w:r>
    </w:p>
    <w:p w14:paraId="07FAB24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96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  <w:t>(一)项目管理制度。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</w:rPr>
        <w:t>旗县（区）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制定的项目遴选、组织实施、资金拨付、监督考核工作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机制。要求建立“企业目录+项目清单”机制，加强项目管理。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明确项目验收主体、要件、验收流程等，加强资产监督管理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，明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确资产权属和管护主体责任，形成长效机制。</w:t>
      </w:r>
    </w:p>
    <w:p w14:paraId="718DDBE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96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  <w:t>(二)日常监督机制。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9"/>
          <w:kern w:val="0"/>
          <w:sz w:val="32"/>
          <w:szCs w:val="32"/>
        </w:rPr>
        <w:t>提出日常监督机制，各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</w:rPr>
        <w:t>旗县（区）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9"/>
          <w:kern w:val="0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引入审计、监理咨询等第三方机构，规范决策过程，加强资金和项目审核。进一步加强政务公开和信息报送的政策措施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，政府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网站设置公开专栏情况。</w:t>
      </w:r>
    </w:p>
    <w:p w14:paraId="7B932446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59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-11"/>
          <w:kern w:val="0"/>
          <w:sz w:val="32"/>
          <w:szCs w:val="32"/>
        </w:rPr>
        <w:t>(三)信息公开机制。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进一步加强政务公开和信息报送的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9"/>
          <w:kern w:val="0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策措施，县政府网站设置公开专栏情况。明确凡是接受中央财政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奖补的地方和企业，须按要求填报项目相关信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息数据，各级主管部门依法保护信息安全。</w:t>
      </w:r>
    </w:p>
    <w:p w14:paraId="0F49C9E2">
      <w:r>
        <w:rPr>
          <w:rFonts w:hint="eastAsia" w:ascii="仿宋" w:hAnsi="仿宋" w:eastAsia="仿宋" w:cs="仿宋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MWRkMDViMTA2NDA4ZDhhNWE4MzY2ZGI4ZjZjYTgifQ=="/>
  </w:docVars>
  <w:rsids>
    <w:rsidRoot w:val="11EB4780"/>
    <w:rsid w:val="11EB4780"/>
    <w:rsid w:val="18C3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886</Words>
  <Characters>886</Characters>
  <Lines>0</Lines>
  <Paragraphs>0</Paragraphs>
  <TotalTime>0</TotalTime>
  <ScaleCrop>false</ScaleCrop>
  <LinksUpToDate>false</LinksUpToDate>
  <CharactersWithSpaces>886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2024-09-14T11:37:00Z</dcterms:created>
  <dc:creator>莉</dc:creator>
  <cp:lastModifiedBy>微信用户</cp:lastModifiedBy>
  <dcterms:modified xsi:type="dcterms:W3CDTF">2024-10-10T01:32:56Z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A6BCAF2B7CD84F5EAECD0A91925334BC_13</vt:lpwstr>
  </property>
</Properties>
</file>